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1182" w:lineRule="exact"/>
        <w:ind w:left="358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3011169" cy="750570"/>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3011169" cy="750570"/>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9"/>
        <w:rPr>
          <w:rFonts w:ascii="Times New Roman" w:hAnsi="Times New Roman" w:cs="Times New Roman" w:eastAsia="Times New Roman" w:hint="default"/>
          <w:sz w:val="14"/>
          <w:szCs w:val="14"/>
        </w:rPr>
      </w:pPr>
    </w:p>
    <w:p>
      <w:pPr>
        <w:spacing w:line="587" w:lineRule="exact" w:before="0"/>
        <w:ind w:left="0" w:right="0" w:firstLine="0"/>
        <w:jc w:val="center"/>
        <w:rPr>
          <w:rFonts w:ascii="华文隶书" w:hAnsi="华文隶书" w:cs="华文隶书" w:eastAsia="华文隶书" w:hint="default"/>
          <w:sz w:val="48"/>
          <w:szCs w:val="48"/>
        </w:rPr>
      </w:pPr>
      <w:r>
        <w:rPr>
          <w:rFonts w:ascii="华文隶书" w:hAnsi="华文隶书" w:cs="华文隶书" w:eastAsia="华文隶书" w:hint="default"/>
          <w:b/>
          <w:bCs/>
          <w:sz w:val="48"/>
          <w:szCs w:val="48"/>
        </w:rPr>
        <w:t>光一科技股份有限公司</w:t>
      </w:r>
      <w:r>
        <w:rPr>
          <w:rFonts w:ascii="华文隶书" w:hAnsi="华文隶书" w:cs="华文隶书" w:eastAsia="华文隶书" w:hint="default"/>
          <w:sz w:val="48"/>
          <w:szCs w:val="48"/>
        </w:rPr>
      </w:r>
    </w:p>
    <w:p>
      <w:pPr>
        <w:spacing w:before="395"/>
        <w:ind w:left="0" w:right="0" w:firstLine="0"/>
        <w:jc w:val="center"/>
        <w:rPr>
          <w:rFonts w:ascii="华文隶书" w:hAnsi="华文隶书" w:cs="华文隶书" w:eastAsia="华文隶书" w:hint="default"/>
          <w:sz w:val="48"/>
          <w:szCs w:val="48"/>
        </w:rPr>
      </w:pPr>
      <w:r>
        <w:rPr>
          <w:rFonts w:ascii="华文隶书" w:hAnsi="华文隶书" w:cs="华文隶书" w:eastAsia="华文隶书" w:hint="default"/>
          <w:b/>
          <w:bCs/>
          <w:sz w:val="48"/>
          <w:szCs w:val="48"/>
        </w:rPr>
        <w:t>2017 </w:t>
      </w:r>
      <w:r>
        <w:rPr>
          <w:rFonts w:ascii="华文隶书" w:hAnsi="华文隶书" w:cs="华文隶书" w:eastAsia="华文隶书" w:hint="default"/>
          <w:b/>
          <w:bCs/>
          <w:sz w:val="48"/>
          <w:szCs w:val="48"/>
        </w:rPr>
        <w:t>年年度报告</w:t>
      </w:r>
      <w:r>
        <w:rPr>
          <w:rFonts w:ascii="华文隶书" w:hAnsi="华文隶书" w:cs="华文隶书" w:eastAsia="华文隶书" w:hint="default"/>
          <w:sz w:val="48"/>
          <w:szCs w:val="48"/>
        </w:rPr>
      </w: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0"/>
        <w:rPr>
          <w:rFonts w:ascii="华文隶书" w:hAnsi="华文隶书" w:cs="华文隶书" w:eastAsia="华文隶书" w:hint="default"/>
          <w:b/>
          <w:bCs/>
          <w:sz w:val="48"/>
          <w:szCs w:val="48"/>
        </w:rPr>
      </w:pPr>
    </w:p>
    <w:p>
      <w:pPr>
        <w:spacing w:line="240" w:lineRule="auto" w:before="6"/>
        <w:rPr>
          <w:rFonts w:ascii="华文隶书" w:hAnsi="华文隶书" w:cs="华文隶书" w:eastAsia="华文隶书" w:hint="default"/>
          <w:b/>
          <w:bCs/>
          <w:sz w:val="65"/>
          <w:szCs w:val="65"/>
        </w:rPr>
      </w:pPr>
    </w:p>
    <w:p>
      <w:pPr>
        <w:spacing w:before="0"/>
        <w:ind w:left="1" w:right="0" w:firstLine="0"/>
        <w:jc w:val="center"/>
        <w:rPr>
          <w:rFonts w:ascii="华文隶书" w:hAnsi="华文隶书" w:cs="华文隶书" w:eastAsia="华文隶书" w:hint="default"/>
          <w:sz w:val="36"/>
          <w:szCs w:val="36"/>
        </w:rPr>
      </w:pPr>
      <w:r>
        <w:rPr>
          <w:rFonts w:ascii="华文隶书" w:hAnsi="华文隶书" w:cs="华文隶书" w:eastAsia="华文隶书" w:hint="default"/>
          <w:b/>
          <w:bCs/>
          <w:sz w:val="36"/>
          <w:szCs w:val="36"/>
        </w:rPr>
        <w:t>2018 </w:t>
      </w:r>
      <w:r>
        <w:rPr>
          <w:rFonts w:ascii="华文隶书" w:hAnsi="华文隶书" w:cs="华文隶书" w:eastAsia="华文隶书" w:hint="default"/>
          <w:b/>
          <w:bCs/>
          <w:sz w:val="36"/>
          <w:szCs w:val="36"/>
        </w:rPr>
        <w:t>年 </w:t>
      </w:r>
      <w:r>
        <w:rPr>
          <w:rFonts w:ascii="华文隶书" w:hAnsi="华文隶书" w:cs="华文隶书" w:eastAsia="华文隶书" w:hint="default"/>
          <w:b/>
          <w:bCs/>
          <w:sz w:val="36"/>
          <w:szCs w:val="36"/>
        </w:rPr>
        <w:t>04</w:t>
      </w:r>
      <w:r>
        <w:rPr>
          <w:rFonts w:ascii="华文隶书" w:hAnsi="华文隶书" w:cs="华文隶书" w:eastAsia="华文隶书" w:hint="default"/>
          <w:b/>
          <w:bCs/>
          <w:spacing w:val="3"/>
          <w:sz w:val="36"/>
          <w:szCs w:val="36"/>
        </w:rPr>
        <w:t> </w:t>
      </w:r>
      <w:r>
        <w:rPr>
          <w:rFonts w:ascii="华文隶书" w:hAnsi="华文隶书" w:cs="华文隶书" w:eastAsia="华文隶书" w:hint="default"/>
          <w:b/>
          <w:bCs/>
          <w:sz w:val="36"/>
          <w:szCs w:val="36"/>
        </w:rPr>
        <w:t>月</w:t>
      </w:r>
      <w:r>
        <w:rPr>
          <w:rFonts w:ascii="华文隶书" w:hAnsi="华文隶书" w:cs="华文隶书" w:eastAsia="华文隶书" w:hint="default"/>
          <w:sz w:val="36"/>
          <w:szCs w:val="36"/>
        </w:rPr>
      </w:r>
    </w:p>
    <w:p>
      <w:pPr>
        <w:spacing w:after="0"/>
        <w:jc w:val="center"/>
        <w:rPr>
          <w:rFonts w:ascii="华文隶书" w:hAnsi="华文隶书" w:cs="华文隶书" w:eastAsia="华文隶书" w:hint="default"/>
          <w:sz w:val="36"/>
          <w:szCs w:val="36"/>
        </w:rPr>
        <w:sectPr>
          <w:headerReference w:type="default" r:id="rId5"/>
          <w:footerReference w:type="default" r:id="rId6"/>
          <w:type w:val="continuous"/>
          <w:pgSz w:w="11910" w:h="16840"/>
          <w:pgMar w:header="747" w:footer="1000" w:top="1040" w:bottom="1180" w:left="0" w:right="0"/>
        </w:sectPr>
      </w:pPr>
    </w:p>
    <w:p>
      <w:pPr>
        <w:spacing w:line="240" w:lineRule="auto" w:before="8"/>
        <w:rPr>
          <w:rFonts w:ascii="华文隶书" w:hAnsi="华文隶书" w:cs="华文隶书" w:eastAsia="华文隶书" w:hint="default"/>
          <w:b/>
          <w:bCs/>
          <w:sz w:val="3"/>
          <w:szCs w:val="3"/>
        </w:rPr>
      </w:pPr>
    </w:p>
    <w:p>
      <w:pPr>
        <w:spacing w:line="20" w:lineRule="exact"/>
        <w:ind w:left="1096" w:right="0" w:firstLine="0"/>
        <w:rPr>
          <w:rFonts w:ascii="华文隶书" w:hAnsi="华文隶书" w:cs="华文隶书" w:eastAsia="华文隶书" w:hint="default"/>
          <w:sz w:val="2"/>
          <w:szCs w:val="2"/>
        </w:rPr>
      </w:pPr>
      <w:r>
        <w:rPr>
          <w:rFonts w:ascii="华文隶书" w:hAnsi="华文隶书" w:cs="华文隶书" w:eastAsia="华文隶书"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华文隶书" w:hAnsi="华文隶书" w:cs="华文隶书" w:eastAsia="华文隶书" w:hint="default"/>
          <w:sz w:val="2"/>
          <w:szCs w:val="2"/>
        </w:rPr>
      </w:r>
    </w:p>
    <w:p>
      <w:pPr>
        <w:spacing w:line="240" w:lineRule="auto" w:before="0"/>
        <w:rPr>
          <w:rFonts w:ascii="华文隶书" w:hAnsi="华文隶书" w:cs="华文隶书" w:eastAsia="华文隶书" w:hint="default"/>
          <w:b/>
          <w:bCs/>
          <w:sz w:val="20"/>
          <w:szCs w:val="20"/>
        </w:rPr>
      </w:pPr>
    </w:p>
    <w:p>
      <w:pPr>
        <w:spacing w:line="240" w:lineRule="auto" w:before="0"/>
        <w:rPr>
          <w:rFonts w:ascii="华文隶书" w:hAnsi="华文隶书" w:cs="华文隶书" w:eastAsia="华文隶书" w:hint="default"/>
          <w:b/>
          <w:bCs/>
          <w:sz w:val="20"/>
          <w:szCs w:val="20"/>
        </w:rPr>
      </w:pPr>
    </w:p>
    <w:p>
      <w:pPr>
        <w:pStyle w:val="Heading1"/>
        <w:spacing w:line="240" w:lineRule="auto" w:before="178"/>
        <w:ind w:left="3785" w:right="1121"/>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2"/>
        <w:rPr>
          <w:rFonts w:ascii="宋体" w:hAnsi="宋体" w:cs="宋体" w:eastAsia="宋体" w:hint="default"/>
          <w:b/>
          <w:bCs/>
          <w:sz w:val="39"/>
          <w:szCs w:val="39"/>
        </w:rPr>
      </w:pPr>
    </w:p>
    <w:p>
      <w:pPr>
        <w:pStyle w:val="Heading2"/>
        <w:spacing w:line="357" w:lineRule="auto"/>
        <w:ind w:left="1133" w:right="1121" w:firstLine="482"/>
        <w:jc w:val="left"/>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57" w:lineRule="auto" w:before="36"/>
        <w:ind w:left="1133" w:right="1121" w:firstLine="482"/>
        <w:jc w:val="left"/>
        <w:rPr>
          <w:b w:val="0"/>
          <w:bCs w:val="0"/>
        </w:rPr>
      </w:pPr>
      <w:r>
        <w:rPr>
          <w:spacing w:val="3"/>
        </w:rPr>
        <w:t>公司负责人龙昌明先生、主管会计工作负责人周振娟女士及会计机构负责人</w:t>
      </w:r>
      <w:r>
        <w:rPr>
          <w:rFonts w:ascii="宋体" w:hAnsi="宋体" w:cs="宋体" w:eastAsia="宋体" w:hint="default"/>
          <w:spacing w:val="3"/>
        </w:rPr>
        <w:t>(</w:t>
      </w:r>
      <w:r>
        <w:rPr>
          <w:spacing w:val="3"/>
        </w:rPr>
        <w:t>会计主管</w:t>
      </w:r>
      <w:r>
        <w:rPr>
          <w:w w:val="99"/>
        </w:rPr>
        <w:t> </w:t>
      </w:r>
      <w:r>
        <w:rPr/>
        <w:t>人员</w:t>
      </w:r>
      <w:r>
        <w:rPr>
          <w:rFonts w:ascii="宋体" w:hAnsi="宋体" w:cs="宋体" w:eastAsia="宋体" w:hint="default"/>
        </w:rPr>
        <w:t>)</w:t>
      </w:r>
      <w:r>
        <w:rPr/>
        <w:t>李琬玉女士声明：保证年度报告中财务报告的真实、准确、完整。</w:t>
      </w:r>
      <w:r>
        <w:rPr>
          <w:b w:val="0"/>
          <w:bCs w:val="0"/>
        </w:rPr>
      </w:r>
    </w:p>
    <w:p>
      <w:pPr>
        <w:pStyle w:val="Heading2"/>
        <w:spacing w:line="357" w:lineRule="auto" w:before="36"/>
        <w:ind w:left="1616" w:right="1121"/>
        <w:jc w:val="left"/>
        <w:rPr>
          <w:b w:val="0"/>
          <w:bCs w:val="0"/>
        </w:rPr>
      </w:pPr>
      <w:r>
        <w:rPr/>
        <w:t>所有董事均已出席了审议本报告的董事会会议。</w:t>
      </w:r>
      <w:r>
        <w:rPr>
          <w:w w:val="99"/>
        </w:rPr>
        <w:t> </w:t>
      </w:r>
      <w:r>
        <w:rPr>
          <w:w w:val="95"/>
        </w:rPr>
        <w:t>本报告涉及的未来计划、发展战略等前瞻性描述，均不构成公司对投资者的实质承诺，</w:t>
      </w:r>
      <w:r>
        <w:rPr>
          <w:b w:val="0"/>
          <w:bCs w:val="0"/>
        </w:rPr>
      </w:r>
    </w:p>
    <w:p>
      <w:pPr>
        <w:pStyle w:val="Heading2"/>
        <w:spacing w:line="357" w:lineRule="auto" w:before="36"/>
        <w:ind w:left="1133" w:right="1138"/>
        <w:jc w:val="both"/>
        <w:rPr>
          <w:b w:val="0"/>
          <w:bCs w:val="0"/>
        </w:rPr>
      </w:pPr>
      <w:r>
        <w:rPr>
          <w:w w:val="95"/>
        </w:rPr>
        <w:t>投资者及相关人士均应当对此保持足够的风险认识，并且应当理解计划、预测与承诺之间的</w:t>
      </w:r>
      <w:r>
        <w:rPr>
          <w:spacing w:val="102"/>
          <w:w w:val="95"/>
        </w:rPr>
        <w:t> </w:t>
      </w:r>
      <w:r>
        <w:rPr>
          <w:spacing w:val="102"/>
          <w:w w:val="95"/>
        </w:rPr>
      </w:r>
      <w:r>
        <w:rPr/>
        <w:t>差异。</w:t>
      </w:r>
      <w:r>
        <w:rPr>
          <w:b w:val="0"/>
          <w:bCs w:val="0"/>
        </w:rPr>
      </w:r>
    </w:p>
    <w:p>
      <w:pPr>
        <w:spacing w:line="391" w:lineRule="auto" w:before="36"/>
        <w:ind w:left="1557" w:right="1121" w:firstLine="58"/>
        <w:jc w:val="left"/>
        <w:rPr>
          <w:rFonts w:ascii="宋体" w:hAnsi="宋体" w:cs="宋体" w:eastAsia="宋体" w:hint="default"/>
          <w:sz w:val="21"/>
          <w:szCs w:val="21"/>
        </w:rPr>
      </w:pPr>
      <w:r>
        <w:rPr>
          <w:rFonts w:ascii="宋体" w:hAnsi="宋体" w:cs="宋体" w:eastAsia="宋体" w:hint="default"/>
          <w:b/>
          <w:bCs/>
          <w:sz w:val="24"/>
          <w:szCs w:val="24"/>
        </w:rPr>
        <w:t>本公司请投资者认真阅读本年度报告全文，并特别注意下列风险因素</w:t>
      </w:r>
      <w:r>
        <w:rPr>
          <w:rFonts w:ascii="宋体" w:hAnsi="宋体" w:cs="宋体" w:eastAsia="宋体" w:hint="default"/>
          <w:b/>
          <w:bCs/>
          <w:w w:val="99"/>
          <w:sz w:val="24"/>
          <w:szCs w:val="24"/>
        </w:rPr>
        <w:t> </w:t>
      </w:r>
      <w:r>
        <w:rPr>
          <w:rFonts w:ascii="宋体" w:hAnsi="宋体" w:cs="宋体" w:eastAsia="宋体" w:hint="default"/>
          <w:sz w:val="21"/>
          <w:szCs w:val="21"/>
        </w:rPr>
        <w:t>1</w:t>
      </w:r>
      <w:r>
        <w:rPr>
          <w:rFonts w:ascii="宋体" w:hAnsi="宋体" w:cs="宋体" w:eastAsia="宋体" w:hint="default"/>
          <w:sz w:val="21"/>
          <w:szCs w:val="21"/>
        </w:rPr>
        <w:t>、投资项目未达预期的风险 </w:t>
      </w:r>
      <w:r>
        <w:rPr>
          <w:rFonts w:ascii="宋体" w:hAnsi="宋体" w:cs="宋体" w:eastAsia="宋体" w:hint="default"/>
          <w:spacing w:val="-1"/>
          <w:sz w:val="21"/>
          <w:szCs w:val="21"/>
        </w:rPr>
        <w:t>随着公司版权云整体战略布局的实施，公司通过直接或间接投资已初步完成了对中云文化大数据、天</w:t>
      </w:r>
    </w:p>
    <w:p>
      <w:pPr>
        <w:pStyle w:val="BodyText"/>
        <w:spacing w:line="408" w:lineRule="auto" w:before="61"/>
        <w:ind w:right="1110"/>
        <w:jc w:val="both"/>
      </w:pPr>
      <w:r>
        <w:rPr>
          <w:spacing w:val="-1"/>
        </w:rPr>
        <w:t>擎华媒、江苏数道、海誉动想、火星文化、梦知网络（权大师）、龙源数媒等与数字版权服务相关产业的</w:t>
      </w:r>
      <w:r>
        <w:rPr>
          <w:spacing w:val="-94"/>
        </w:rPr>
        <w:t> </w:t>
      </w:r>
      <w:r>
        <w:rPr>
          <w:spacing w:val="-94"/>
        </w:rPr>
      </w:r>
      <w:r>
        <w:rPr/>
        <w:t>投资，上述公司虽然对于自身发展目标都有清晰的定位，在技术、人才、市场、资源等方面有充分准备， 但在项目推进过程中仍存在资源整合不到位、项目推进进展、经营业绩等未达预期的风险。</w:t>
      </w:r>
    </w:p>
    <w:p>
      <w:pPr>
        <w:pStyle w:val="BodyText"/>
        <w:spacing w:line="408" w:lineRule="auto"/>
        <w:ind w:left="1557" w:right="1121"/>
        <w:jc w:val="left"/>
      </w:pPr>
      <w:r>
        <w:rPr>
          <w:rFonts w:ascii="宋体" w:hAnsi="宋体" w:cs="宋体" w:eastAsia="宋体" w:hint="default"/>
        </w:rPr>
        <w:t>2</w:t>
      </w:r>
      <w:r>
        <w:rPr/>
        <w:t>、商誉减值风险 </w:t>
      </w:r>
      <w:r>
        <w:rPr>
          <w:spacing w:val="-1"/>
        </w:rPr>
        <w:t>根据企业会计准则的规定，每个会计期末需对并购过程中形成的商誉进行减值测试，如被收购标的公</w:t>
      </w:r>
    </w:p>
    <w:p>
      <w:pPr>
        <w:pStyle w:val="BodyText"/>
        <w:spacing w:line="408" w:lineRule="auto"/>
        <w:ind w:left="1134" w:right="1110"/>
        <w:jc w:val="both"/>
      </w:pPr>
      <w:r>
        <w:rPr/>
        <w:t>司未来经营状况恶化或未能完成业绩承诺，则存在商誉减值的风险，从而对公司当期损益造成不利影响。 针对商誉减值分险，公司将从以下方面采取措施：</w:t>
      </w:r>
    </w:p>
    <w:p>
      <w:pPr>
        <w:pStyle w:val="BodyText"/>
        <w:spacing w:line="240" w:lineRule="auto"/>
        <w:ind w:left="1557" w:right="1121"/>
        <w:jc w:val="left"/>
      </w:pPr>
      <w:r>
        <w:rPr/>
        <w:t>（</w:t>
      </w:r>
      <w:r>
        <w:rPr>
          <w:rFonts w:ascii="宋体" w:hAnsi="宋体" w:cs="宋体" w:eastAsia="宋体" w:hint="default"/>
        </w:rPr>
        <w:t>1</w:t>
      </w:r>
      <w:r>
        <w:rPr/>
        <w:t>）投前审慎决策，对投资标进行合理估值。</w:t>
      </w:r>
    </w:p>
    <w:p>
      <w:pPr>
        <w:spacing w:line="240" w:lineRule="auto" w:before="10"/>
        <w:rPr>
          <w:rFonts w:ascii="宋体" w:hAnsi="宋体" w:cs="宋体" w:eastAsia="宋体" w:hint="default"/>
          <w:sz w:val="14"/>
          <w:szCs w:val="14"/>
        </w:rPr>
      </w:pPr>
    </w:p>
    <w:p>
      <w:pPr>
        <w:pStyle w:val="BodyText"/>
        <w:spacing w:line="408" w:lineRule="auto" w:before="0"/>
        <w:ind w:left="1557" w:right="3294"/>
        <w:jc w:val="left"/>
      </w:pPr>
      <w:r>
        <w:rPr/>
        <w:t>（</w:t>
      </w:r>
      <w:r>
        <w:rPr>
          <w:rFonts w:ascii="宋体" w:hAnsi="宋体" w:cs="宋体" w:eastAsia="宋体" w:hint="default"/>
        </w:rPr>
        <w:t>2</w:t>
      </w:r>
      <w:r>
        <w:rPr/>
        <w:t>）加强投后管理，及时跟踪了解标的企业经营情况，尽量控制减值风险。 </w:t>
      </w:r>
      <w:r>
        <w:rPr>
          <w:rFonts w:ascii="宋体" w:hAnsi="宋体" w:cs="宋体" w:eastAsia="宋体" w:hint="default"/>
        </w:rPr>
        <w:t>3</w:t>
      </w:r>
      <w:r>
        <w:rPr/>
        <w:t>、市场风险</w:t>
      </w:r>
    </w:p>
    <w:p>
      <w:pPr>
        <w:pStyle w:val="BodyText"/>
        <w:spacing w:line="408" w:lineRule="auto"/>
        <w:ind w:left="1134" w:right="1121" w:firstLine="423"/>
        <w:jc w:val="left"/>
      </w:pPr>
      <w:r>
        <w:rPr>
          <w:spacing w:val="-1"/>
        </w:rPr>
        <w:t>公司电力业务依赖于电力行业的发展和国家电网公司的需求，近年来招标规模呈下降趋势，行业竞争</w:t>
      </w:r>
      <w:r>
        <w:rPr/>
        <w:t> 更加激烈，针对市场风险，公司将从以下方面采取措施：</w:t>
      </w:r>
    </w:p>
    <w:p>
      <w:pPr>
        <w:pStyle w:val="BodyText"/>
        <w:spacing w:line="240" w:lineRule="auto"/>
        <w:ind w:left="1557" w:right="1121"/>
        <w:jc w:val="left"/>
      </w:pPr>
      <w:r>
        <w:rPr/>
        <w:t>（</w:t>
      </w:r>
      <w:r>
        <w:rPr>
          <w:rFonts w:ascii="宋体" w:hAnsi="宋体" w:cs="宋体" w:eastAsia="宋体" w:hint="default"/>
        </w:rPr>
        <w:t>1</w:t>
      </w:r>
      <w:r>
        <w:rPr/>
        <w:t>）加大开发新技术及新产品的力度，为新一轮业务发展提前做技术储备；</w:t>
      </w:r>
    </w:p>
    <w:p>
      <w:pPr>
        <w:spacing w:line="240" w:lineRule="auto" w:before="10"/>
        <w:rPr>
          <w:rFonts w:ascii="宋体" w:hAnsi="宋体" w:cs="宋体" w:eastAsia="宋体" w:hint="default"/>
          <w:sz w:val="14"/>
          <w:szCs w:val="14"/>
        </w:rPr>
      </w:pPr>
    </w:p>
    <w:p>
      <w:pPr>
        <w:pStyle w:val="BodyText"/>
        <w:spacing w:line="408" w:lineRule="auto" w:before="0"/>
        <w:ind w:left="1134" w:right="0" w:firstLine="423"/>
        <w:jc w:val="left"/>
      </w:pPr>
      <w:r>
        <w:rPr>
          <w:spacing w:val="-1"/>
        </w:rPr>
        <w:t>（</w:t>
      </w:r>
      <w:r>
        <w:rPr>
          <w:rFonts w:ascii="宋体" w:hAnsi="宋体" w:cs="宋体" w:eastAsia="宋体" w:hint="default"/>
          <w:spacing w:val="-1"/>
        </w:rPr>
        <w:t>2</w:t>
      </w:r>
      <w:r>
        <w:rPr>
          <w:spacing w:val="-1"/>
        </w:rPr>
        <w:t>）调整业务结构，积极开发传统产品新的应用市场，同时在配电网的综合信息及状态采集与应用、</w:t>
      </w:r>
      <w:r>
        <w:rPr/>
        <w:t> 新的通讯技术在信息采集方面的应用、配电网的能源区域管理与互动等方面加强投入。</w:t>
      </w:r>
    </w:p>
    <w:p>
      <w:pPr>
        <w:pStyle w:val="BodyText"/>
        <w:spacing w:line="240" w:lineRule="auto"/>
        <w:ind w:left="1557" w:right="1121"/>
        <w:jc w:val="left"/>
      </w:pPr>
      <w:r>
        <w:rPr>
          <w:rFonts w:ascii="宋体" w:hAnsi="宋体" w:cs="宋体" w:eastAsia="宋体" w:hint="default"/>
        </w:rPr>
        <w:t>4</w:t>
      </w:r>
      <w:r>
        <w:rPr/>
        <w:t>、管理风险</w:t>
      </w:r>
    </w:p>
    <w:p>
      <w:pPr>
        <w:spacing w:after="0" w:line="240" w:lineRule="auto"/>
        <w:jc w:val="left"/>
        <w:sectPr>
          <w:footerReference w:type="default" r:id="rId8"/>
          <w:pgSz w:w="11910" w:h="16840"/>
          <w:pgMar w:footer="1000" w:header="747" w:top="1040" w:bottom="1180" w:left="0" w:right="0"/>
          <w:pgNumType w:start="2"/>
        </w:sectPr>
      </w:pPr>
    </w:p>
    <w:p>
      <w:pPr>
        <w:spacing w:line="240" w:lineRule="auto" w:before="9"/>
        <w:rPr>
          <w:rFonts w:ascii="宋体" w:hAnsi="宋体" w:cs="宋体" w:eastAsia="宋体" w:hint="default"/>
          <w:sz w:val="3"/>
          <w:szCs w:val="3"/>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408" w:lineRule="auto" w:before="35"/>
        <w:ind w:right="1131" w:firstLine="423"/>
        <w:jc w:val="both"/>
      </w:pPr>
      <w:r>
        <w:rPr/>
        <w:t>随着公司“</w:t>
      </w:r>
      <w:r>
        <w:rPr>
          <w:rFonts w:ascii="宋体" w:hAnsi="宋体" w:cs="宋体" w:eastAsia="宋体" w:hint="default"/>
        </w:rPr>
        <w:t>1+3</w:t>
      </w:r>
      <w:r>
        <w:rPr/>
        <w:t>”产业布局的不断推进，投资及新设企业陆续增加，公司规模日益扩大，管理主体日 </w:t>
      </w:r>
      <w:r>
        <w:rPr>
          <w:spacing w:val="-1"/>
        </w:rPr>
        <w:t>益增多，这些变化对公司的管理将提出与之匹配的更高的要求。针对可能出现的管理风险，公司将从以下</w:t>
      </w:r>
      <w:r>
        <w:rPr>
          <w:spacing w:val="-83"/>
        </w:rPr>
        <w:t> </w:t>
      </w:r>
      <w:r>
        <w:rPr>
          <w:spacing w:val="-83"/>
        </w:rPr>
      </w:r>
      <w:r>
        <w:rPr/>
        <w:t>几方面采取相应措施：</w:t>
      </w:r>
    </w:p>
    <w:p>
      <w:pPr>
        <w:pStyle w:val="BodyText"/>
        <w:spacing w:line="408" w:lineRule="auto"/>
        <w:ind w:right="1134" w:firstLine="423"/>
        <w:jc w:val="both"/>
      </w:pPr>
      <w:r>
        <w:rPr/>
        <w:t>（</w:t>
      </w:r>
      <w:r>
        <w:rPr>
          <w:rFonts w:ascii="宋体" w:hAnsi="宋体" w:cs="宋体" w:eastAsia="宋体" w:hint="default"/>
        </w:rPr>
        <w:t>1</w:t>
      </w:r>
      <w:r>
        <w:rPr/>
        <w:t>）严格遵守上市企业规范运作指引的相关要求，完善法人治理结构，规范公司运作体系，加强内 部控制，强化各项决策的科学性，促进公司机制的创新和管理升级；</w:t>
      </w:r>
    </w:p>
    <w:p>
      <w:pPr>
        <w:pStyle w:val="BodyText"/>
        <w:spacing w:line="408" w:lineRule="auto"/>
        <w:ind w:left="1134" w:right="1138" w:firstLine="423"/>
        <w:jc w:val="both"/>
      </w:pPr>
      <w:r>
        <w:rPr/>
        <w:t>（</w:t>
      </w:r>
      <w:r>
        <w:rPr>
          <w:rFonts w:ascii="宋体" w:hAnsi="宋体" w:cs="宋体" w:eastAsia="宋体" w:hint="default"/>
        </w:rPr>
        <w:t>2</w:t>
      </w:r>
      <w:r>
        <w:rPr/>
        <w:t>）加强分子公司日常管理，以业务拓展为导向，以协同合作为核心，对同产业分子公司进行垂直 管理，降低管理风险，提升协同价值；</w:t>
      </w:r>
    </w:p>
    <w:p>
      <w:pPr>
        <w:pStyle w:val="BodyText"/>
        <w:spacing w:line="408" w:lineRule="auto"/>
        <w:ind w:left="1134" w:right="1138" w:firstLine="423"/>
        <w:jc w:val="both"/>
      </w:pPr>
      <w:r>
        <w:rPr/>
        <w:t>（</w:t>
      </w:r>
      <w:r>
        <w:rPr>
          <w:rFonts w:ascii="宋体" w:hAnsi="宋体" w:cs="宋体" w:eastAsia="宋体" w:hint="default"/>
        </w:rPr>
        <w:t>3</w:t>
      </w:r>
      <w:r>
        <w:rPr/>
        <w:t>）规范投后管理，对所投资企业从董事会决策，日常报告等多维度参与重大事项管理，督促所属 企业规范运作，科学决策。</w:t>
      </w:r>
    </w:p>
    <w:p>
      <w:pPr>
        <w:pStyle w:val="Heading2"/>
        <w:spacing w:line="240" w:lineRule="auto" w:before="23"/>
        <w:ind w:left="1616" w:right="1121"/>
        <w:jc w:val="left"/>
        <w:rPr>
          <w:b w:val="0"/>
          <w:bCs w:val="0"/>
        </w:rPr>
      </w:pPr>
      <w:r>
        <w:rPr/>
        <w:t>公司经本次董事会审议通过的利润分配预案为：以</w:t>
      </w:r>
      <w:r>
        <w:rPr>
          <w:spacing w:val="-79"/>
        </w:rPr>
        <w:t> </w:t>
      </w:r>
      <w:r>
        <w:rPr>
          <w:rFonts w:ascii="宋体" w:hAnsi="宋体" w:cs="宋体" w:eastAsia="宋体" w:hint="default"/>
        </w:rPr>
        <w:t>414,849,620</w:t>
      </w:r>
      <w:r>
        <w:rPr>
          <w:rFonts w:ascii="宋体" w:hAnsi="宋体" w:cs="宋体" w:eastAsia="宋体" w:hint="default"/>
          <w:spacing w:val="-80"/>
        </w:rPr>
        <w:t> </w:t>
      </w:r>
      <w:r>
        <w:rPr/>
        <w:t>为基数，向全体股东每</w:t>
      </w:r>
      <w:r>
        <w:rPr>
          <w:b w:val="0"/>
          <w:bCs w:val="0"/>
        </w:rPr>
      </w:r>
    </w:p>
    <w:p>
      <w:pPr>
        <w:pStyle w:val="Heading2"/>
        <w:spacing w:line="240" w:lineRule="auto" w:before="154"/>
        <w:ind w:right="0"/>
        <w:jc w:val="left"/>
        <w:rPr>
          <w:b w:val="0"/>
          <w:bCs w:val="0"/>
        </w:rPr>
      </w:pPr>
      <w:r>
        <w:rPr>
          <w:rFonts w:ascii="宋体" w:hAnsi="宋体" w:cs="宋体" w:eastAsia="宋体" w:hint="default"/>
          <w:spacing w:val="1"/>
          <w:w w:val="99"/>
        </w:rPr>
        <w:t>1</w:t>
      </w:r>
      <w:r>
        <w:rPr>
          <w:rFonts w:ascii="宋体" w:hAnsi="宋体" w:cs="宋体" w:eastAsia="宋体" w:hint="default"/>
          <w:w w:val="99"/>
        </w:rPr>
        <w:t>0</w:t>
      </w:r>
      <w:r>
        <w:rPr>
          <w:rFonts w:ascii="宋体" w:hAnsi="宋体" w:cs="宋体" w:eastAsia="宋体" w:hint="default"/>
          <w:spacing w:val="-60"/>
        </w:rPr>
        <w:t> </w:t>
      </w:r>
      <w:r>
        <w:rPr>
          <w:w w:val="99"/>
        </w:rPr>
        <w:t>股派发现金红利</w:t>
      </w:r>
      <w:r>
        <w:rPr>
          <w:spacing w:val="-59"/>
        </w:rPr>
        <w:t> </w:t>
      </w:r>
      <w:r>
        <w:rPr>
          <w:rFonts w:ascii="宋体" w:hAnsi="宋体" w:cs="宋体" w:eastAsia="宋体" w:hint="default"/>
          <w:w w:val="99"/>
        </w:rPr>
        <w:t>0.00</w:t>
      </w:r>
      <w:r>
        <w:rPr>
          <w:rFonts w:ascii="宋体" w:hAnsi="宋体" w:cs="宋体" w:eastAsia="宋体" w:hint="default"/>
          <w:spacing w:val="-60"/>
        </w:rPr>
        <w:t> </w:t>
      </w:r>
      <w:r>
        <w:rPr>
          <w:spacing w:val="-15"/>
          <w:w w:val="99"/>
        </w:rPr>
        <w:t>元</w:t>
      </w:r>
      <w:r>
        <w:rPr>
          <w:w w:val="99"/>
        </w:rPr>
        <w:t>（含税</w:t>
      </w:r>
      <w:r>
        <w:rPr>
          <w:spacing w:val="-119"/>
          <w:w w:val="99"/>
        </w:rPr>
        <w:t>）</w:t>
      </w:r>
      <w:r>
        <w:rPr>
          <w:spacing w:val="-16"/>
          <w:w w:val="99"/>
        </w:rPr>
        <w:t>，</w:t>
      </w:r>
      <w:r>
        <w:rPr>
          <w:w w:val="99"/>
        </w:rPr>
        <w:t>送红股</w:t>
      </w:r>
      <w:r>
        <w:rPr>
          <w:spacing w:val="-59"/>
        </w:rPr>
        <w:t> </w:t>
      </w:r>
      <w:r>
        <w:rPr>
          <w:rFonts w:ascii="宋体" w:hAnsi="宋体" w:cs="宋体" w:eastAsia="宋体" w:hint="default"/>
          <w:w w:val="99"/>
        </w:rPr>
        <w:t>0</w:t>
      </w:r>
      <w:r>
        <w:rPr>
          <w:rFonts w:ascii="宋体" w:hAnsi="宋体" w:cs="宋体" w:eastAsia="宋体" w:hint="default"/>
          <w:spacing w:val="-60"/>
        </w:rPr>
        <w:t> </w:t>
      </w:r>
      <w:r>
        <w:rPr>
          <w:spacing w:val="-15"/>
          <w:w w:val="99"/>
        </w:rPr>
        <w:t>股</w:t>
      </w:r>
      <w:r>
        <w:rPr>
          <w:w w:val="99"/>
        </w:rPr>
        <w:t>（含税</w:t>
      </w:r>
      <w:r>
        <w:rPr>
          <w:spacing w:val="-119"/>
          <w:w w:val="99"/>
        </w:rPr>
        <w:t>）</w:t>
      </w:r>
      <w:r>
        <w:rPr>
          <w:spacing w:val="-16"/>
          <w:w w:val="99"/>
        </w:rPr>
        <w:t>，</w:t>
      </w:r>
      <w:r>
        <w:rPr>
          <w:w w:val="99"/>
        </w:rPr>
        <w:t>以资本公积金向全体股</w:t>
      </w:r>
      <w:r>
        <w:rPr>
          <w:spacing w:val="2"/>
          <w:w w:val="99"/>
        </w:rPr>
        <w:t>东</w:t>
      </w:r>
      <w:r>
        <w:rPr>
          <w:w w:val="99"/>
        </w:rPr>
        <w:t>每</w:t>
      </w:r>
      <w:r>
        <w:rPr>
          <w:spacing w:val="-60"/>
        </w:rPr>
        <w:t> </w:t>
      </w:r>
      <w:r>
        <w:rPr>
          <w:rFonts w:ascii="宋体" w:hAnsi="宋体" w:cs="宋体" w:eastAsia="宋体" w:hint="default"/>
          <w:spacing w:val="1"/>
          <w:w w:val="99"/>
        </w:rPr>
        <w:t>1</w:t>
      </w:r>
      <w:r>
        <w:rPr>
          <w:rFonts w:ascii="宋体" w:hAnsi="宋体" w:cs="宋体" w:eastAsia="宋体" w:hint="default"/>
          <w:w w:val="99"/>
        </w:rPr>
        <w:t>0</w:t>
      </w:r>
      <w:r>
        <w:rPr>
          <w:rFonts w:ascii="宋体" w:hAnsi="宋体" w:cs="宋体" w:eastAsia="宋体" w:hint="default"/>
          <w:spacing w:val="-60"/>
        </w:rPr>
        <w:t> </w:t>
      </w:r>
      <w:r>
        <w:rPr>
          <w:w w:val="99"/>
        </w:rPr>
        <w:t>股</w:t>
      </w:r>
      <w:r>
        <w:rPr>
          <w:b w:val="0"/>
          <w:bCs w:val="0"/>
        </w:rPr>
      </w:r>
    </w:p>
    <w:p>
      <w:pPr>
        <w:pStyle w:val="Heading2"/>
        <w:spacing w:line="240" w:lineRule="auto" w:before="154"/>
        <w:ind w:left="1133" w:right="1121"/>
        <w:jc w:val="left"/>
        <w:rPr>
          <w:b w:val="0"/>
          <w:bCs w:val="0"/>
        </w:rPr>
      </w:pPr>
      <w:r>
        <w:rPr/>
        <w:t>转增</w:t>
      </w:r>
      <w:r>
        <w:rPr>
          <w:spacing w:val="-61"/>
        </w:rPr>
        <w:t> </w:t>
      </w:r>
      <w:r>
        <w:rPr>
          <w:rFonts w:ascii="宋体" w:hAnsi="宋体" w:cs="宋体" w:eastAsia="宋体" w:hint="default"/>
        </w:rPr>
        <w:t>0</w:t>
      </w:r>
      <w:r>
        <w:rPr>
          <w:rFonts w:ascii="宋体" w:hAnsi="宋体" w:cs="宋体" w:eastAsia="宋体" w:hint="default"/>
          <w:spacing w:val="-61"/>
        </w:rPr>
        <w:t> </w:t>
      </w:r>
      <w:r>
        <w:rPr/>
        <w:t>股。</w:t>
      </w:r>
      <w:r>
        <w:rPr>
          <w:b w:val="0"/>
          <w:bCs w:val="0"/>
        </w:rPr>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p>
      <w:pPr>
        <w:spacing w:line="460" w:lineRule="exact" w:before="0"/>
        <w:ind w:left="1"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0762" w:val="right" w:leader="dot"/>
            </w:tabs>
            <w:spacing w:line="240" w:lineRule="auto" w:before="452"/>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10762" w:val="right" w:leader="dot"/>
            </w:tabs>
            <w:spacing w:line="240" w:lineRule="auto" w:before="434"/>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6</w:t>
            </w:r>
          </w:hyperlink>
        </w:p>
        <w:p>
          <w:pPr>
            <w:pStyle w:val="TOC1"/>
            <w:tabs>
              <w:tab w:pos="10762" w:val="right" w:leader="dot"/>
            </w:tabs>
            <w:spacing w:line="240" w:lineRule="auto"/>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9</w:t>
            </w:r>
          </w:hyperlink>
        </w:p>
        <w:p>
          <w:pPr>
            <w:pStyle w:val="TOC1"/>
            <w:tabs>
              <w:tab w:pos="10762" w:val="right" w:leader="dot"/>
            </w:tabs>
            <w:spacing w:line="240" w:lineRule="auto"/>
            <w:ind w:right="0"/>
            <w:jc w:val="left"/>
            <w:rPr>
              <w:rFonts w:ascii="宋体" w:hAnsi="宋体" w:cs="宋体" w:eastAsia="宋体" w:hint="default"/>
            </w:rPr>
          </w:pPr>
          <w:hyperlink w:history="true" w:anchor="_bookmark3">
            <w:r>
              <w:rPr/>
              <w:t>第四节 经营情况讨论与分析</w:t>
            </w:r>
            <w:r>
              <w:rPr>
                <w:rFonts w:ascii="宋体" w:hAnsi="宋体" w:cs="宋体" w:eastAsia="宋体" w:hint="default"/>
              </w:rPr>
              <w:tab/>
              <w:t>17</w:t>
            </w:r>
          </w:hyperlink>
        </w:p>
        <w:p>
          <w:pPr>
            <w:pStyle w:val="TOC1"/>
            <w:tabs>
              <w:tab w:pos="10762" w:val="right" w:leader="dot"/>
            </w:tabs>
            <w:spacing w:line="240" w:lineRule="auto" w:before="434"/>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37</w:t>
            </w:r>
          </w:hyperlink>
        </w:p>
        <w:p>
          <w:pPr>
            <w:pStyle w:val="TOC1"/>
            <w:tabs>
              <w:tab w:pos="10762" w:val="right" w:leader="dot"/>
            </w:tabs>
            <w:spacing w:line="240" w:lineRule="auto"/>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62</w:t>
            </w:r>
          </w:hyperlink>
        </w:p>
        <w:p>
          <w:pPr>
            <w:pStyle w:val="TOC1"/>
            <w:tabs>
              <w:tab w:pos="10762"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68</w:t>
            </w:r>
          </w:hyperlink>
        </w:p>
        <w:p>
          <w:pPr>
            <w:pStyle w:val="TOC1"/>
            <w:tabs>
              <w:tab w:pos="10762" w:val="right" w:leader="dot"/>
            </w:tabs>
            <w:spacing w:line="240" w:lineRule="auto" w:before="434"/>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69</w:t>
            </w:r>
          </w:hyperlink>
        </w:p>
        <w:p>
          <w:pPr>
            <w:pStyle w:val="TOC1"/>
            <w:tabs>
              <w:tab w:pos="10762" w:val="right" w:leader="dot"/>
            </w:tabs>
            <w:spacing w:line="240" w:lineRule="auto" w:before="434"/>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78</w:t>
            </w:r>
          </w:hyperlink>
        </w:p>
        <w:p>
          <w:pPr>
            <w:pStyle w:val="TOC1"/>
            <w:tabs>
              <w:tab w:pos="10762" w:val="right" w:leader="dot"/>
            </w:tabs>
            <w:spacing w:line="240" w:lineRule="auto"/>
            <w:ind w:right="0"/>
            <w:jc w:val="left"/>
            <w:rPr>
              <w:rFonts w:ascii="宋体" w:hAnsi="宋体" w:cs="宋体" w:eastAsia="宋体" w:hint="default"/>
            </w:rPr>
          </w:pPr>
          <w:hyperlink w:history="true" w:anchor="_bookmark9">
            <w:r>
              <w:rPr/>
              <w:t>第十节 公司债券相关情况</w:t>
            </w:r>
            <w:r>
              <w:rPr>
                <w:rFonts w:ascii="宋体" w:hAnsi="宋体" w:cs="宋体" w:eastAsia="宋体" w:hint="default"/>
              </w:rPr>
              <w:tab/>
              <w:t>83</w:t>
            </w:r>
          </w:hyperlink>
        </w:p>
        <w:p>
          <w:pPr>
            <w:pStyle w:val="TOC1"/>
            <w:tabs>
              <w:tab w:pos="10762" w:val="right" w:leader="dot"/>
            </w:tabs>
            <w:spacing w:line="240" w:lineRule="auto" w:before="434"/>
            <w:ind w:right="0"/>
            <w:jc w:val="left"/>
            <w:rPr>
              <w:rFonts w:ascii="宋体" w:hAnsi="宋体" w:cs="宋体" w:eastAsia="宋体" w:hint="default"/>
            </w:rPr>
          </w:pPr>
          <w:hyperlink w:history="true" w:anchor="_bookmark10">
            <w:r>
              <w:rPr/>
              <w:t>第十一节 财务报告</w:t>
            </w:r>
            <w:r>
              <w:rPr>
                <w:rFonts w:ascii="宋体" w:hAnsi="宋体" w:cs="宋体" w:eastAsia="宋体" w:hint="default"/>
              </w:rPr>
              <w:tab/>
              <w:t>84</w:t>
            </w:r>
          </w:hyperlink>
        </w:p>
        <w:p>
          <w:pPr>
            <w:pStyle w:val="TOC1"/>
            <w:tabs>
              <w:tab w:pos="10762" w:val="right" w:leader="dot"/>
            </w:tabs>
            <w:spacing w:line="240" w:lineRule="auto"/>
            <w:ind w:right="0"/>
            <w:jc w:val="left"/>
            <w:rPr>
              <w:rFonts w:ascii="宋体" w:hAnsi="宋体" w:cs="宋体" w:eastAsia="宋体" w:hint="default"/>
            </w:rPr>
          </w:pPr>
          <w:hyperlink w:history="true" w:anchor="_bookmark11">
            <w:r>
              <w:rPr/>
              <w:t>第十二节 备查文件目录</w:t>
            </w:r>
            <w:r>
              <w:rPr>
                <w:rFonts w:ascii="宋体" w:hAnsi="宋体" w:cs="宋体" w:eastAsia="宋体" w:hint="default"/>
              </w:rPr>
              <w:tab/>
              <w:t>197</w:t>
            </w:r>
          </w:hyperlink>
        </w:p>
        <w:p>
          <w:pPr/>
          <w:r>
            <w:fldChar w:fldCharType="end"/>
          </w:r>
        </w:p>
      </w:sdtContent>
    </w:sdt>
    <w:p>
      <w:pPr>
        <w:spacing w:after="0"/>
        <w:sectPr>
          <w:pgSz w:w="11910" w:h="16840"/>
          <w:pgMar w:header="747" w:footer="1000" w:top="1040" w:bottom="1180" w:left="0" w:right="0"/>
        </w:sectPr>
      </w:pPr>
    </w:p>
    <w:p>
      <w:pPr>
        <w:tabs>
          <w:tab w:pos="643" w:val="left" w:leader="none"/>
        </w:tabs>
        <w:spacing w:before="435"/>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tbl>
      <w:tblPr>
        <w:tblW w:w="0" w:type="auto"/>
        <w:jc w:val="left"/>
        <w:tblInd w:w="1090" w:type="dxa"/>
        <w:tblLayout w:type="fixed"/>
        <w:tblCellMar>
          <w:top w:w="0" w:type="dxa"/>
          <w:left w:w="0" w:type="dxa"/>
          <w:bottom w:w="0" w:type="dxa"/>
          <w:right w:w="0" w:type="dxa"/>
        </w:tblCellMar>
        <w:tblLook w:val="01E0"/>
      </w:tblPr>
      <w:tblGrid>
        <w:gridCol w:w="2733"/>
        <w:gridCol w:w="829"/>
        <w:gridCol w:w="6008"/>
      </w:tblGrid>
      <w:tr>
        <w:trPr>
          <w:trHeight w:val="414" w:hRule="exact"/>
        </w:trPr>
        <w:tc>
          <w:tcPr>
            <w:tcW w:w="273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8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光一科技</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本公司</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光一投资</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江苏光一投资管理有限责任公司、本公司控股股东</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苏源光一</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江苏苏源光一科技有限公司、本公司全资子公司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智友尚云</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南京智友尚云信息技术有限公司、本公司全资子公司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光一贵仁</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江苏光一贵仁股权投资基金管理有限公司、本公司全资子公司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索瑞电气</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湖北索瑞电气有限公司、本公司全资子公司</w:t>
            </w:r>
          </w:p>
        </w:tc>
      </w:tr>
      <w:tr>
        <w:trPr>
          <w:trHeight w:val="408"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德能工程</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江苏光一德能电气工程有限公司、本公司全资子公司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德能设计</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江苏德能电力设计咨询有限公司、本公司控股子公司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云商天下</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南京云商天下信息技术有限公司、本公司控股子公司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中云文化大数据</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中云文化大数据科技有限公司、本公司参股公司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中广格兰</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北京中广格兰信息科技有限公司、本公司参股公司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九联科技</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广东九联科技股份有限公司、本公司参股公司</w:t>
            </w:r>
          </w:p>
        </w:tc>
      </w:tr>
      <w:tr>
        <w:trPr>
          <w:trHeight w:val="408"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今程光一</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广东今程光一电力科技有限责任公司、本公司参股公司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其厚电气</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江苏其厚智能电气设备有限公司、本公司参股公司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大数有容</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北京大数有容科技有限公司、本公司参股公司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天擎华媒</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天擎华媒（北京）科技有限公司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光一文投</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南京光一文化产业投资发展合伙企业（有限合伙</w:t>
            </w:r>
            <w:r>
              <w:rPr>
                <w:rFonts w:ascii="宋体" w:hAnsi="宋体" w:cs="宋体" w:eastAsia="宋体" w:hint="default"/>
                <w:spacing w:val="-90"/>
                <w:sz w:val="18"/>
                <w:szCs w:val="18"/>
              </w:rPr>
              <w:t>）</w:t>
            </w:r>
            <w:r>
              <w:rPr>
                <w:rFonts w:ascii="宋体" w:hAnsi="宋体" w:cs="宋体" w:eastAsia="宋体" w:hint="default"/>
                <w:sz w:val="18"/>
                <w:szCs w:val="18"/>
              </w:rPr>
              <w:t>、本公司投资平台</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光一版权云</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南京光一版权云大数据服务合伙企业（有限合伙</w:t>
            </w:r>
            <w:r>
              <w:rPr>
                <w:rFonts w:ascii="宋体" w:hAnsi="宋体" w:cs="宋体" w:eastAsia="宋体" w:hint="default"/>
                <w:spacing w:val="-90"/>
                <w:sz w:val="18"/>
                <w:szCs w:val="18"/>
              </w:rPr>
              <w:t>）</w:t>
            </w:r>
            <w:r>
              <w:rPr>
                <w:rFonts w:ascii="宋体" w:hAnsi="宋体" w:cs="宋体" w:eastAsia="宋体" w:hint="default"/>
                <w:sz w:val="18"/>
                <w:szCs w:val="18"/>
              </w:rPr>
              <w:t>、本公司投资平台</w:t>
            </w:r>
          </w:p>
        </w:tc>
      </w:tr>
      <w:tr>
        <w:trPr>
          <w:trHeight w:val="408"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海誉动想</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北京海誉动想科技股份有限公司、光一文投投资企业</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火星文化</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天津火星文化有限公司、光一文投投资企业</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龙源数媒</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龙源创新数字传媒（北京）股份有限公司、光一文投投资企业</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梦知网络</w:t>
            </w:r>
            <w:r>
              <w:rPr>
                <w:rFonts w:ascii="宋体" w:hAnsi="宋体" w:cs="宋体" w:eastAsia="宋体" w:hint="default"/>
                <w:sz w:val="18"/>
                <w:szCs w:val="18"/>
              </w:rPr>
              <w:t>/</w:t>
            </w:r>
            <w:r>
              <w:rPr>
                <w:rFonts w:ascii="宋体" w:hAnsi="宋体" w:cs="宋体" w:eastAsia="宋体" w:hint="default"/>
                <w:sz w:val="18"/>
                <w:szCs w:val="18"/>
              </w:rPr>
              <w:t>权大师</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北京梦知网络科技有限公司、光一文投投资企业</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江苏数道</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江苏数道科技有限公司</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sz w:val="18"/>
              </w:rPr>
              <w:t>CCDI</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中国文化（出版广电）大数据产业项目</w:t>
            </w:r>
          </w:p>
        </w:tc>
      </w:tr>
      <w:tr>
        <w:trPr>
          <w:trHeight w:val="408"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版权云项目</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国家数字音像传播服务平台</w:t>
            </w:r>
          </w:p>
        </w:tc>
      </w:tr>
      <w:tr>
        <w:trPr>
          <w:trHeight w:val="407" w:hRule="exact"/>
        </w:trPr>
        <w:tc>
          <w:tcPr>
            <w:tcW w:w="2733"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报告期</w:t>
            </w:r>
          </w:p>
        </w:tc>
        <w:tc>
          <w:tcPr>
            <w:tcW w:w="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15" w:hRule="exact"/>
        </w:trPr>
        <w:tc>
          <w:tcPr>
            <w:tcW w:w="2733" w:type="dxa"/>
            <w:tcBorders>
              <w:top w:val="single" w:sz="6" w:space="0" w:color="000000"/>
              <w:left w:val="single" w:sz="12" w:space="0" w:color="000000"/>
              <w:bottom w:val="single" w:sz="12" w:space="0" w:color="000000"/>
              <w:right w:val="single" w:sz="14" w:space="0" w:color="D2D2D2"/>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万元</w:t>
            </w:r>
          </w:p>
        </w:tc>
        <w:tc>
          <w:tcPr>
            <w:tcW w:w="82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008"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宋体" w:hAnsi="宋体" w:cs="宋体" w:eastAsia="宋体"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Heading1"/>
        <w:spacing w:line="240" w:lineRule="auto"/>
        <w:ind w:left="3624" w:right="1121"/>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121"/>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2695"/>
        <w:gridCol w:w="2543"/>
        <w:gridCol w:w="2157"/>
        <w:gridCol w:w="1963"/>
      </w:tblGrid>
      <w:tr>
        <w:trPr>
          <w:trHeight w:val="477"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5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c>
          <w:tcPr>
            <w:tcW w:w="21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1"/>
              <w:ind w:left="7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96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1"/>
              <w:ind w:left="20" w:right="0"/>
              <w:jc w:val="left"/>
              <w:rPr>
                <w:rFonts w:ascii="宋体" w:hAnsi="宋体" w:cs="宋体" w:eastAsia="宋体" w:hint="default"/>
                <w:sz w:val="18"/>
                <w:szCs w:val="18"/>
              </w:rPr>
            </w:pPr>
            <w:r>
              <w:rPr>
                <w:rFonts w:ascii="宋体"/>
                <w:sz w:val="18"/>
              </w:rPr>
              <w:t>300356</w:t>
            </w:r>
          </w:p>
        </w:tc>
      </w:tr>
      <w:tr>
        <w:trPr>
          <w:trHeight w:val="326"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66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32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66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r>
      <w:tr>
        <w:trPr>
          <w:trHeight w:val="326"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r>
      <w:tr>
        <w:trPr>
          <w:trHeight w:val="32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66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南京市江宁经济技术开发区胜太路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26"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sz w:val="18"/>
              </w:rPr>
              <w:t>210000</w:t>
            </w:r>
          </w:p>
        </w:tc>
      </w:tr>
      <w:tr>
        <w:trPr>
          <w:trHeight w:val="32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66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26"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sz w:val="18"/>
              </w:rPr>
              <w:t>211106</w:t>
            </w:r>
          </w:p>
        </w:tc>
      </w:tr>
      <w:tr>
        <w:trPr>
          <w:trHeight w:val="32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20" w:right="0"/>
              <w:jc w:val="left"/>
              <w:rPr>
                <w:rFonts w:ascii="宋体" w:hAnsi="宋体" w:cs="宋体" w:eastAsia="宋体" w:hint="default"/>
                <w:sz w:val="18"/>
                <w:szCs w:val="18"/>
              </w:rPr>
            </w:pPr>
            <w:hyperlink r:id="rId9">
              <w:r>
                <w:rPr>
                  <w:rFonts w:ascii="宋体"/>
                  <w:sz w:val="18"/>
                </w:rPr>
                <w:t>http://www.elefirst.com</w:t>
              </w:r>
            </w:hyperlink>
          </w:p>
        </w:tc>
      </w:tr>
      <w:tr>
        <w:trPr>
          <w:trHeight w:val="334"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663"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hyperlink r:id="rId10">
              <w:r>
                <w:rPr>
                  <w:rFonts w:ascii="宋体"/>
                  <w:sz w:val="18"/>
                </w:rPr>
                <w:t>gykj3003</w:t>
              </w:r>
            </w:hyperlink>
            <w:hyperlink r:id="rId11">
              <w:r>
                <w:rPr>
                  <w:rFonts w:ascii="宋体"/>
                  <w:sz w:val="18"/>
                </w:rPr>
                <w:t>56@163.com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21"/>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5"/>
        <w:rPr>
          <w:rFonts w:ascii="宋体" w:hAnsi="宋体" w:cs="宋体" w:eastAsia="宋体" w:hint="default"/>
          <w:b/>
          <w:bCs/>
          <w:sz w:val="28"/>
          <w:szCs w:val="28"/>
        </w:rPr>
      </w:pPr>
    </w:p>
    <w:tbl>
      <w:tblPr>
        <w:tblW w:w="0" w:type="auto"/>
        <w:jc w:val="left"/>
        <w:tblInd w:w="1118" w:type="dxa"/>
        <w:tblLayout w:type="fixed"/>
        <w:tblCellMar>
          <w:top w:w="0" w:type="dxa"/>
          <w:left w:w="0" w:type="dxa"/>
          <w:bottom w:w="0" w:type="dxa"/>
          <w:right w:w="0" w:type="dxa"/>
        </w:tblCellMar>
        <w:tblLook w:val="01E0"/>
      </w:tblPr>
      <w:tblGrid>
        <w:gridCol w:w="2695"/>
        <w:gridCol w:w="3686"/>
        <w:gridCol w:w="2977"/>
      </w:tblGrid>
      <w:tr>
        <w:trPr>
          <w:trHeight w:val="405"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6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97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115" w:hRule="exact"/>
        </w:trPr>
        <w:tc>
          <w:tcPr>
            <w:tcW w:w="2695" w:type="dxa"/>
            <w:tcBorders>
              <w:top w:val="single" w:sz="28" w:space="0" w:color="D2D2D2"/>
              <w:left w:val="single" w:sz="12" w:space="0" w:color="000000"/>
              <w:bottom w:val="nil" w:sz="6" w:space="0" w:color="auto"/>
              <w:right w:val="single" w:sz="6" w:space="0" w:color="000000"/>
            </w:tcBorders>
          </w:tcPr>
          <w:p>
            <w:pPr/>
          </w:p>
        </w:tc>
        <w:tc>
          <w:tcPr>
            <w:tcW w:w="3686" w:type="dxa"/>
            <w:vMerge w:val="restart"/>
            <w:tcBorders>
              <w:top w:val="single" w:sz="34" w:space="0" w:color="D2D2D2"/>
              <w:left w:val="single" w:sz="14" w:space="0" w:color="D2D2D2"/>
              <w:right w:val="single" w:sz="6" w:space="0" w:color="000000"/>
            </w:tcBorders>
          </w:tcPr>
          <w:p>
            <w:pPr>
              <w:pStyle w:val="TableParagraph"/>
              <w:spacing w:line="240" w:lineRule="auto" w:before="82"/>
              <w:ind w:right="10"/>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977" w:type="dxa"/>
            <w:vMerge w:val="restart"/>
            <w:tcBorders>
              <w:top w:val="single" w:sz="34" w:space="0" w:color="D2D2D2"/>
              <w:left w:val="single" w:sz="6" w:space="0" w:color="000000"/>
              <w:right w:val="single" w:sz="12" w:space="0" w:color="000000"/>
            </w:tcBorders>
          </w:tcPr>
          <w:p>
            <w:pPr>
              <w:pStyle w:val="TableParagraph"/>
              <w:spacing w:line="240" w:lineRule="auto" w:before="82"/>
              <w:ind w:left="7" w:right="0"/>
              <w:jc w:val="center"/>
              <w:rPr>
                <w:rFonts w:ascii="宋体" w:hAnsi="宋体" w:cs="宋体" w:eastAsia="宋体" w:hint="default"/>
                <w:sz w:val="18"/>
                <w:szCs w:val="18"/>
              </w:rPr>
            </w:pPr>
            <w:r>
              <w:rPr>
                <w:rFonts w:ascii="宋体" w:hAnsi="宋体" w:cs="宋体" w:eastAsia="宋体" w:hint="default"/>
                <w:sz w:val="18"/>
                <w:szCs w:val="18"/>
              </w:rPr>
              <w:t>李盛春</w:t>
            </w:r>
          </w:p>
        </w:tc>
      </w:tr>
      <w:tr>
        <w:trPr>
          <w:trHeight w:val="430" w:hRule="exact"/>
        </w:trPr>
        <w:tc>
          <w:tcPr>
            <w:tcW w:w="2695" w:type="dxa"/>
            <w:tcBorders>
              <w:top w:val="nil" w:sz="6" w:space="0" w:color="auto"/>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10"/>
              <w:ind w:right="978"/>
              <w:jc w:val="right"/>
              <w:rPr>
                <w:rFonts w:ascii="宋体" w:hAnsi="宋体" w:cs="宋体" w:eastAsia="宋体" w:hint="default"/>
                <w:sz w:val="18"/>
                <w:szCs w:val="18"/>
              </w:rPr>
            </w:pPr>
            <w:r>
              <w:rPr>
                <w:rFonts w:ascii="宋体" w:hAnsi="宋体" w:cs="宋体" w:eastAsia="宋体" w:hint="default"/>
                <w:sz w:val="18"/>
                <w:szCs w:val="18"/>
              </w:rPr>
              <w:t>姓</w:t>
              <w:tab/>
              <w:t>名</w:t>
            </w:r>
          </w:p>
        </w:tc>
        <w:tc>
          <w:tcPr>
            <w:tcW w:w="3686" w:type="dxa"/>
            <w:vMerge/>
            <w:tcBorders>
              <w:left w:val="single" w:sz="14" w:space="0" w:color="D2D2D2"/>
              <w:bottom w:val="single" w:sz="6" w:space="0" w:color="000000"/>
              <w:right w:val="single" w:sz="6" w:space="0" w:color="000000"/>
            </w:tcBorders>
          </w:tcPr>
          <w:p>
            <w:pPr/>
          </w:p>
        </w:tc>
        <w:tc>
          <w:tcPr>
            <w:tcW w:w="2977" w:type="dxa"/>
            <w:vMerge/>
            <w:tcBorders>
              <w:left w:val="single" w:sz="6" w:space="0" w:color="000000"/>
              <w:bottom w:val="single" w:sz="6" w:space="0" w:color="000000"/>
              <w:right w:val="single" w:sz="12" w:space="0" w:color="000000"/>
            </w:tcBorders>
          </w:tcPr>
          <w:p>
            <w:pPr/>
          </w:p>
        </w:tc>
      </w:tr>
      <w:tr>
        <w:trPr>
          <w:trHeight w:val="469"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3"/>
              <w:ind w:right="978"/>
              <w:jc w:val="right"/>
              <w:rPr>
                <w:rFonts w:ascii="宋体" w:hAnsi="宋体" w:cs="宋体" w:eastAsia="宋体" w:hint="default"/>
                <w:sz w:val="18"/>
                <w:szCs w:val="18"/>
              </w:rPr>
            </w:pPr>
            <w:r>
              <w:rPr>
                <w:rFonts w:ascii="宋体" w:hAnsi="宋体" w:cs="宋体" w:eastAsia="宋体" w:hint="default"/>
                <w:sz w:val="18"/>
                <w:szCs w:val="18"/>
              </w:rPr>
              <w:t>联系地址</w:t>
            </w:r>
          </w:p>
        </w:tc>
        <w:tc>
          <w:tcPr>
            <w:tcW w:w="36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3"/>
              <w:ind w:right="9"/>
              <w:jc w:val="center"/>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7" w:right="0"/>
              <w:jc w:val="center"/>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69"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43"/>
              <w:ind w:right="978"/>
              <w:jc w:val="right"/>
              <w:rPr>
                <w:rFonts w:ascii="宋体" w:hAnsi="宋体" w:cs="宋体" w:eastAsia="宋体" w:hint="default"/>
                <w:sz w:val="18"/>
                <w:szCs w:val="18"/>
              </w:rPr>
            </w:pPr>
            <w:r>
              <w:rPr>
                <w:rFonts w:ascii="宋体" w:hAnsi="宋体" w:cs="宋体" w:eastAsia="宋体" w:hint="default"/>
                <w:sz w:val="18"/>
                <w:szCs w:val="18"/>
              </w:rPr>
              <w:t>电</w:t>
              <w:tab/>
              <w:t>话</w:t>
            </w:r>
          </w:p>
        </w:tc>
        <w:tc>
          <w:tcPr>
            <w:tcW w:w="36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3"/>
              <w:ind w:right="10"/>
              <w:jc w:val="center"/>
              <w:rPr>
                <w:rFonts w:ascii="宋体" w:hAnsi="宋体" w:cs="宋体" w:eastAsia="宋体" w:hint="default"/>
                <w:sz w:val="18"/>
                <w:szCs w:val="18"/>
              </w:rPr>
            </w:pPr>
            <w:r>
              <w:rPr>
                <w:rFonts w:ascii="宋体"/>
                <w:sz w:val="18"/>
              </w:rPr>
              <w:t>025-68531928</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7" w:right="0"/>
              <w:jc w:val="center"/>
              <w:rPr>
                <w:rFonts w:ascii="宋体" w:hAnsi="宋体" w:cs="宋体" w:eastAsia="宋体" w:hint="default"/>
                <w:sz w:val="18"/>
                <w:szCs w:val="18"/>
              </w:rPr>
            </w:pPr>
            <w:r>
              <w:rPr>
                <w:rFonts w:ascii="宋体"/>
                <w:sz w:val="18"/>
              </w:rPr>
              <w:t>025-68531928</w:t>
            </w:r>
          </w:p>
        </w:tc>
      </w:tr>
      <w:tr>
        <w:trPr>
          <w:trHeight w:val="469"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43"/>
              <w:ind w:right="978"/>
              <w:jc w:val="right"/>
              <w:rPr>
                <w:rFonts w:ascii="宋体" w:hAnsi="宋体" w:cs="宋体" w:eastAsia="宋体" w:hint="default"/>
                <w:sz w:val="18"/>
                <w:szCs w:val="18"/>
              </w:rPr>
            </w:pPr>
            <w:r>
              <w:rPr>
                <w:rFonts w:ascii="宋体" w:hAnsi="宋体" w:cs="宋体" w:eastAsia="宋体" w:hint="default"/>
                <w:sz w:val="18"/>
                <w:szCs w:val="18"/>
              </w:rPr>
              <w:t>传</w:t>
              <w:tab/>
              <w:t>真</w:t>
            </w:r>
          </w:p>
        </w:tc>
        <w:tc>
          <w:tcPr>
            <w:tcW w:w="36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3"/>
              <w:ind w:right="10"/>
              <w:jc w:val="center"/>
              <w:rPr>
                <w:rFonts w:ascii="宋体" w:hAnsi="宋体" w:cs="宋体" w:eastAsia="宋体" w:hint="default"/>
                <w:sz w:val="18"/>
                <w:szCs w:val="18"/>
              </w:rPr>
            </w:pPr>
            <w:r>
              <w:rPr>
                <w:rFonts w:ascii="宋体"/>
                <w:sz w:val="18"/>
              </w:rPr>
              <w:t>025-68531868</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left="7" w:right="0"/>
              <w:jc w:val="center"/>
              <w:rPr>
                <w:rFonts w:ascii="宋体" w:hAnsi="宋体" w:cs="宋体" w:eastAsia="宋体" w:hint="default"/>
                <w:sz w:val="18"/>
                <w:szCs w:val="18"/>
              </w:rPr>
            </w:pPr>
            <w:r>
              <w:rPr>
                <w:rFonts w:ascii="宋体"/>
                <w:sz w:val="18"/>
              </w:rPr>
              <w:t>025-68531868</w:t>
            </w:r>
          </w:p>
        </w:tc>
      </w:tr>
      <w:tr>
        <w:trPr>
          <w:trHeight w:val="438"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2"/>
              <w:ind w:right="978"/>
              <w:jc w:val="right"/>
              <w:rPr>
                <w:rFonts w:ascii="宋体" w:hAnsi="宋体" w:cs="宋体" w:eastAsia="宋体" w:hint="default"/>
                <w:sz w:val="18"/>
                <w:szCs w:val="18"/>
              </w:rPr>
            </w:pPr>
            <w:r>
              <w:rPr>
                <w:rFonts w:ascii="宋体" w:hAnsi="宋体" w:cs="宋体" w:eastAsia="宋体" w:hint="default"/>
                <w:sz w:val="18"/>
                <w:szCs w:val="18"/>
              </w:rPr>
              <w:t>电子信箱</w:t>
            </w:r>
          </w:p>
        </w:tc>
        <w:tc>
          <w:tcPr>
            <w:tcW w:w="36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42"/>
              <w:ind w:right="9"/>
              <w:jc w:val="center"/>
              <w:rPr>
                <w:rFonts w:ascii="宋体" w:hAnsi="宋体" w:cs="宋体" w:eastAsia="宋体" w:hint="default"/>
                <w:sz w:val="18"/>
                <w:szCs w:val="18"/>
              </w:rPr>
            </w:pPr>
            <w:hyperlink r:id="rId10">
              <w:r>
                <w:rPr>
                  <w:rFonts w:ascii="宋体"/>
                  <w:sz w:val="18"/>
                </w:rPr>
                <w:t>gykj300356@163.com</w:t>
              </w:r>
            </w:hyperlink>
          </w:p>
        </w:tc>
        <w:tc>
          <w:tcPr>
            <w:tcW w:w="29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7" w:right="0"/>
              <w:jc w:val="center"/>
              <w:rPr>
                <w:rFonts w:ascii="宋体" w:hAnsi="宋体" w:cs="宋体" w:eastAsia="宋体" w:hint="default"/>
                <w:sz w:val="18"/>
                <w:szCs w:val="18"/>
              </w:rPr>
            </w:pPr>
            <w:hyperlink r:id="rId10">
              <w:r>
                <w:rPr>
                  <w:rFonts w:ascii="宋体"/>
                  <w:sz w:val="18"/>
                </w:rPr>
                <w:t>gykj300356@163.com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21"/>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3829"/>
        <w:gridCol w:w="5528"/>
      </w:tblGrid>
      <w:tr>
        <w:trPr>
          <w:trHeight w:val="476" w:hRule="exact"/>
        </w:trPr>
        <w:tc>
          <w:tcPr>
            <w:tcW w:w="38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2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1"/>
              <w:ind w:left="20"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69" w:hRule="exact"/>
        </w:trPr>
        <w:tc>
          <w:tcPr>
            <w:tcW w:w="38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right="9"/>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left="20" w:right="0"/>
              <w:jc w:val="left"/>
              <w:rPr>
                <w:rFonts w:ascii="宋体" w:hAnsi="宋体" w:cs="宋体" w:eastAsia="宋体" w:hint="default"/>
                <w:sz w:val="18"/>
                <w:szCs w:val="18"/>
              </w:rPr>
            </w:pPr>
            <w:hyperlink r:id="rId12">
              <w:r>
                <w:rPr>
                  <w:rFonts w:ascii="宋体"/>
                  <w:sz w:val="18"/>
                </w:rPr>
                <w:t>http://www.cninfo.com.cn</w:t>
              </w:r>
            </w:hyperlink>
          </w:p>
        </w:tc>
      </w:tr>
      <w:tr>
        <w:trPr>
          <w:trHeight w:val="477" w:hRule="exact"/>
        </w:trPr>
        <w:tc>
          <w:tcPr>
            <w:tcW w:w="38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2"/>
              <w:ind w:left="20" w:right="0"/>
              <w:jc w:val="left"/>
              <w:rPr>
                <w:rFonts w:ascii="宋体" w:hAnsi="宋体" w:cs="宋体" w:eastAsia="宋体" w:hint="default"/>
                <w:sz w:val="18"/>
                <w:szCs w:val="18"/>
              </w:rPr>
            </w:pPr>
            <w:r>
              <w:rPr>
                <w:rFonts w:ascii="宋体" w:hAnsi="宋体" w:cs="宋体" w:eastAsia="宋体" w:hint="default"/>
                <w:sz w:val="18"/>
                <w:szCs w:val="18"/>
              </w:rPr>
              <w:t>公司董事会办公室、深圳证券交易所</w:t>
            </w:r>
          </w:p>
        </w:tc>
      </w:tr>
    </w:tbl>
    <w:p>
      <w:pPr>
        <w:spacing w:line="240" w:lineRule="auto" w:before="12"/>
        <w:rPr>
          <w:rFonts w:ascii="宋体" w:hAnsi="宋体" w:cs="宋体" w:eastAsia="宋体" w:hint="default"/>
          <w:b/>
          <w:bCs/>
          <w:sz w:val="17"/>
          <w:szCs w:val="17"/>
        </w:rPr>
      </w:pPr>
    </w:p>
    <w:p>
      <w:pPr>
        <w:pStyle w:val="Heading2"/>
        <w:spacing w:line="240" w:lineRule="auto" w:before="26"/>
        <w:ind w:right="1121"/>
        <w:jc w:val="left"/>
        <w:rPr>
          <w:b w:val="0"/>
          <w:bCs w:val="0"/>
        </w:rPr>
      </w:pPr>
      <w:bookmarkStart w:name="四、其他有关资料" w:id="8"/>
      <w:bookmarkEnd w:id="8"/>
      <w:r>
        <w:rPr>
          <w:b w:val="0"/>
          <w:bCs w:val="0"/>
        </w:rPr>
      </w:r>
      <w:r>
        <w:rPr/>
        <w:t>四、其他有关资料</w:t>
      </w:r>
      <w:r>
        <w:rPr>
          <w:b w:val="0"/>
          <w:bCs w:val="0"/>
        </w:rPr>
      </w:r>
    </w:p>
    <w:p>
      <w:pPr>
        <w:pStyle w:val="BodyText"/>
        <w:spacing w:line="240" w:lineRule="auto" w:before="143"/>
        <w:ind w:right="1121"/>
        <w:jc w:val="left"/>
      </w:pPr>
      <w:r>
        <w:rPr/>
        <w:t>公司聘请的会计师事务所</w:t>
      </w:r>
    </w:p>
    <w:p>
      <w:pPr>
        <w:spacing w:line="240" w:lineRule="auto" w:before="12"/>
        <w:rPr>
          <w:rFonts w:ascii="宋体" w:hAnsi="宋体" w:cs="宋体" w:eastAsia="宋体" w:hint="default"/>
          <w:sz w:val="6"/>
          <w:szCs w:val="6"/>
        </w:rPr>
      </w:pPr>
    </w:p>
    <w:tbl>
      <w:tblPr>
        <w:tblW w:w="0" w:type="auto"/>
        <w:jc w:val="left"/>
        <w:tblInd w:w="1118" w:type="dxa"/>
        <w:tblLayout w:type="fixed"/>
        <w:tblCellMar>
          <w:top w:w="0" w:type="dxa"/>
          <w:left w:w="0" w:type="dxa"/>
          <w:bottom w:w="0" w:type="dxa"/>
          <w:right w:w="0" w:type="dxa"/>
        </w:tblCellMar>
        <w:tblLook w:val="01E0"/>
      </w:tblPr>
      <w:tblGrid>
        <w:gridCol w:w="2695"/>
        <w:gridCol w:w="6663"/>
      </w:tblGrid>
      <w:tr>
        <w:trPr>
          <w:trHeight w:val="415"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66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6"/>
                <w:sz w:val="18"/>
                <w:szCs w:val="18"/>
              </w:rPr>
              <w:t> </w:t>
            </w:r>
            <w:r>
              <w:rPr>
                <w:rFonts w:ascii="宋体" w:hAnsi="宋体" w:cs="宋体" w:eastAsia="宋体" w:hint="default"/>
                <w:sz w:val="18"/>
                <w:szCs w:val="18"/>
              </w:rPr>
              <w:t>550</w:t>
            </w:r>
            <w:r>
              <w:rPr>
                <w:rFonts w:ascii="宋体" w:hAnsi="宋体" w:cs="宋体" w:eastAsia="宋体" w:hint="default"/>
                <w:spacing w:val="-46"/>
                <w:sz w:val="18"/>
                <w:szCs w:val="18"/>
              </w:rPr>
              <w:t> </w:t>
            </w:r>
            <w:r>
              <w:rPr>
                <w:rFonts w:ascii="宋体" w:hAnsi="宋体" w:cs="宋体" w:eastAsia="宋体" w:hint="default"/>
                <w:sz w:val="18"/>
                <w:szCs w:val="18"/>
              </w:rPr>
              <w:t>号海洋大厦</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楼</w:t>
            </w:r>
          </w:p>
        </w:tc>
      </w:tr>
      <w:tr>
        <w:trPr>
          <w:trHeight w:val="415"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6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公司聘请的报告期内履行持续督导职责的保荐机构</w:t>
      </w:r>
    </w:p>
    <w:p>
      <w:pPr>
        <w:spacing w:line="240" w:lineRule="auto" w:before="10"/>
        <w:rPr>
          <w:rFonts w:ascii="宋体" w:hAnsi="宋体" w:cs="宋体" w:eastAsia="宋体" w:hint="default"/>
          <w:sz w:val="14"/>
          <w:szCs w:val="14"/>
        </w:rPr>
      </w:pPr>
    </w:p>
    <w:p>
      <w:pPr>
        <w:pStyle w:val="BodyText"/>
        <w:spacing w:line="408" w:lineRule="auto" w:before="0"/>
        <w:ind w:left="1134" w:right="6132"/>
        <w:jc w:val="left"/>
      </w:pPr>
      <w:r>
        <w:rPr/>
        <w:t>□ 适用 √</w:t>
      </w:r>
      <w:r>
        <w:rPr>
          <w:spacing w:val="-1"/>
        </w:rPr>
        <w:t> </w:t>
      </w:r>
      <w:r>
        <w:rPr/>
        <w:t>不适用</w:t>
      </w:r>
      <w:r>
        <w:rPr/>
        <w:t> 公司聘请的报告期内履行持续督导职责的财务顾问</w:t>
      </w:r>
    </w:p>
    <w:p>
      <w:pPr>
        <w:pStyle w:val="BodyText"/>
        <w:spacing w:line="240" w:lineRule="auto"/>
        <w:ind w:left="1134" w:right="1121"/>
        <w:jc w:val="left"/>
      </w:pPr>
      <w:r>
        <w:rPr/>
        <w:t>□ 适用 √</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1121"/>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before="0"/>
        <w:ind w:right="1121"/>
        <w:jc w:val="left"/>
      </w:pPr>
      <w:r>
        <w:rPr/>
        <w:t>公司是否需追溯调整或重述以前年度会计数据</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 是 √ 否</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622"/>
        <w:gridCol w:w="1739"/>
        <w:gridCol w:w="1736"/>
        <w:gridCol w:w="1738"/>
        <w:gridCol w:w="1735"/>
      </w:tblGrid>
      <w:tr>
        <w:trPr>
          <w:trHeight w:val="369" w:hRule="exact"/>
        </w:trPr>
        <w:tc>
          <w:tcPr>
            <w:tcW w:w="2622"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57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56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56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41"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39"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540,224,208.56</w:t>
            </w:r>
          </w:p>
        </w:tc>
        <w:tc>
          <w:tcPr>
            <w:tcW w:w="1736"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814,298,079.17</w:t>
            </w:r>
          </w:p>
        </w:tc>
        <w:tc>
          <w:tcPr>
            <w:tcW w:w="1738"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-33.66%</w:t>
            </w:r>
          </w:p>
        </w:tc>
        <w:tc>
          <w:tcPr>
            <w:tcW w:w="1735"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707,673,703.50</w:t>
            </w:r>
          </w:p>
        </w:tc>
      </w:tr>
      <w:tr>
        <w:trPr>
          <w:trHeight w:val="412"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-392,404,175.23</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63,786,713.83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-715.18%</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39,557,927.16</w:t>
            </w:r>
          </w:p>
        </w:tc>
      </w:tr>
      <w:tr>
        <w:trPr>
          <w:trHeight w:val="640"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576" w:right="41"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-408,211,975.10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44,142,962.31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-1,024.75%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30,902,934.86</w:t>
            </w:r>
          </w:p>
        </w:tc>
      </w:tr>
      <w:tr>
        <w:trPr>
          <w:trHeight w:val="412"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-10,610,929.68</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155,221,219.53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-106.84%</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25,388,311.45</w:t>
            </w:r>
          </w:p>
        </w:tc>
      </w:tr>
      <w:tr>
        <w:trPr>
          <w:trHeight w:val="412"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-0.9619</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]0.1555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-718.59%</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]0.0982</w:t>
            </w:r>
          </w:p>
        </w:tc>
      </w:tr>
      <w:tr>
        <w:trPr>
          <w:trHeight w:val="413"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3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-0.9619</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]0.1555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-718.59%</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]0.0982</w:t>
            </w:r>
          </w:p>
        </w:tc>
      </w:tr>
      <w:tr>
        <w:trPr>
          <w:trHeight w:val="433"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-32.12%</w:t>
            </w:r>
          </w:p>
        </w:tc>
        <w:tc>
          <w:tcPr>
            <w:tcW w:w="1736" w:type="dxa"/>
            <w:tcBorders>
              <w:top w:val="single" w:sz="6" w:space="0" w:color="000000"/>
              <w:left w:val="single" w:sz="6" w:space="0" w:color="000000"/>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4.69%</w:t>
            </w:r>
          </w:p>
        </w:tc>
        <w:tc>
          <w:tcPr>
            <w:tcW w:w="1738" w:type="dxa"/>
            <w:tcBorders>
              <w:top w:val="single" w:sz="6" w:space="0" w:color="000000"/>
              <w:left w:val="single" w:sz="6" w:space="0" w:color="000000"/>
              <w:bottom w:val="single" w:sz="23"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sz w:val="18"/>
                <w:szCs w:val="18"/>
              </w:rPr>
              <w:t>-36.81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35"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3.01%</w:t>
            </w:r>
          </w:p>
        </w:tc>
      </w:tr>
      <w:tr>
        <w:trPr>
          <w:trHeight w:val="362"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
        </w:tc>
        <w:tc>
          <w:tcPr>
            <w:tcW w:w="17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4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47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47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41" w:hRule="exact"/>
        </w:trPr>
        <w:tc>
          <w:tcPr>
            <w:tcW w:w="262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right="4"/>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739"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1,834,019,350.87</w:t>
            </w:r>
          </w:p>
        </w:tc>
        <w:tc>
          <w:tcPr>
            <w:tcW w:w="1736"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2,266,804,128.26</w:t>
            </w:r>
          </w:p>
        </w:tc>
        <w:tc>
          <w:tcPr>
            <w:tcW w:w="1738"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-19.09%</w:t>
            </w:r>
          </w:p>
        </w:tc>
        <w:tc>
          <w:tcPr>
            <w:tcW w:w="1735"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2,177,973,656.80</w:t>
            </w:r>
          </w:p>
        </w:tc>
      </w:tr>
      <w:tr>
        <w:trPr>
          <w:trHeight w:val="419" w:hRule="exact"/>
        </w:trPr>
        <w:tc>
          <w:tcPr>
            <w:tcW w:w="262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3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1,034,354,565.02</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1,409,322,456.36</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-26.61%</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1,329,231,618.90</w:t>
            </w:r>
          </w:p>
        </w:tc>
      </w:tr>
    </w:tbl>
    <w:p>
      <w:pPr>
        <w:spacing w:before="51"/>
        <w:ind w:left="122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：报告期内，公司实施</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年度利润分配及资本公积金转增股本方案，用资本公积金向全体股东每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股，</w:t>
      </w:r>
    </w:p>
    <w:p>
      <w:pPr>
        <w:spacing w:line="319" w:lineRule="auto" w:before="75"/>
        <w:ind w:left="1133" w:right="1118" w:firstLine="0"/>
        <w:jc w:val="left"/>
        <w:rPr>
          <w:rFonts w:ascii="宋体" w:hAnsi="宋体" w:cs="宋体" w:eastAsia="宋体" w:hint="default"/>
          <w:sz w:val="18"/>
          <w:szCs w:val="18"/>
        </w:rPr>
      </w:pPr>
      <w:r>
        <w:rPr>
          <w:rFonts w:ascii="宋体" w:hAnsi="宋体" w:cs="宋体" w:eastAsia="宋体" w:hint="default"/>
          <w:sz w:val="18"/>
          <w:szCs w:val="18"/>
        </w:rPr>
        <w:t>按照《创业板信息披露业务备忘录第</w:t>
      </w:r>
      <w:r>
        <w:rPr>
          <w:rFonts w:ascii="宋体" w:hAnsi="宋体" w:cs="宋体" w:eastAsia="宋体" w:hint="default"/>
          <w:spacing w:val="-35"/>
          <w:sz w:val="18"/>
          <w:szCs w:val="18"/>
        </w:rPr>
        <w:t> </w:t>
      </w:r>
      <w:r>
        <w:rPr>
          <w:rFonts w:ascii="宋体" w:hAnsi="宋体" w:cs="宋体" w:eastAsia="宋体" w:hint="default"/>
          <w:sz w:val="18"/>
          <w:szCs w:val="18"/>
        </w:rPr>
        <w:t>10</w:t>
      </w:r>
      <w:r>
        <w:rPr>
          <w:rFonts w:ascii="宋体" w:hAnsi="宋体" w:cs="宋体" w:eastAsia="宋体" w:hint="default"/>
          <w:spacing w:val="-35"/>
          <w:sz w:val="18"/>
          <w:szCs w:val="18"/>
        </w:rPr>
        <w:t> </w:t>
      </w:r>
      <w:r>
        <w:rPr>
          <w:rFonts w:ascii="宋体" w:hAnsi="宋体" w:cs="宋体" w:eastAsia="宋体" w:hint="default"/>
          <w:sz w:val="18"/>
          <w:szCs w:val="18"/>
        </w:rPr>
        <w:t>号：定期报告披露相关事项》的要求，对</w:t>
      </w:r>
      <w:r>
        <w:rPr>
          <w:rFonts w:ascii="宋体" w:hAnsi="宋体" w:cs="宋体" w:eastAsia="宋体" w:hint="default"/>
          <w:spacing w:val="-35"/>
          <w:sz w:val="18"/>
          <w:szCs w:val="18"/>
        </w:rPr>
        <w:t> </w:t>
      </w:r>
      <w:r>
        <w:rPr>
          <w:rFonts w:ascii="宋体" w:hAnsi="宋体" w:cs="宋体" w:eastAsia="宋体" w:hint="default"/>
          <w:sz w:val="18"/>
          <w:szCs w:val="18"/>
        </w:rPr>
        <w:t>2016</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35"/>
          <w:sz w:val="18"/>
          <w:szCs w:val="18"/>
        </w:rPr>
        <w:t> </w:t>
      </w:r>
      <w:r>
        <w:rPr>
          <w:rFonts w:ascii="宋体" w:hAnsi="宋体" w:cs="宋体" w:eastAsia="宋体" w:hint="default"/>
          <w:sz w:val="18"/>
          <w:szCs w:val="18"/>
        </w:rPr>
        <w:t>年基本每股收益、稀释每 股收益进行同比例调整后列报。</w:t>
      </w: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7" w:footer="1000" w:top="1040" w:bottom="1180" w:left="0" w:right="0"/>
        </w:sectPr>
      </w:pPr>
    </w:p>
    <w:p>
      <w:pPr>
        <w:pStyle w:val="Heading2"/>
        <w:spacing w:line="240" w:lineRule="auto" w:before="26"/>
        <w:ind w:right="0"/>
        <w:jc w:val="left"/>
        <w:rPr>
          <w:b w:val="0"/>
          <w:bCs w:val="0"/>
        </w:rPr>
      </w:pPr>
      <w:bookmarkStart w:name="六、分季度主要财务指标" w:id="10"/>
      <w:bookmarkEnd w:id="10"/>
      <w:r>
        <w:rPr>
          <w:b w:val="0"/>
          <w:bCs w:val="0"/>
        </w:rPr>
      </w:r>
      <w:r>
        <w:rPr>
          <w:w w:val="95"/>
        </w:rPr>
        <w:t>六、分季度主要财务指标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4"/>
          <w:szCs w:val="14"/>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782" w:space="5137"/>
            <w:col w:w="2991"/>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609"/>
        <w:gridCol w:w="1760"/>
        <w:gridCol w:w="1759"/>
        <w:gridCol w:w="1760"/>
        <w:gridCol w:w="1760"/>
      </w:tblGrid>
      <w:tr>
        <w:trPr>
          <w:trHeight w:val="422" w:hRule="exact"/>
        </w:trPr>
        <w:tc>
          <w:tcPr>
            <w:tcW w:w="2609"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51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51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51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6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5"/>
              <w:ind w:left="51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15" w:hRule="exact"/>
        </w:trPr>
        <w:tc>
          <w:tcPr>
            <w:tcW w:w="26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宋体" w:hAnsi="宋体" w:cs="宋体" w:eastAsia="宋体" w:hint="default"/>
                <w:sz w:val="18"/>
                <w:szCs w:val="18"/>
              </w:rPr>
            </w:pPr>
            <w:r>
              <w:rPr>
                <w:rFonts w:ascii="宋体"/>
                <w:sz w:val="18"/>
              </w:rPr>
              <w:t>82,484,545.98</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123,132,442.96</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宋体" w:hAnsi="宋体" w:cs="宋体" w:eastAsia="宋体" w:hint="default"/>
                <w:sz w:val="18"/>
                <w:szCs w:val="18"/>
              </w:rPr>
            </w:pPr>
            <w:r>
              <w:rPr>
                <w:rFonts w:ascii="宋体"/>
                <w:sz w:val="18"/>
              </w:rPr>
              <w:t>93,391,166.56</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90"/>
              <w:jc w:val="right"/>
              <w:rPr>
                <w:rFonts w:ascii="宋体" w:hAnsi="宋体" w:cs="宋体" w:eastAsia="宋体" w:hint="default"/>
                <w:sz w:val="18"/>
                <w:szCs w:val="18"/>
              </w:rPr>
            </w:pPr>
            <w:r>
              <w:rPr>
                <w:rFonts w:ascii="宋体"/>
                <w:sz w:val="18"/>
              </w:rPr>
              <w:t>241,216,053.06</w:t>
            </w:r>
          </w:p>
        </w:tc>
      </w:tr>
      <w:tr>
        <w:trPr>
          <w:trHeight w:val="415" w:hRule="exact"/>
        </w:trPr>
        <w:tc>
          <w:tcPr>
            <w:tcW w:w="26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6"/>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宋体" w:hAnsi="宋体" w:cs="宋体" w:eastAsia="宋体" w:hint="default"/>
                <w:sz w:val="18"/>
                <w:szCs w:val="18"/>
              </w:rPr>
            </w:pPr>
            <w:r>
              <w:rPr>
                <w:rFonts w:ascii="宋体"/>
                <w:sz w:val="18"/>
              </w:rPr>
              <w:t>-3,708,125.72</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黑体" w:hAnsi="黑体" w:cs="黑体" w:eastAsia="黑体" w:hint="default"/>
                <w:sz w:val="18"/>
                <w:szCs w:val="18"/>
              </w:rPr>
            </w:pPr>
            <w:r>
              <w:rPr>
                <w:rFonts w:ascii="黑体"/>
                <w:sz w:val="18"/>
              </w:rPr>
              <w:t>5,648,371.11</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黑体" w:hAnsi="黑体" w:cs="黑体" w:eastAsia="黑体" w:hint="default"/>
                <w:sz w:val="18"/>
                <w:szCs w:val="18"/>
              </w:rPr>
            </w:pPr>
            <w:r>
              <w:rPr>
                <w:rFonts w:ascii="黑体"/>
                <w:sz w:val="18"/>
              </w:rPr>
              <w:t>-16,972,949.58</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90"/>
              <w:jc w:val="right"/>
              <w:rPr>
                <w:rFonts w:ascii="黑体" w:hAnsi="黑体" w:cs="黑体" w:eastAsia="黑体" w:hint="default"/>
                <w:sz w:val="18"/>
                <w:szCs w:val="18"/>
              </w:rPr>
            </w:pPr>
            <w:r>
              <w:rPr>
                <w:rFonts w:ascii="黑体"/>
                <w:sz w:val="18"/>
              </w:rPr>
              <w:t>-377,371,471.04</w:t>
            </w:r>
          </w:p>
        </w:tc>
      </w:tr>
      <w:tr>
        <w:trPr>
          <w:trHeight w:val="639" w:hRule="exact"/>
        </w:trPr>
        <w:tc>
          <w:tcPr>
            <w:tcW w:w="26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479" w:right="125" w:hanging="361"/>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-6,232,819.58</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黑体" w:hAnsi="黑体" w:cs="黑体" w:eastAsia="黑体" w:hint="default"/>
                <w:sz w:val="18"/>
                <w:szCs w:val="18"/>
              </w:rPr>
            </w:pPr>
            <w:r>
              <w:rPr>
                <w:rFonts w:ascii="黑体"/>
                <w:sz w:val="18"/>
              </w:rPr>
              <w:t>5,687,283.43</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黑体" w:hAnsi="黑体" w:cs="黑体" w:eastAsia="黑体" w:hint="default"/>
                <w:sz w:val="18"/>
                <w:szCs w:val="18"/>
              </w:rPr>
            </w:pPr>
            <w:r>
              <w:rPr>
                <w:rFonts w:ascii="黑体"/>
                <w:sz w:val="18"/>
              </w:rPr>
              <w:t>-17,939,023.42</w:t>
            </w:r>
          </w:p>
        </w:tc>
        <w:tc>
          <w:tcPr>
            <w:tcW w:w="17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0"/>
              <w:jc w:val="right"/>
              <w:rPr>
                <w:rFonts w:ascii="黑体" w:hAnsi="黑体" w:cs="黑体" w:eastAsia="黑体" w:hint="default"/>
                <w:sz w:val="18"/>
                <w:szCs w:val="18"/>
              </w:rPr>
            </w:pPr>
            <w:r>
              <w:rPr>
                <w:rFonts w:ascii="黑体"/>
                <w:sz w:val="18"/>
              </w:rPr>
              <w:t>-389,727,415.53</w:t>
            </w:r>
          </w:p>
        </w:tc>
      </w:tr>
      <w:tr>
        <w:trPr>
          <w:trHeight w:val="423" w:hRule="exact"/>
        </w:trPr>
        <w:tc>
          <w:tcPr>
            <w:tcW w:w="260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6"/>
              <w:ind w:right="6"/>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sz w:val="18"/>
              </w:rPr>
              <w:t>-67,040,546.68</w:t>
            </w:r>
          </w:p>
        </w:tc>
        <w:tc>
          <w:tcPr>
            <w:tcW w:w="17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-31,220,673.23</w:t>
            </w: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9"/>
              <w:jc w:val="right"/>
              <w:rPr>
                <w:rFonts w:ascii="宋体" w:hAnsi="宋体" w:cs="宋体" w:eastAsia="宋体" w:hint="default"/>
                <w:sz w:val="18"/>
                <w:szCs w:val="18"/>
              </w:rPr>
            </w:pPr>
            <w:r>
              <w:rPr>
                <w:rFonts w:ascii="宋体"/>
                <w:sz w:val="18"/>
              </w:rPr>
              <w:t>14,393,989.65</w:t>
            </w:r>
          </w:p>
        </w:tc>
        <w:tc>
          <w:tcPr>
            <w:tcW w:w="17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6"/>
              <w:ind w:right="90"/>
              <w:jc w:val="right"/>
              <w:rPr>
                <w:rFonts w:ascii="宋体" w:hAnsi="宋体" w:cs="宋体" w:eastAsia="宋体" w:hint="default"/>
                <w:sz w:val="18"/>
                <w:szCs w:val="18"/>
              </w:rPr>
            </w:pPr>
            <w:r>
              <w:rPr>
                <w:rFonts w:ascii="宋体"/>
                <w:sz w:val="18"/>
              </w:rPr>
              <w:t>73,256,300.58</w:t>
            </w:r>
          </w:p>
        </w:tc>
      </w:tr>
    </w:tbl>
    <w:p>
      <w:pPr>
        <w:pStyle w:val="BodyText"/>
        <w:spacing w:line="240" w:lineRule="auto" w:before="63"/>
        <w:ind w:left="1134" w:right="1121"/>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 是 √ 否</w:t>
      </w:r>
    </w:p>
    <w:p>
      <w:pPr>
        <w:spacing w:after="0" w:line="240" w:lineRule="auto"/>
        <w:jc w:val="left"/>
        <w:sectPr>
          <w:type w:val="continuous"/>
          <w:pgSz w:w="11910" w:h="16840"/>
          <w:pgMar w:top="1040" w:bottom="1180" w:left="0" w:right="0"/>
        </w:sectPr>
      </w:pPr>
    </w:p>
    <w:p>
      <w:pPr>
        <w:spacing w:line="240" w:lineRule="auto" w:before="4"/>
        <w:rPr>
          <w:rFonts w:ascii="宋体" w:hAnsi="宋体" w:cs="宋体" w:eastAsia="宋体" w:hint="default"/>
          <w:sz w:val="24"/>
          <w:szCs w:val="24"/>
        </w:rPr>
      </w:pPr>
    </w:p>
    <w:p>
      <w:pPr>
        <w:pStyle w:val="Heading2"/>
        <w:spacing w:line="240" w:lineRule="auto" w:before="26"/>
        <w:ind w:left="1133" w:right="1121"/>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left="1133" w:right="1121"/>
        <w:jc w:val="left"/>
        <w:rPr>
          <w:b w:val="0"/>
          <w:bCs w:val="0"/>
        </w:rPr>
      </w:pPr>
      <w:bookmarkStart w:name="1、同时按照国际会计准则与按照中国会计准则披露的财务报告中净利润和净资产差异情况" w:id="12"/>
      <w:bookmarkEnd w:id="12"/>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3" w:right="130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公司报告期不存在按照国际会计准则与按照中国会计准则披露的财务报告中净利润和净资产差异情况。 </w:t>
      </w:r>
      <w:bookmarkStart w:name="2、同时按照境外会计准则与按照中国会计准则披露的财务报告中净利润和净资产差异情况" w:id="13"/>
      <w:bookmarkEnd w:id="13"/>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pStyle w:val="BodyText"/>
        <w:spacing w:line="408" w:lineRule="auto"/>
        <w:ind w:right="1303"/>
        <w:jc w:val="left"/>
      </w:pPr>
      <w:r>
        <w:rPr/>
        <w:t>□ 适用 √</w:t>
      </w:r>
      <w:r>
        <w:rPr>
          <w:spacing w:val="-1"/>
        </w:rPr>
        <w:t> </w:t>
      </w:r>
      <w:r>
        <w:rPr/>
        <w:t>不适用</w:t>
      </w:r>
      <w:r>
        <w:rPr/>
        <w:t> 公司报告期不存在按照境外会计准则与按照中国会计准则披露的财务报告中净利润和净资产差异情况。</w:t>
      </w:r>
    </w:p>
    <w:p>
      <w:pPr>
        <w:pStyle w:val="Heading2"/>
        <w:spacing w:line="240" w:lineRule="auto" w:before="179"/>
        <w:ind w:left="1133" w:right="1121"/>
        <w:jc w:val="left"/>
        <w:rPr>
          <w:b w:val="0"/>
          <w:bCs w:val="0"/>
        </w:rPr>
      </w:pPr>
      <w:bookmarkStart w:name="八、非经常性损益项目及金额" w:id="14"/>
      <w:bookmarkEnd w:id="14"/>
      <w:r>
        <w:rPr>
          <w:b w:val="0"/>
          <w:bCs w:val="0"/>
        </w:rPr>
      </w:r>
      <w:r>
        <w:rPr/>
        <w:t>八、非经常性损益项目及金额</w:t>
      </w:r>
      <w:r>
        <w:rPr>
          <w:b w:val="0"/>
          <w:bCs w:val="0"/>
        </w:rPr>
      </w:r>
    </w:p>
    <w:p>
      <w:pPr>
        <w:pStyle w:val="BodyText"/>
        <w:spacing w:line="240" w:lineRule="auto" w:before="177"/>
        <w:ind w:right="1121"/>
        <w:jc w:val="left"/>
      </w:pPr>
      <w:r>
        <w:rPr/>
        <w:t>√ 适用 □</w:t>
      </w:r>
      <w:r>
        <w:rPr>
          <w:spacing w:val="-1"/>
        </w:rPr>
        <w:t> </w:t>
      </w:r>
      <w:r>
        <w:rPr/>
        <w:t>不适用</w:t>
      </w:r>
    </w:p>
    <w:p>
      <w:pPr>
        <w:spacing w:line="240" w:lineRule="auto" w:before="9"/>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125" w:type="dxa"/>
        <w:tblLayout w:type="fixed"/>
        <w:tblCellMar>
          <w:top w:w="0" w:type="dxa"/>
          <w:left w:w="0" w:type="dxa"/>
          <w:bottom w:w="0" w:type="dxa"/>
          <w:right w:w="0" w:type="dxa"/>
        </w:tblCellMar>
        <w:tblLook w:val="01E0"/>
      </w:tblPr>
      <w:tblGrid>
        <w:gridCol w:w="3280"/>
        <w:gridCol w:w="1530"/>
        <w:gridCol w:w="1520"/>
        <w:gridCol w:w="1522"/>
        <w:gridCol w:w="1709"/>
      </w:tblGrid>
      <w:tr>
        <w:trPr>
          <w:trHeight w:val="415" w:hRule="exact"/>
        </w:trPr>
        <w:tc>
          <w:tcPr>
            <w:tcW w:w="32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0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58"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非流动资产处置损益</w:t>
            </w:r>
          </w:p>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sz w:val="18"/>
                <w:szCs w:val="18"/>
              </w:rPr>
              <w:t>（包括已计提资产减值准备的冲销部分）</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4,433,717.60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-112,000.85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-418,571.25</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2"/>
              <w:ind w:left="6" w:right="9"/>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9,617,486.79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5,827,341.68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8,621,400.00</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债务重组损益</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352,833.33</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1656"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
              <w:jc w:val="center"/>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1,500,000.00</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11,619.85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17,625,625.47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595,351.79</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58,552.66</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3,553,569.92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82,503.99</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49,305.04</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143,644.86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60,684.25</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2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15,807,799.87</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19,643,751.52</w:t>
            </w:r>
          </w:p>
        </w:tc>
        <w:tc>
          <w:tcPr>
            <w:tcW w:w="1522"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8,654,992.30</w:t>
            </w:r>
          </w:p>
        </w:tc>
        <w:tc>
          <w:tcPr>
            <w:tcW w:w="1709"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0"/>
        <w:jc w:val="left"/>
      </w:pPr>
      <w:r>
        <w:rPr/>
        <w:t>对公司根据《公开发行证券的公司信息披露解释性公告第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号——非经常性损益》定义界定的非经常性损</w:t>
      </w:r>
    </w:p>
    <w:p>
      <w:pPr>
        <w:spacing w:line="240" w:lineRule="auto" w:before="10"/>
        <w:rPr>
          <w:rFonts w:ascii="宋体" w:hAnsi="宋体" w:cs="宋体" w:eastAsia="宋体" w:hint="default"/>
          <w:sz w:val="14"/>
          <w:szCs w:val="14"/>
        </w:rPr>
      </w:pPr>
    </w:p>
    <w:p>
      <w:pPr>
        <w:pStyle w:val="BodyText"/>
        <w:spacing w:line="408" w:lineRule="auto" w:before="0"/>
        <w:ind w:right="1116"/>
        <w:jc w:val="left"/>
      </w:pPr>
      <w:r>
        <w:rPr/>
        <w:t>益项目，以及把《公开发行证券的公司信息披露解释性公告第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号——非经常性损益》中列举的非经常性 损益项目界定为经常性损益的项目，应说明原因</w:t>
      </w:r>
    </w:p>
    <w:p>
      <w:pPr>
        <w:pStyle w:val="BodyText"/>
        <w:spacing w:line="240" w:lineRule="auto"/>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before="0"/>
        <w:ind w:right="1116"/>
        <w:jc w:val="left"/>
      </w:pPr>
      <w:r>
        <w:rPr/>
        <w:t>公司报告期不存在将根据《公开发行证券的公司信息披露解释性公告第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号——非经常性损益》定义、列 举的非经常性损益项目界定为经常性损益的项目的情形。</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0"/>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9"/>
        <w:rPr>
          <w:rFonts w:ascii="宋体" w:hAnsi="宋体" w:cs="宋体" w:eastAsia="宋体" w:hint="default"/>
          <w:b/>
          <w:bCs/>
          <w:sz w:val="38"/>
          <w:szCs w:val="38"/>
        </w:rPr>
      </w:pPr>
    </w:p>
    <w:p>
      <w:pPr>
        <w:pStyle w:val="Heading2"/>
        <w:spacing w:line="240" w:lineRule="auto"/>
        <w:ind w:left="1133" w:right="1121"/>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before="0"/>
        <w:ind w:right="1121"/>
        <w:jc w:val="left"/>
      </w:pPr>
      <w:r>
        <w:rPr/>
        <w:t>公司是否需要遵守特殊行业的披露要求：否</w:t>
      </w:r>
    </w:p>
    <w:p>
      <w:pPr>
        <w:spacing w:line="240" w:lineRule="auto" w:before="10"/>
        <w:rPr>
          <w:rFonts w:ascii="宋体" w:hAnsi="宋体" w:cs="宋体" w:eastAsia="宋体" w:hint="default"/>
          <w:sz w:val="14"/>
          <w:szCs w:val="14"/>
        </w:rPr>
      </w:pPr>
    </w:p>
    <w:p>
      <w:pPr>
        <w:pStyle w:val="BodyText"/>
        <w:spacing w:line="408" w:lineRule="auto" w:before="0"/>
        <w:ind w:left="1554" w:right="1121"/>
        <w:jc w:val="left"/>
      </w:pPr>
      <w:r>
        <w:rPr/>
        <w:t>（一）主要业务 报告期内，公司继续按照“</w:t>
      </w:r>
      <w:r>
        <w:rPr>
          <w:rFonts w:ascii="宋体" w:hAnsi="宋体" w:cs="宋体" w:eastAsia="宋体" w:hint="default"/>
        </w:rPr>
        <w:t>1+3</w:t>
      </w:r>
      <w:r>
        <w:rPr/>
        <w:t>”发展战略从以用电信息采集为基础的电力业务向以互联网内容安全</w:t>
      </w:r>
    </w:p>
    <w:p>
      <w:pPr>
        <w:pStyle w:val="BodyText"/>
        <w:spacing w:line="408" w:lineRule="auto"/>
        <w:ind w:left="1134" w:right="1121"/>
        <w:jc w:val="left"/>
      </w:pPr>
      <w:r>
        <w:rPr>
          <w:spacing w:val="-1"/>
        </w:rPr>
        <w:t>为基础的版权云业务拓展发展。随着公司近几年在战略布局上对数字版权领域的不断加码，版权云业务将</w:t>
      </w:r>
      <w:r>
        <w:rPr>
          <w:spacing w:val="-81"/>
        </w:rPr>
        <w:t> </w:t>
      </w:r>
      <w:r>
        <w:rPr>
          <w:spacing w:val="-81"/>
        </w:rPr>
      </w:r>
      <w:r>
        <w:rPr/>
        <w:t>成为公司未来重点深耕发展的业务。</w:t>
      </w:r>
    </w:p>
    <w:p>
      <w:pPr>
        <w:pStyle w:val="BodyText"/>
        <w:spacing w:line="240" w:lineRule="auto"/>
        <w:ind w:left="1554" w:right="1121"/>
        <w:jc w:val="left"/>
      </w:pPr>
      <w:r>
        <w:rPr>
          <w:rFonts w:ascii="宋体" w:hAnsi="宋体" w:cs="宋体" w:eastAsia="宋体" w:hint="default"/>
        </w:rPr>
        <w:t>1</w:t>
      </w:r>
      <w:r>
        <w:rPr/>
        <w:t>、版权云业务</w:t>
      </w:r>
    </w:p>
    <w:p>
      <w:pPr>
        <w:spacing w:line="240" w:lineRule="auto" w:before="10"/>
        <w:rPr>
          <w:rFonts w:ascii="宋体" w:hAnsi="宋体" w:cs="宋体" w:eastAsia="宋体" w:hint="default"/>
          <w:sz w:val="14"/>
          <w:szCs w:val="14"/>
        </w:rPr>
      </w:pPr>
    </w:p>
    <w:p>
      <w:pPr>
        <w:pStyle w:val="BodyText"/>
        <w:spacing w:line="408" w:lineRule="auto" w:before="0"/>
        <w:ind w:left="1134" w:right="1130" w:firstLine="420"/>
        <w:jc w:val="both"/>
      </w:pPr>
      <w:r>
        <w:rPr/>
        <w:t>公司版权云业务以 </w:t>
      </w:r>
      <w:r>
        <w:rPr>
          <w:rFonts w:ascii="宋体" w:hAnsi="宋体" w:cs="宋体" w:eastAsia="宋体" w:hint="default"/>
        </w:rPr>
        <w:t>CCDI</w:t>
      </w:r>
      <w:r>
        <w:rPr>
          <w:rFonts w:ascii="宋体" w:hAnsi="宋体" w:cs="宋体" w:eastAsia="宋体" w:hint="default"/>
          <w:spacing w:val="-23"/>
        </w:rPr>
        <w:t> </w:t>
      </w:r>
      <w:r>
        <w:rPr/>
        <w:t>国家数字音像传播服务平台（即版权云项目）为依托，以互联网内容安全为 </w:t>
      </w:r>
      <w:r>
        <w:rPr>
          <w:spacing w:val="-1"/>
        </w:rPr>
        <w:t>目标，以全网监测能力建设为核心，以内容风控和版权保护为根本，围绕互联网内容合规性服务、数字版</w:t>
      </w:r>
      <w:r>
        <w:rPr>
          <w:spacing w:val="-84"/>
        </w:rPr>
        <w:t> </w:t>
      </w:r>
      <w:r>
        <w:rPr>
          <w:spacing w:val="-84"/>
        </w:rPr>
      </w:r>
      <w:r>
        <w:rPr>
          <w:spacing w:val="-1"/>
        </w:rPr>
        <w:t>权交易保障（实时监测、内容分发、交易结算、数据分析、维权取证等）服务，以自主研发、资本合作及</w:t>
      </w:r>
      <w:r>
        <w:rPr>
          <w:spacing w:val="-84"/>
        </w:rPr>
        <w:t> </w:t>
      </w:r>
      <w:r>
        <w:rPr>
          <w:spacing w:val="-84"/>
        </w:rPr>
      </w:r>
      <w:r>
        <w:rPr>
          <w:spacing w:val="-1"/>
        </w:rPr>
        <w:t>业务合作为路径，对版权云生态产业链的重要环节进行产业布局，目前已形成“版权云”的三个核心能力</w:t>
      </w:r>
      <w:r>
        <w:rPr>
          <w:spacing w:val="-86"/>
        </w:rPr>
        <w:t> </w:t>
      </w:r>
      <w:r>
        <w:rPr>
          <w:spacing w:val="-86"/>
        </w:rPr>
      </w:r>
      <w:r>
        <w:rPr/>
        <w:t>平台－版权内容监测、版权确权保护、内容分发交易。</w:t>
      </w:r>
    </w:p>
    <w:p>
      <w:pPr>
        <w:pStyle w:val="BodyText"/>
        <w:spacing w:line="240" w:lineRule="auto"/>
        <w:ind w:left="1554" w:right="1121"/>
        <w:jc w:val="left"/>
      </w:pPr>
      <w:r>
        <w:rPr/>
        <w:t>版权云底层技术、三项核心能力及对应运营实体如下：</w:t>
      </w:r>
    </w:p>
    <w:p>
      <w:pPr>
        <w:spacing w:line="240" w:lineRule="auto" w:before="1"/>
        <w:rPr>
          <w:rFonts w:ascii="宋体" w:hAnsi="宋体" w:cs="宋体" w:eastAsia="宋体" w:hint="default"/>
          <w:sz w:val="14"/>
          <w:szCs w:val="14"/>
        </w:rPr>
      </w:pPr>
    </w:p>
    <w:p>
      <w:pPr>
        <w:spacing w:line="4334" w:lineRule="exact"/>
        <w:ind w:left="1801"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5265601" cy="2752344"/>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5265601" cy="2752344"/>
                    </a:xfrm>
                    <a:prstGeom prst="rect">
                      <a:avLst/>
                    </a:prstGeom>
                  </pic:spPr>
                </pic:pic>
              </a:graphicData>
            </a:graphic>
          </wp:inline>
        </w:drawing>
      </w:r>
      <w:r>
        <w:rPr>
          <w:rFonts w:ascii="宋体" w:hAnsi="宋体" w:cs="宋体" w:eastAsia="宋体" w:hint="default"/>
          <w:position w:val="-86"/>
          <w:sz w:val="20"/>
          <w:szCs w:val="20"/>
        </w:rPr>
      </w:r>
    </w:p>
    <w:p>
      <w:pPr>
        <w:pStyle w:val="BodyText"/>
        <w:spacing w:line="408" w:lineRule="auto" w:before="123"/>
        <w:ind w:left="1553" w:right="1121"/>
        <w:jc w:val="left"/>
      </w:pPr>
      <w:r>
        <w:rPr/>
        <w:t>（</w:t>
      </w:r>
      <w:r>
        <w:rPr>
          <w:rFonts w:ascii="宋体" w:hAnsi="宋体" w:cs="宋体" w:eastAsia="宋体" w:hint="default"/>
        </w:rPr>
        <w:t>1</w:t>
      </w:r>
      <w:r>
        <w:rPr/>
        <w:t>）版权内容监测 </w:t>
      </w:r>
      <w:r>
        <w:rPr>
          <w:spacing w:val="-1"/>
        </w:rPr>
        <w:t>天擎华媒（北京）科技有限公司（以下简称“天擎华媒”）是版权云项目指定的运作主体，主要负责</w:t>
      </w:r>
    </w:p>
    <w:p>
      <w:pPr>
        <w:pStyle w:val="BodyText"/>
        <w:spacing w:line="408" w:lineRule="auto"/>
        <w:ind w:right="1017"/>
        <w:jc w:val="left"/>
      </w:pPr>
      <w:r>
        <w:rPr>
          <w:spacing w:val="-2"/>
        </w:rPr>
        <w:t>版权内容监测平台的运营，依托中云文化大数据建立的全网监测能力，对全互联网（</w:t>
      </w:r>
      <w:r>
        <w:rPr>
          <w:rFonts w:ascii="宋体" w:hAnsi="宋体" w:cs="宋体" w:eastAsia="宋体" w:hint="default"/>
          <w:spacing w:val="-2"/>
        </w:rPr>
        <w:t>PC</w:t>
      </w:r>
      <w:r>
        <w:rPr>
          <w:spacing w:val="-2"/>
        </w:rPr>
        <w:t>、</w:t>
      </w:r>
      <w:r>
        <w:rPr>
          <w:rFonts w:ascii="宋体" w:hAnsi="宋体" w:cs="宋体" w:eastAsia="宋体" w:hint="default"/>
          <w:spacing w:val="-2"/>
        </w:rPr>
        <w:t>Mobile</w:t>
      </w:r>
      <w:r>
        <w:rPr>
          <w:spacing w:val="-2"/>
        </w:rPr>
        <w:t>、</w:t>
      </w:r>
      <w:r>
        <w:rPr>
          <w:rFonts w:ascii="宋体" w:hAnsi="宋体" w:cs="宋体" w:eastAsia="宋体" w:hint="default"/>
          <w:spacing w:val="-2"/>
        </w:rPr>
        <w:t>OTT</w:t>
      </w:r>
      <w:r>
        <w:rPr>
          <w:rFonts w:ascii="宋体" w:hAnsi="宋体" w:cs="宋体" w:eastAsia="宋体" w:hint="default"/>
          <w:spacing w:val="-34"/>
        </w:rPr>
        <w:t> </w:t>
      </w:r>
      <w:r>
        <w:rPr/>
        <w:t>端）</w:t>
      </w:r>
      <w:r>
        <w:rPr>
          <w:spacing w:val="-101"/>
        </w:rPr>
        <w:t> </w:t>
      </w:r>
      <w:r>
        <w:rPr/>
        <w:t>的内容进行实时或准实时的监测，并且通过人工</w:t>
      </w:r>
      <w:r>
        <w:rPr>
          <w:rFonts w:ascii="宋体" w:hAnsi="宋体" w:cs="宋体" w:eastAsia="宋体" w:hint="default"/>
        </w:rPr>
        <w:t>+</w:t>
      </w:r>
      <w:r>
        <w:rPr/>
        <w:t>智能的方式对不同的特征内容进行判别、取证，从而实</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553" w:right="6343" w:hanging="420"/>
        <w:jc w:val="left"/>
      </w:pPr>
      <w:r>
        <w:rPr/>
        <w:t>现版权保护、内容管理、内容风控等商业能力。 监测业务的服务能力及服务对象如下：</w:t>
      </w:r>
    </w:p>
    <w:p>
      <w:pPr>
        <w:spacing w:line="240" w:lineRule="auto" w:before="8"/>
        <w:rPr>
          <w:rFonts w:ascii="宋体" w:hAnsi="宋体" w:cs="宋体" w:eastAsia="宋体" w:hint="default"/>
          <w:sz w:val="6"/>
          <w:szCs w:val="6"/>
        </w:rPr>
      </w:pPr>
    </w:p>
    <w:p>
      <w:pPr>
        <w:spacing w:line="2678" w:lineRule="exact"/>
        <w:ind w:left="1564"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5565107" cy="1700783"/>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4" cstate="print"/>
                    <a:stretch>
                      <a:fillRect/>
                    </a:stretch>
                  </pic:blipFill>
                  <pic:spPr>
                    <a:xfrm>
                      <a:off x="0" y="0"/>
                      <a:ext cx="5565107" cy="1700783"/>
                    </a:xfrm>
                    <a:prstGeom prst="rect">
                      <a:avLst/>
                    </a:prstGeom>
                  </pic:spPr>
                </pic:pic>
              </a:graphicData>
            </a:graphic>
          </wp:inline>
        </w:drawing>
      </w:r>
      <w:r>
        <w:rPr>
          <w:rFonts w:ascii="宋体" w:hAnsi="宋体" w:cs="宋体" w:eastAsia="宋体" w:hint="default"/>
          <w:position w:val="-53"/>
          <w:sz w:val="20"/>
          <w:szCs w:val="20"/>
        </w:rPr>
      </w:r>
    </w:p>
    <w:p>
      <w:pPr>
        <w:pStyle w:val="BodyText"/>
        <w:spacing w:line="408" w:lineRule="auto" w:before="171"/>
        <w:ind w:left="1554" w:right="1121"/>
        <w:jc w:val="left"/>
      </w:pPr>
      <w:r>
        <w:rPr/>
        <w:t>（</w:t>
      </w:r>
      <w:r>
        <w:rPr>
          <w:rFonts w:ascii="宋体" w:hAnsi="宋体" w:cs="宋体" w:eastAsia="宋体" w:hint="default"/>
        </w:rPr>
        <w:t>2</w:t>
      </w:r>
      <w:r>
        <w:rPr/>
        <w:t>）版权确权保护 </w:t>
      </w:r>
      <w:r>
        <w:rPr>
          <w:spacing w:val="-1"/>
        </w:rPr>
        <w:t>中云文化大数据科技有限公司（以下简称“中云文化大数据”）是版权云项目指定的运营主体，负责</w:t>
      </w:r>
    </w:p>
    <w:p>
      <w:pPr>
        <w:pStyle w:val="BodyText"/>
        <w:spacing w:line="408" w:lineRule="auto"/>
        <w:ind w:right="1121"/>
        <w:jc w:val="left"/>
      </w:pPr>
      <w:r>
        <w:rPr>
          <w:spacing w:val="-1"/>
        </w:rPr>
        <w:t>版权云项目的开发、管理及运营，建设国家级版权数据备案库、媒资素材库及监管、版权交易等数据的存</w:t>
      </w:r>
      <w:r>
        <w:rPr>
          <w:spacing w:val="-85"/>
        </w:rPr>
        <w:t> </w:t>
      </w:r>
      <w:r>
        <w:rPr>
          <w:spacing w:val="-85"/>
        </w:rPr>
      </w:r>
      <w:r>
        <w:rPr/>
        <w:t>储运营和服务。</w:t>
      </w:r>
    </w:p>
    <w:p>
      <w:pPr>
        <w:pStyle w:val="BodyText"/>
        <w:spacing w:line="240" w:lineRule="auto"/>
        <w:ind w:left="1553" w:right="1121"/>
        <w:jc w:val="left"/>
      </w:pPr>
      <w:r>
        <w:rPr/>
        <w:t>确权保护业务的服务能力及服务对象如下：</w:t>
      </w:r>
    </w:p>
    <w:p>
      <w:pPr>
        <w:spacing w:line="240" w:lineRule="auto" w:before="8"/>
        <w:rPr>
          <w:rFonts w:ascii="宋体" w:hAnsi="宋体" w:cs="宋体" w:eastAsia="宋体" w:hint="default"/>
          <w:sz w:val="23"/>
          <w:szCs w:val="23"/>
        </w:rPr>
      </w:pPr>
    </w:p>
    <w:p>
      <w:pPr>
        <w:spacing w:line="2836" w:lineRule="exact"/>
        <w:ind w:left="1537"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5598058" cy="1801368"/>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5598058" cy="1801368"/>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12"/>
        <w:rPr>
          <w:rFonts w:ascii="宋体" w:hAnsi="宋体" w:cs="宋体" w:eastAsia="宋体" w:hint="default"/>
          <w:sz w:val="18"/>
          <w:szCs w:val="18"/>
        </w:rPr>
      </w:pPr>
    </w:p>
    <w:p>
      <w:pPr>
        <w:pStyle w:val="BodyText"/>
        <w:spacing w:line="408" w:lineRule="auto" w:before="0"/>
        <w:ind w:left="1553" w:right="1121"/>
        <w:jc w:val="left"/>
      </w:pPr>
      <w:r>
        <w:rPr/>
        <w:t>（</w:t>
      </w:r>
      <w:r>
        <w:rPr>
          <w:rFonts w:ascii="宋体" w:hAnsi="宋体" w:cs="宋体" w:eastAsia="宋体" w:hint="default"/>
        </w:rPr>
        <w:t>3</w:t>
      </w:r>
      <w:r>
        <w:rPr/>
        <w:t>）内容分发交易 </w:t>
      </w:r>
      <w:r>
        <w:rPr>
          <w:spacing w:val="-1"/>
        </w:rPr>
        <w:t>江苏数道科技有限公司（以下简称“江苏数道”）作为设立在长三角地区的版权云项目的产业平台主</w:t>
      </w:r>
    </w:p>
    <w:p>
      <w:pPr>
        <w:pStyle w:val="BodyText"/>
        <w:spacing w:line="408" w:lineRule="auto"/>
        <w:ind w:right="1121"/>
        <w:jc w:val="left"/>
      </w:pPr>
      <w:r>
        <w:rPr>
          <w:spacing w:val="-1"/>
        </w:rPr>
        <w:t>体，主要负责版权云的内容分发业务和版权交易业务，对内容衍生价值进行发掘和延展，与贵州中云文化</w:t>
      </w:r>
      <w:r>
        <w:rPr>
          <w:spacing w:val="-83"/>
        </w:rPr>
        <w:t> </w:t>
      </w:r>
      <w:r>
        <w:rPr>
          <w:spacing w:val="-83"/>
        </w:rPr>
      </w:r>
      <w:r>
        <w:rPr/>
        <w:t>大数据形成地理位置上的有效互补，共同推进版权云的产业布局和市场化运作。</w:t>
      </w:r>
    </w:p>
    <w:p>
      <w:pPr>
        <w:pStyle w:val="BodyText"/>
        <w:spacing w:line="240" w:lineRule="auto"/>
        <w:ind w:left="1553" w:right="1121"/>
        <w:jc w:val="left"/>
      </w:pPr>
      <w:r>
        <w:rPr/>
        <w:t>内容分发交易业务的资源和服务能力如下：</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p>
      <w:pPr>
        <w:spacing w:line="3031" w:lineRule="exact"/>
        <w:ind w:left="1512"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5634230" cy="1924812"/>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6" cstate="print"/>
                    <a:stretch>
                      <a:fillRect/>
                    </a:stretch>
                  </pic:blipFill>
                  <pic:spPr>
                    <a:xfrm>
                      <a:off x="0" y="0"/>
                      <a:ext cx="5634230" cy="1924812"/>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8"/>
        <w:rPr>
          <w:rFonts w:ascii="宋体" w:hAnsi="宋体" w:cs="宋体" w:eastAsia="宋体" w:hint="default"/>
          <w:sz w:val="8"/>
          <w:szCs w:val="8"/>
        </w:rPr>
      </w:pPr>
    </w:p>
    <w:p>
      <w:pPr>
        <w:pStyle w:val="BodyText"/>
        <w:spacing w:line="408" w:lineRule="auto" w:before="35"/>
        <w:ind w:left="1554" w:right="1092"/>
        <w:jc w:val="left"/>
      </w:pPr>
      <w:r>
        <w:rPr>
          <w:rFonts w:ascii="宋体" w:hAnsi="宋体" w:cs="宋体" w:eastAsia="宋体" w:hint="default"/>
        </w:rPr>
        <w:t>2</w:t>
      </w:r>
      <w:r>
        <w:rPr/>
        <w:t>、电力业务 电力业务是公司的基石业务，经过近年的发展已形成“以信息采集及处理为核心、工程施工为基础、</w:t>
      </w:r>
    </w:p>
    <w:p>
      <w:pPr>
        <w:pStyle w:val="BodyText"/>
        <w:spacing w:line="408" w:lineRule="auto"/>
        <w:ind w:right="1017"/>
        <w:jc w:val="left"/>
      </w:pPr>
      <w:r>
        <w:rPr/>
        <w:t>产品供应为支撑、综合能源管理为价值”的智能电网互联网</w:t>
      </w:r>
      <w:r>
        <w:rPr>
          <w:rFonts w:ascii="宋体" w:hAnsi="宋体" w:cs="宋体" w:eastAsia="宋体" w:hint="default"/>
        </w:rPr>
        <w:t>+</w:t>
      </w:r>
      <w:r>
        <w:rPr/>
        <w:t>业务板块相对完整的产业链，主要产品和服</w:t>
      </w:r>
      <w:r>
        <w:rPr>
          <w:spacing w:val="-30"/>
        </w:rPr>
        <w:t> </w:t>
      </w:r>
      <w:r>
        <w:rPr>
          <w:spacing w:val="-30"/>
        </w:rPr>
      </w:r>
      <w:r>
        <w:rPr>
          <w:spacing w:val="-1"/>
        </w:rPr>
        <w:t>务为用电信息采集终端（集中抄表设备、专变</w:t>
      </w:r>
      <w:r>
        <w:rPr>
          <w:rFonts w:ascii="宋体" w:hAnsi="宋体" w:cs="宋体" w:eastAsia="宋体" w:hint="default"/>
          <w:spacing w:val="-1"/>
        </w:rPr>
        <w:t>/</w:t>
      </w:r>
      <w:r>
        <w:rPr>
          <w:spacing w:val="-1"/>
        </w:rPr>
        <w:t>配变终端、辅助设备等）、配电自动化产品、电能计量箱、</w:t>
      </w:r>
      <w:r>
        <w:rPr>
          <w:spacing w:val="-83"/>
        </w:rPr>
        <w:t> </w:t>
      </w:r>
      <w:r>
        <w:rPr>
          <w:spacing w:val="-83"/>
        </w:rPr>
      </w:r>
      <w:r>
        <w:rPr/>
        <w:t>高低压电气成套开关设备、电力在线监测系统、能源监测终端及监测平台、智能微电网管理系统及工程服</w:t>
      </w:r>
      <w:r>
        <w:rPr/>
        <w:t> 务等。</w:t>
      </w:r>
    </w:p>
    <w:p>
      <w:pPr>
        <w:pStyle w:val="BodyText"/>
        <w:spacing w:line="408" w:lineRule="auto"/>
        <w:ind w:left="1553" w:right="7918"/>
        <w:jc w:val="left"/>
      </w:pPr>
      <w:r>
        <w:rPr/>
        <w:t>（二）经营模式 </w:t>
      </w:r>
      <w:r>
        <w:rPr>
          <w:rFonts w:ascii="宋体" w:hAnsi="宋体" w:cs="宋体" w:eastAsia="宋体" w:hint="default"/>
        </w:rPr>
        <w:t>1</w:t>
      </w:r>
      <w:r>
        <w:rPr/>
        <w:t>、版权云业务的经营模式</w:t>
      </w:r>
    </w:p>
    <w:p>
      <w:pPr>
        <w:pStyle w:val="BodyText"/>
        <w:spacing w:line="240" w:lineRule="auto"/>
        <w:ind w:left="1553" w:right="1121"/>
        <w:jc w:val="left"/>
      </w:pPr>
      <w:r>
        <w:rPr/>
        <w:t>（</w:t>
      </w:r>
      <w:r>
        <w:rPr>
          <w:rFonts w:ascii="宋体" w:hAnsi="宋体" w:cs="宋体" w:eastAsia="宋体" w:hint="default"/>
        </w:rPr>
        <w:t>1</w:t>
      </w:r>
      <w:r>
        <w:rPr/>
        <w:t>）互联网内容安全</w:t>
      </w:r>
    </w:p>
    <w:p>
      <w:pPr>
        <w:spacing w:line="240" w:lineRule="auto" w:before="10"/>
        <w:rPr>
          <w:rFonts w:ascii="宋体" w:hAnsi="宋体" w:cs="宋体" w:eastAsia="宋体" w:hint="default"/>
          <w:sz w:val="14"/>
          <w:szCs w:val="14"/>
        </w:rPr>
      </w:pPr>
    </w:p>
    <w:p>
      <w:pPr>
        <w:pStyle w:val="BodyText"/>
        <w:spacing w:line="408" w:lineRule="auto" w:before="0"/>
        <w:ind w:right="1110" w:firstLine="420"/>
        <w:jc w:val="both"/>
      </w:pPr>
      <w:r>
        <w:rPr/>
        <w:t>根据提供服务对象的不同可分为</w:t>
      </w:r>
      <w:r>
        <w:rPr>
          <w:spacing w:val="-45"/>
        </w:rPr>
        <w:t> </w:t>
      </w:r>
      <w:r>
        <w:rPr>
          <w:rFonts w:ascii="宋体" w:hAnsi="宋体" w:cs="宋体" w:eastAsia="宋体" w:hint="default"/>
        </w:rPr>
        <w:t>TO-G</w:t>
      </w:r>
      <w:r>
        <w:rPr/>
        <w:t>、</w:t>
      </w:r>
      <w:r>
        <w:rPr>
          <w:rFonts w:ascii="宋体" w:hAnsi="宋体" w:cs="宋体" w:eastAsia="宋体" w:hint="default"/>
        </w:rPr>
        <w:t>TO-B</w:t>
      </w:r>
      <w:r>
        <w:rPr>
          <w:rFonts w:ascii="宋体" w:hAnsi="宋体" w:cs="宋体" w:eastAsia="宋体" w:hint="default"/>
          <w:spacing w:val="-44"/>
        </w:rPr>
        <w:t> </w:t>
      </w:r>
      <w:r>
        <w:rPr/>
        <w:t>业务，其中：</w:t>
      </w:r>
      <w:r>
        <w:rPr>
          <w:rFonts w:ascii="宋体" w:hAnsi="宋体" w:cs="宋体" w:eastAsia="宋体" w:hint="default"/>
        </w:rPr>
        <w:t>TO-G</w:t>
      </w:r>
      <w:r>
        <w:rPr>
          <w:rFonts w:ascii="宋体" w:hAnsi="宋体" w:cs="宋体" w:eastAsia="宋体" w:hint="default"/>
          <w:spacing w:val="-44"/>
        </w:rPr>
        <w:t> </w:t>
      </w:r>
      <w:r>
        <w:rPr/>
        <w:t>业务主要是按照国家相关机构对纷乱 </w:t>
      </w:r>
      <w:r>
        <w:rPr>
          <w:spacing w:val="-1"/>
        </w:rPr>
        <w:t>复杂互联网内容的管理需求和规则，通过监测、预警、分析、洞察等技术能力帮助其实现互联网内容的可</w:t>
      </w:r>
      <w:r>
        <w:rPr>
          <w:spacing w:val="-86"/>
        </w:rPr>
        <w:t> </w:t>
      </w:r>
      <w:r>
        <w:rPr>
          <w:spacing w:val="-86"/>
        </w:rPr>
      </w:r>
      <w:r>
        <w:rPr/>
        <w:t>管可控，对内容从生产、获取、传播、消费、反馈的全生命周期进行跟踪，提供对关键内容的事前预警、 </w:t>
      </w:r>
      <w:r>
        <w:rPr>
          <w:spacing w:val="-5"/>
        </w:rPr>
        <w:t>重点打击内容的实时监测、重点专项行动的事后分析以及垂直内容行业的多维度数据洞察等服务，如为“国</w:t>
      </w:r>
      <w:r>
        <w:rPr>
          <w:spacing w:val="-101"/>
        </w:rPr>
        <w:t> </w:t>
      </w:r>
      <w:r>
        <w:rPr>
          <w:spacing w:val="-101"/>
        </w:rPr>
      </w:r>
      <w:r>
        <w:rPr>
          <w:spacing w:val="-2"/>
        </w:rPr>
        <w:t>家净网行动”、“剑网行动”提供技术支持，树立市场公信力，以公益性为主；</w:t>
      </w:r>
      <w:r>
        <w:rPr>
          <w:rFonts w:ascii="宋体" w:hAnsi="宋体" w:cs="宋体" w:eastAsia="宋体" w:hint="default"/>
          <w:spacing w:val="-2"/>
        </w:rPr>
        <w:t>TO-B</w:t>
      </w:r>
      <w:r>
        <w:rPr>
          <w:rFonts w:ascii="宋体" w:hAnsi="宋体" w:cs="宋体" w:eastAsia="宋体" w:hint="default"/>
          <w:spacing w:val="-48"/>
        </w:rPr>
        <w:t> </w:t>
      </w:r>
      <w:r>
        <w:rPr>
          <w:spacing w:val="-1"/>
        </w:rPr>
        <w:t>业务主要是通过内容</w:t>
      </w:r>
      <w:r>
        <w:rPr>
          <w:spacing w:val="-102"/>
        </w:rPr>
        <w:t> </w:t>
      </w:r>
      <w:r>
        <w:rPr>
          <w:spacing w:val="-102"/>
        </w:rPr>
      </w:r>
      <w:r>
        <w:rPr>
          <w:spacing w:val="-1"/>
        </w:rPr>
        <w:t>监测服务的开展积累大量的内容资产和数据资产，为企业、个人提供内容合规外包服务的经营模式，包括</w:t>
      </w:r>
      <w:r>
        <w:rPr>
          <w:spacing w:val="-82"/>
        </w:rPr>
        <w:t> </w:t>
      </w:r>
      <w:r>
        <w:rPr>
          <w:spacing w:val="-82"/>
        </w:rPr>
      </w:r>
      <w:r>
        <w:rPr/>
        <w:t>日常内容风控、专项数据监测等。</w:t>
      </w:r>
    </w:p>
    <w:p>
      <w:pPr>
        <w:pStyle w:val="BodyText"/>
        <w:spacing w:line="240" w:lineRule="auto"/>
        <w:ind w:left="1554" w:right="1121"/>
        <w:jc w:val="left"/>
      </w:pPr>
      <w:r>
        <w:rPr/>
        <w:t>（</w:t>
      </w:r>
      <w:r>
        <w:rPr>
          <w:rFonts w:ascii="宋体" w:hAnsi="宋体" w:cs="宋体" w:eastAsia="宋体" w:hint="default"/>
        </w:rPr>
        <w:t>2</w:t>
      </w:r>
      <w:r>
        <w:rPr/>
        <w:t>）版权内容分发交易</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t>依托</w:t>
      </w:r>
      <w:r>
        <w:rPr>
          <w:spacing w:val="-33"/>
        </w:rPr>
        <w:t> </w:t>
      </w:r>
      <w:r>
        <w:rPr>
          <w:rFonts w:ascii="宋体" w:hAnsi="宋体" w:cs="宋体" w:eastAsia="宋体" w:hint="default"/>
        </w:rPr>
        <w:t>CCDI</w:t>
      </w:r>
      <w:r>
        <w:rPr>
          <w:rFonts w:ascii="宋体" w:hAnsi="宋体" w:cs="宋体" w:eastAsia="宋体" w:hint="default"/>
          <w:spacing w:val="-33"/>
        </w:rPr>
        <w:t> </w:t>
      </w:r>
      <w:r>
        <w:rPr/>
        <w:t>版权云大数据中心，结合版权云监测平台积累的互联网闭环数据形成的</w:t>
      </w:r>
      <w:r>
        <w:rPr>
          <w:spacing w:val="-32"/>
        </w:rPr>
        <w:t> </w:t>
      </w:r>
      <w:r>
        <w:rPr>
          <w:rFonts w:ascii="宋体" w:hAnsi="宋体" w:cs="宋体" w:eastAsia="宋体" w:hint="default"/>
        </w:rPr>
        <w:t>DMP</w:t>
      </w:r>
      <w:r>
        <w:rPr>
          <w:rFonts w:ascii="宋体" w:hAnsi="宋体" w:cs="宋体" w:eastAsia="宋体" w:hint="default"/>
          <w:spacing w:val="-33"/>
        </w:rPr>
        <w:t> </w:t>
      </w:r>
      <w:r>
        <w:rPr/>
        <w:t>能力，为完成 </w:t>
      </w:r>
      <w:r>
        <w:rPr>
          <w:spacing w:val="-1"/>
        </w:rPr>
        <w:t>登记确权的数字版权内容进行程序化精准分发（即精准营销）提供数据支撑；建立版权底价定价体系，用</w:t>
      </w:r>
      <w:r>
        <w:rPr>
          <w:spacing w:val="-85"/>
        </w:rPr>
        <w:t> </w:t>
      </w:r>
      <w:r>
        <w:rPr>
          <w:spacing w:val="-85"/>
        </w:rPr>
      </w:r>
      <w:r>
        <w:rPr>
          <w:spacing w:val="-1"/>
        </w:rPr>
        <w:t>市场需求确定版权价格，推动版权交易的“微付费”、“微分账”模式，可以通过服务费形式或交易分账</w:t>
      </w:r>
      <w:r>
        <w:rPr>
          <w:spacing w:val="-85"/>
        </w:rPr>
        <w:t> </w:t>
      </w:r>
      <w:r>
        <w:rPr>
          <w:spacing w:val="-85"/>
        </w:rPr>
      </w:r>
      <w:r>
        <w:rPr/>
        <w:t>形式进行经营。</w:t>
      </w:r>
    </w:p>
    <w:p>
      <w:pPr>
        <w:pStyle w:val="BodyText"/>
        <w:spacing w:line="240" w:lineRule="auto"/>
        <w:ind w:left="1553" w:right="1121"/>
        <w:jc w:val="left"/>
      </w:pPr>
      <w:r>
        <w:rPr>
          <w:rFonts w:ascii="宋体" w:hAnsi="宋体" w:cs="宋体" w:eastAsia="宋体" w:hint="default"/>
        </w:rPr>
        <w:t>2</w:t>
      </w:r>
      <w:r>
        <w:rPr/>
        <w:t>、电力业务的经营模式</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t>（</w:t>
      </w:r>
      <w:r>
        <w:rPr>
          <w:rFonts w:ascii="宋体" w:hAnsi="宋体" w:cs="宋体" w:eastAsia="宋体" w:hint="default"/>
        </w:rPr>
        <w:t>1</w:t>
      </w:r>
      <w:r>
        <w:rPr/>
        <w:t>）产品类：以用采产品、电能表箱、高低压成套设备、配电一二次设备为主，主要通过国家电网、</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both"/>
      </w:pPr>
      <w:r>
        <w:rPr/>
        <w:t>南方电网及各网省公司集中招标获取订单，组织生产及发货方式实现销售。</w:t>
      </w:r>
    </w:p>
    <w:p>
      <w:pPr>
        <w:spacing w:line="240" w:lineRule="auto" w:before="10"/>
        <w:rPr>
          <w:rFonts w:ascii="宋体" w:hAnsi="宋体" w:cs="宋体" w:eastAsia="宋体" w:hint="default"/>
          <w:sz w:val="14"/>
          <w:szCs w:val="14"/>
        </w:rPr>
      </w:pPr>
    </w:p>
    <w:p>
      <w:pPr>
        <w:pStyle w:val="BodyText"/>
        <w:spacing w:line="408" w:lineRule="auto" w:before="0"/>
        <w:ind w:right="1121" w:firstLine="420"/>
        <w:jc w:val="left"/>
      </w:pPr>
      <w:r>
        <w:rPr/>
        <w:t>（</w:t>
      </w:r>
      <w:r>
        <w:rPr>
          <w:rFonts w:ascii="宋体" w:hAnsi="宋体" w:cs="宋体" w:eastAsia="宋体" w:hint="default"/>
        </w:rPr>
        <w:t>2</w:t>
      </w:r>
      <w:r>
        <w:rPr/>
        <w:t>）服务类：以工程施工业务为主，通过电力公司、政府公共平台及用户招投标获取订单，实施完 成后，甲方单位确认审计后实现销售。</w:t>
      </w:r>
    </w:p>
    <w:p>
      <w:pPr>
        <w:pStyle w:val="BodyText"/>
        <w:spacing w:line="408" w:lineRule="auto"/>
        <w:ind w:right="0" w:firstLine="420"/>
        <w:jc w:val="left"/>
      </w:pPr>
      <w:r>
        <w:rPr>
          <w:spacing w:val="-1"/>
        </w:rPr>
        <w:t>（</w:t>
      </w:r>
      <w:r>
        <w:rPr>
          <w:rFonts w:ascii="宋体" w:hAnsi="宋体" w:cs="宋体" w:eastAsia="宋体" w:hint="default"/>
          <w:spacing w:val="-1"/>
        </w:rPr>
        <w:t>3</w:t>
      </w:r>
      <w:r>
        <w:rPr>
          <w:spacing w:val="-1"/>
        </w:rPr>
        <w:t>）系统集成类：以能效监测系统或区域能源管理为主，采取整体打包服务的方式，提供实施方案，</w:t>
      </w:r>
      <w:r>
        <w:rPr/>
        <w:t> 方案经确认且实施完成后实现销售。</w:t>
      </w:r>
    </w:p>
    <w:p>
      <w:pPr>
        <w:pStyle w:val="BodyText"/>
        <w:spacing w:line="444" w:lineRule="auto"/>
        <w:ind w:left="1554" w:right="1121"/>
        <w:jc w:val="left"/>
      </w:pPr>
      <w:r>
        <w:rPr/>
        <w:t>（三）报告期业绩驱动因素 </w:t>
      </w:r>
      <w:r>
        <w:rPr>
          <w:spacing w:val="-1"/>
        </w:rPr>
        <w:t>报告期内，公司版权云业务完成了相关布局和能力建设，尚未形成收入和利润；电力业务面对细分市</w:t>
      </w:r>
    </w:p>
    <w:p>
      <w:pPr>
        <w:pStyle w:val="BodyText"/>
        <w:spacing w:line="408" w:lineRule="auto" w:before="13"/>
        <w:ind w:left="1134" w:right="1130"/>
        <w:jc w:val="both"/>
      </w:pPr>
      <w:r>
        <w:rPr>
          <w:spacing w:val="-1"/>
        </w:rPr>
        <w:t>场周期性的环境，公司继续巩固拓展既有市场，用采系列产品、电能表箱系列产品的市场占有额同比略有</w:t>
      </w:r>
      <w:r>
        <w:rPr>
          <w:spacing w:val="-83"/>
        </w:rPr>
        <w:t> </w:t>
      </w:r>
      <w:r>
        <w:rPr>
          <w:spacing w:val="-83"/>
        </w:rPr>
      </w:r>
      <w:r>
        <w:rPr/>
        <w:t>上升，但受限于市场整体需求量减少（</w:t>
      </w:r>
      <w:r>
        <w:rPr>
          <w:rFonts w:ascii="宋体" w:hAnsi="宋体" w:cs="宋体" w:eastAsia="宋体" w:hint="default"/>
        </w:rPr>
        <w:t>2017</w:t>
      </w:r>
      <w:r>
        <w:rPr>
          <w:rFonts w:ascii="宋体" w:hAnsi="宋体" w:cs="宋体" w:eastAsia="宋体" w:hint="default"/>
          <w:spacing w:val="-64"/>
        </w:rPr>
        <w:t> </w:t>
      </w:r>
      <w:r>
        <w:rPr/>
        <w:t>年市场总体的用采招标金额同比减少约</w:t>
      </w:r>
      <w:r>
        <w:rPr>
          <w:spacing w:val="-65"/>
        </w:rPr>
        <w:t> </w:t>
      </w:r>
      <w:r>
        <w:rPr>
          <w:rFonts w:ascii="宋体" w:hAnsi="宋体" w:cs="宋体" w:eastAsia="宋体" w:hint="default"/>
        </w:rPr>
        <w:t>35%</w:t>
      </w:r>
      <w:r>
        <w:rPr/>
        <w:t>；电能表箱总体招 标金额同比减少约</w:t>
      </w:r>
      <w:r>
        <w:rPr>
          <w:spacing w:val="-23"/>
        </w:rPr>
        <w:t> </w:t>
      </w:r>
      <w:r>
        <w:rPr>
          <w:rFonts w:ascii="宋体" w:hAnsi="宋体" w:cs="宋体" w:eastAsia="宋体" w:hint="default"/>
        </w:rPr>
        <w:t>28%</w:t>
      </w:r>
      <w:r>
        <w:rPr/>
        <w:t>），加之招标后实施进度的滞后性，产品交付量减少。由于索瑞电气、德能设计业 </w:t>
      </w:r>
      <w:r>
        <w:rPr>
          <w:spacing w:val="-1"/>
        </w:rPr>
        <w:t>务下滑，根据会计师的审计意见，出于谨慎性原则，公司对索瑞电气、德能设计在并购过程中形成的商誉</w:t>
      </w:r>
      <w:r>
        <w:rPr>
          <w:spacing w:val="-86"/>
        </w:rPr>
        <w:t> </w:t>
      </w:r>
      <w:r>
        <w:rPr>
          <w:spacing w:val="-86"/>
        </w:rPr>
      </w:r>
      <w:r>
        <w:rPr>
          <w:spacing w:val="-1"/>
        </w:rPr>
        <w:t>及相关资产计提了资产减值损失，同时公司在版权云业务上处于投入布局占位阶段尚未形成利润，致使报</w:t>
      </w:r>
      <w:r>
        <w:rPr>
          <w:spacing w:val="-81"/>
        </w:rPr>
        <w:t> </w:t>
      </w:r>
      <w:r>
        <w:rPr>
          <w:spacing w:val="-81"/>
        </w:rPr>
      </w:r>
      <w:r>
        <w:rPr/>
        <w:t>告期净利润亏损。</w:t>
      </w:r>
    </w:p>
    <w:p>
      <w:pPr>
        <w:pStyle w:val="BodyText"/>
        <w:spacing w:line="408" w:lineRule="auto" w:before="85"/>
        <w:ind w:left="1554" w:right="5712"/>
        <w:jc w:val="left"/>
      </w:pPr>
      <w:r>
        <w:rPr/>
        <w:t>（四）公司所处行业的发展趋势及公司所在的地位 </w:t>
      </w:r>
      <w:r>
        <w:rPr>
          <w:rFonts w:ascii="宋体" w:hAnsi="宋体" w:cs="宋体" w:eastAsia="宋体" w:hint="default"/>
        </w:rPr>
        <w:t>1</w:t>
      </w:r>
      <w:r>
        <w:rPr/>
        <w:t>、版权云业务</w:t>
      </w:r>
    </w:p>
    <w:p>
      <w:pPr>
        <w:pStyle w:val="BodyText"/>
        <w:spacing w:line="408" w:lineRule="auto"/>
        <w:ind w:right="1017" w:firstLine="423"/>
        <w:jc w:val="left"/>
      </w:pPr>
      <w:r>
        <w:rPr>
          <w:color w:val="0F0F0F"/>
          <w:spacing w:val="-6"/>
        </w:rPr>
        <w:t>在国家政策方面，国务院在《文化产业振兴规划》、《国家“十二五”时期文化改革发展规划纲要》中</w:t>
      </w:r>
      <w:r>
        <w:rPr>
          <w:color w:val="0F0F0F"/>
          <w:spacing w:val="-4"/>
        </w:rPr>
        <w:t> </w:t>
      </w:r>
      <w:r>
        <w:rPr>
          <w:color w:val="0F0F0F"/>
        </w:rPr>
        <w:t>将发展数字、网络出版产业作为出版传媒产业转型升级的重要战略；</w:t>
      </w:r>
      <w:r>
        <w:rPr>
          <w:rFonts w:ascii="宋体" w:hAnsi="宋体" w:cs="宋体" w:eastAsia="宋体" w:hint="default"/>
          <w:color w:val="0F0F0F"/>
        </w:rPr>
        <w:t>2016</w:t>
      </w:r>
      <w:r>
        <w:rPr>
          <w:color w:val="0F0F0F"/>
        </w:rPr>
        <w:t>年</w:t>
      </w:r>
      <w:r>
        <w:rPr>
          <w:rFonts w:ascii="宋体" w:hAnsi="宋体" w:cs="宋体" w:eastAsia="宋体" w:hint="default"/>
          <w:color w:val="0F0F0F"/>
        </w:rPr>
        <w:t>2</w:t>
      </w:r>
      <w:r>
        <w:rPr>
          <w:color w:val="0F0F0F"/>
        </w:rPr>
        <w:t>月</w:t>
      </w:r>
      <w:r>
        <w:rPr>
          <w:rFonts w:ascii="宋体" w:hAnsi="宋体" w:cs="宋体" w:eastAsia="宋体" w:hint="default"/>
          <w:color w:val="0F0F0F"/>
        </w:rPr>
        <w:t>4</w:t>
      </w:r>
      <w:r>
        <w:rPr>
          <w:color w:val="0F0F0F"/>
        </w:rPr>
        <w:t>日，国家新闻出版广电总 </w:t>
      </w:r>
      <w:r>
        <w:rPr>
          <w:color w:val="0F0F0F"/>
          <w:spacing w:val="-3"/>
        </w:rPr>
        <w:t>局、工业和信息化部颁布了《网络出版服务管理规定》，将网络出版生态下的版权保护纳入常轨；</w:t>
      </w:r>
      <w:r>
        <w:rPr>
          <w:rFonts w:ascii="宋体" w:hAnsi="宋体" w:cs="宋体" w:eastAsia="宋体" w:hint="default"/>
          <w:spacing w:val="-3"/>
        </w:rPr>
        <w:t>2017</w:t>
      </w:r>
      <w:r>
        <w:rPr>
          <w:spacing w:val="-3"/>
        </w:rPr>
        <w:t>年</w:t>
      </w:r>
      <w:r>
        <w:rPr>
          <w:rFonts w:ascii="宋体" w:hAnsi="宋体" w:cs="宋体" w:eastAsia="宋体" w:hint="default"/>
          <w:spacing w:val="-3"/>
        </w:rPr>
        <w:t>1</w:t>
      </w:r>
      <w:r>
        <w:rPr>
          <w:rFonts w:ascii="宋体" w:hAnsi="宋体" w:cs="宋体" w:eastAsia="宋体" w:hint="default"/>
          <w:spacing w:val="-88"/>
        </w:rPr>
        <w:t> </w:t>
      </w:r>
      <w:r>
        <w:rPr>
          <w:spacing w:val="-3"/>
        </w:rPr>
        <w:t>月</w:t>
      </w:r>
      <w:r>
        <w:rPr>
          <w:rFonts w:ascii="宋体" w:hAnsi="宋体" w:cs="宋体" w:eastAsia="宋体" w:hint="default"/>
          <w:spacing w:val="-3"/>
        </w:rPr>
        <w:t>25</w:t>
      </w:r>
      <w:r>
        <w:rPr>
          <w:spacing w:val="-3"/>
        </w:rPr>
        <w:t>日，国家版权局发布了《版权工作“十三五”规划》，提出要实施版权严格保护、推动版权产业发展、</w:t>
      </w:r>
      <w:r>
        <w:rPr>
          <w:spacing w:val="-93"/>
        </w:rPr>
        <w:t> </w:t>
      </w:r>
      <w:r>
        <w:rPr>
          <w:spacing w:val="-93"/>
        </w:rPr>
      </w:r>
      <w:r>
        <w:rPr/>
        <w:t>健全版权工作体系，加大版权执法监管力度，优化版权社会管理工作，进一步明确了版权管理工作的重要</w:t>
      </w:r>
      <w:r>
        <w:rPr/>
        <w:t> 性和互联网出版的政策指引；</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7</w:t>
      </w:r>
      <w:r>
        <w:rPr/>
        <w:t>日，中共中央办公厅、国务院办公厅发布了《国家“十三五”时 期文化发展改革规划纲要》，在互联网</w:t>
      </w:r>
      <w:r>
        <w:rPr>
          <w:rFonts w:ascii="宋体" w:hAnsi="宋体" w:cs="宋体" w:eastAsia="宋体" w:hint="default"/>
        </w:rPr>
        <w:t>+</w:t>
      </w:r>
      <w:r>
        <w:rPr/>
        <w:t>行动中提出创新网络文化产品和服务，引导支持网络文化产业基</w:t>
      </w:r>
      <w:r>
        <w:rPr>
          <w:spacing w:val="-31"/>
        </w:rPr>
        <w:t> </w:t>
      </w:r>
      <w:r>
        <w:rPr>
          <w:spacing w:val="-31"/>
        </w:rPr>
      </w:r>
      <w:r>
        <w:rPr/>
        <w:t>地建设，建设中国文化（出版广电）大数据产业平台（</w:t>
      </w:r>
      <w:r>
        <w:rPr>
          <w:rFonts w:ascii="宋体" w:hAnsi="宋体" w:cs="宋体" w:eastAsia="宋体" w:hint="default"/>
        </w:rPr>
        <w:t>CCDI</w:t>
      </w:r>
      <w:r>
        <w:rPr/>
        <w:t>），在国家战略高度上明确了版权云项目的定 位。</w:t>
      </w:r>
    </w:p>
    <w:p>
      <w:pPr>
        <w:pStyle w:val="BodyText"/>
        <w:spacing w:line="408" w:lineRule="auto"/>
        <w:ind w:right="0" w:firstLine="423"/>
        <w:jc w:val="left"/>
      </w:pPr>
      <w:r>
        <w:rPr>
          <w:color w:val="0F0F0F"/>
          <w:spacing w:val="-1"/>
        </w:rPr>
        <w:t>在市场空间方面，随着数字化出版物的日新月异，人们阅读习惯的改变，内容付费市场的形成，为数</w:t>
      </w:r>
      <w:r>
        <w:rPr>
          <w:color w:val="0F0F0F"/>
        </w:rPr>
        <w:t> </w:t>
      </w:r>
      <w:r>
        <w:rPr>
          <w:color w:val="0F0F0F"/>
          <w:spacing w:val="-5"/>
        </w:rPr>
        <w:t>字版权提供的头部内容全生命周期交易保障和长尾内容“微版权”、“微支付”体系提供巨大的商业机会。</w:t>
      </w:r>
      <w:r>
        <w:rPr>
          <w:spacing w:val="-5"/>
        </w:rPr>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4032" w:lineRule="exact"/>
        <w:ind w:left="194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5083221" cy="2560320"/>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7" cstate="print"/>
                    <a:stretch>
                      <a:fillRect/>
                    </a:stretch>
                  </pic:blipFill>
                  <pic:spPr>
                    <a:xfrm>
                      <a:off x="0" y="0"/>
                      <a:ext cx="5083221" cy="256032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0"/>
        <w:rPr>
          <w:rFonts w:ascii="宋体" w:hAnsi="宋体" w:cs="宋体" w:eastAsia="宋体" w:hint="default"/>
          <w:sz w:val="5"/>
          <w:szCs w:val="5"/>
        </w:rPr>
      </w:pPr>
    </w:p>
    <w:p>
      <w:pPr>
        <w:spacing w:line="4010" w:lineRule="exact"/>
        <w:ind w:left="1968"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5057036" cy="2546604"/>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8" cstate="print"/>
                    <a:stretch>
                      <a:fillRect/>
                    </a:stretch>
                  </pic:blipFill>
                  <pic:spPr>
                    <a:xfrm>
                      <a:off x="0" y="0"/>
                      <a:ext cx="5057036" cy="2546604"/>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5"/>
        <w:rPr>
          <w:rFonts w:ascii="宋体" w:hAnsi="宋体" w:cs="宋体" w:eastAsia="宋体" w:hint="default"/>
          <w:sz w:val="8"/>
          <w:szCs w:val="8"/>
        </w:rPr>
      </w:pPr>
    </w:p>
    <w:p>
      <w:pPr>
        <w:spacing w:before="44"/>
        <w:ind w:left="1558" w:right="1121" w:firstLine="0"/>
        <w:jc w:val="left"/>
        <w:rPr>
          <w:rFonts w:ascii="宋体" w:hAnsi="宋体" w:cs="宋体" w:eastAsia="宋体" w:hint="default"/>
          <w:sz w:val="18"/>
          <w:szCs w:val="18"/>
        </w:rPr>
      </w:pPr>
      <w:r>
        <w:rPr>
          <w:rFonts w:ascii="宋体" w:hAnsi="宋体" w:cs="宋体" w:eastAsia="宋体" w:hint="default"/>
          <w:sz w:val="18"/>
          <w:szCs w:val="18"/>
        </w:rPr>
        <w:t>上述资料来源：</w:t>
      </w:r>
      <w:r>
        <w:rPr>
          <w:rFonts w:ascii="宋体" w:hAnsi="宋体" w:cs="宋体" w:eastAsia="宋体" w:hint="default"/>
          <w:color w:val="0F0F0F"/>
          <w:sz w:val="18"/>
          <w:szCs w:val="18"/>
        </w:rPr>
        <w:t>艾瑞咨询</w:t>
      </w:r>
      <w:r>
        <w:rPr>
          <w:rFonts w:ascii="宋体" w:hAnsi="宋体" w:cs="宋体" w:eastAsia="宋体" w:hint="default"/>
          <w:sz w:val="18"/>
          <w:szCs w:val="18"/>
        </w:rPr>
      </w:r>
    </w:p>
    <w:p>
      <w:pPr>
        <w:spacing w:line="240" w:lineRule="auto" w:before="11"/>
        <w:rPr>
          <w:rFonts w:ascii="宋体" w:hAnsi="宋体" w:cs="宋体" w:eastAsia="宋体" w:hint="default"/>
          <w:sz w:val="15"/>
          <w:szCs w:val="15"/>
        </w:rPr>
      </w:pPr>
    </w:p>
    <w:p>
      <w:pPr>
        <w:pStyle w:val="BodyText"/>
        <w:spacing w:line="408" w:lineRule="auto" w:before="0"/>
        <w:ind w:right="1131" w:firstLine="426"/>
        <w:jc w:val="both"/>
      </w:pPr>
      <w:r>
        <w:rPr/>
        <w:t>光一科技是</w:t>
      </w:r>
      <w:r>
        <w:rPr>
          <w:rFonts w:ascii="宋体" w:hAnsi="宋体" w:cs="宋体" w:eastAsia="宋体" w:hint="default"/>
        </w:rPr>
        <w:t>CCDI</w:t>
      </w:r>
      <w:r>
        <w:rPr/>
        <w:t>版权云项目的主要发起方和基石推动者。</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25</w:t>
      </w:r>
      <w:r>
        <w:rPr/>
        <w:t>日，公司与贵州省人民政府驻 </w:t>
      </w:r>
      <w:r>
        <w:rPr>
          <w:spacing w:val="-1"/>
        </w:rPr>
        <w:t>北京办事处、贵州省新闻出版局、贵州广电传媒集团、贵州文化产业投资管理有限公司、中国音像与数字</w:t>
      </w:r>
      <w:r>
        <w:rPr>
          <w:spacing w:val="-85"/>
        </w:rPr>
        <w:t> </w:t>
      </w:r>
      <w:r>
        <w:rPr>
          <w:spacing w:val="-85"/>
        </w:rPr>
      </w:r>
      <w:r>
        <w:rPr>
          <w:spacing w:val="-1"/>
        </w:rPr>
        <w:t>出版协会数字音像工作委员会、天擎华媒（北京）科技有限公司等部门和单位共同签署了《建设国家级数</w:t>
      </w:r>
      <w:r>
        <w:rPr>
          <w:spacing w:val="-86"/>
        </w:rPr>
        <w:t> </w:t>
      </w:r>
      <w:r>
        <w:rPr>
          <w:spacing w:val="-86"/>
        </w:rPr>
      </w:r>
      <w:r>
        <w:rPr>
          <w:spacing w:val="-1"/>
        </w:rPr>
        <w:t>字音像出版等系列项目战略合作协议》，共同实施建设以版权管理大数据为核心的“国家级数字音像传播</w:t>
      </w:r>
      <w:r>
        <w:rPr>
          <w:spacing w:val="-83"/>
        </w:rPr>
        <w:t> </w:t>
      </w:r>
      <w:r>
        <w:rPr>
          <w:spacing w:val="-83"/>
        </w:rPr>
      </w:r>
      <w:r>
        <w:rPr>
          <w:spacing w:val="-1"/>
        </w:rPr>
        <w:t>服务监管平台”及“国家级数字音像出版及版权备案库”。</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16</w:t>
      </w:r>
      <w:r>
        <w:rPr>
          <w:spacing w:val="-1"/>
        </w:rPr>
        <w:t>日，国家新闻出版广电总局和贵</w:t>
      </w:r>
      <w:r>
        <w:rPr>
          <w:spacing w:val="-81"/>
        </w:rPr>
        <w:t> </w:t>
      </w:r>
      <w:r>
        <w:rPr>
          <w:spacing w:val="-81"/>
        </w:rPr>
      </w:r>
      <w:r>
        <w:rPr>
          <w:spacing w:val="-1"/>
        </w:rPr>
        <w:t>州省人民政府签署《关于合作推动中国文化（出版广电）大数据产业项目开发的协议》，将“国家数字音</w:t>
      </w:r>
      <w:r>
        <w:rPr>
          <w:spacing w:val="-83"/>
        </w:rPr>
        <w:t> </w:t>
      </w:r>
      <w:r>
        <w:rPr>
          <w:spacing w:val="-83"/>
        </w:rPr>
      </w:r>
      <w:r>
        <w:rPr/>
        <w:t>像传播服务平台”项目（即版权云项目）纳入</w:t>
      </w:r>
      <w:r>
        <w:rPr>
          <w:rFonts w:ascii="宋体" w:hAnsi="宋体" w:cs="宋体" w:eastAsia="宋体" w:hint="default"/>
        </w:rPr>
        <w:t>CCDI</w:t>
      </w:r>
      <w:r>
        <w:rPr/>
        <w:t>总体项目统一规划。</w:t>
      </w:r>
    </w:p>
    <w:p>
      <w:pPr>
        <w:pStyle w:val="BodyText"/>
        <w:spacing w:line="240" w:lineRule="auto"/>
        <w:ind w:left="1560" w:right="1121"/>
        <w:jc w:val="left"/>
      </w:pPr>
      <w:r>
        <w:rPr>
          <w:rFonts w:ascii="宋体" w:hAnsi="宋体" w:cs="宋体" w:eastAsia="宋体" w:hint="default"/>
        </w:rPr>
        <w:t>2</w:t>
      </w:r>
      <w:r>
        <w:rPr/>
        <w:t>、电力行业</w:t>
      </w:r>
    </w:p>
    <w:p>
      <w:pPr>
        <w:spacing w:line="240" w:lineRule="auto" w:before="10"/>
        <w:rPr>
          <w:rFonts w:ascii="宋体" w:hAnsi="宋体" w:cs="宋体" w:eastAsia="宋体" w:hint="default"/>
          <w:sz w:val="14"/>
          <w:szCs w:val="14"/>
        </w:rPr>
      </w:pPr>
    </w:p>
    <w:p>
      <w:pPr>
        <w:pStyle w:val="BodyText"/>
        <w:spacing w:line="240" w:lineRule="auto" w:before="0"/>
        <w:ind w:left="1560" w:right="0"/>
        <w:jc w:val="left"/>
      </w:pPr>
      <w:r>
        <w:rPr/>
        <w:t>国家电网在《智能电网发展规划》中提出 </w:t>
      </w:r>
      <w:r>
        <w:rPr>
          <w:rFonts w:ascii="宋体" w:hAnsi="宋体" w:cs="宋体" w:eastAsia="宋体" w:hint="default"/>
        </w:rPr>
        <w:t>2015</w:t>
      </w:r>
      <w:r>
        <w:rPr>
          <w:rFonts w:ascii="宋体" w:hAnsi="宋体" w:cs="宋体" w:eastAsia="宋体" w:hint="default"/>
          <w:spacing w:val="-29"/>
        </w:rPr>
        <w:t> </w:t>
      </w:r>
      <w:r>
        <w:rPr/>
        <w:t>年基本实现用电信息采集全覆盖、全费控、全采集，</w:t>
      </w:r>
    </w:p>
    <w:p>
      <w:pPr>
        <w:spacing w:line="240" w:lineRule="auto" w:before="10"/>
        <w:rPr>
          <w:rFonts w:ascii="宋体" w:hAnsi="宋体" w:cs="宋体" w:eastAsia="宋体" w:hint="default"/>
          <w:sz w:val="14"/>
          <w:szCs w:val="14"/>
        </w:rPr>
      </w:pPr>
    </w:p>
    <w:p>
      <w:pPr>
        <w:pStyle w:val="BodyText"/>
        <w:spacing w:line="408" w:lineRule="auto" w:before="0"/>
        <w:ind w:left="1134" w:right="1115"/>
        <w:jc w:val="left"/>
      </w:pPr>
      <w:r>
        <w:rPr>
          <w:rFonts w:ascii="宋体" w:hAnsi="宋体" w:cs="宋体" w:eastAsia="宋体" w:hint="default"/>
        </w:rPr>
        <w:t>2016-2020</w:t>
      </w:r>
      <w:r>
        <w:rPr>
          <w:rFonts w:ascii="宋体" w:hAnsi="宋体" w:cs="宋体" w:eastAsia="宋体" w:hint="default"/>
          <w:spacing w:val="-23"/>
        </w:rPr>
        <w:t> </w:t>
      </w:r>
      <w:r>
        <w:rPr/>
        <w:t>年进入引领提升阶段，进一步优化智能用电信息采集系统，根据运行实践深化系统研究、完善 </w:t>
      </w:r>
      <w:r>
        <w:rPr>
          <w:spacing w:val="-1"/>
        </w:rPr>
        <w:t>系统功能，提升系统利用效果。随着国家电网上述规划目标的实施完成，国家电网及各网省公司关于用采</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产品、电表系列产品近年招标金额呈递减的趋势。</w:t>
      </w:r>
    </w:p>
    <w:p>
      <w:pPr>
        <w:spacing w:line="240" w:lineRule="auto" w:before="6"/>
        <w:rPr>
          <w:rFonts w:ascii="宋体" w:hAnsi="宋体" w:cs="宋体" w:eastAsia="宋体" w:hint="default"/>
          <w:sz w:val="16"/>
          <w:szCs w:val="16"/>
        </w:rPr>
      </w:pPr>
    </w:p>
    <w:p>
      <w:pPr>
        <w:spacing w:before="44"/>
        <w:ind w:left="9873" w:right="0" w:firstLine="0"/>
        <w:jc w:val="left"/>
        <w:rPr>
          <w:rFonts w:ascii="宋体" w:hAnsi="宋体" w:cs="宋体" w:eastAsia="宋体" w:hint="default"/>
          <w:sz w:val="18"/>
          <w:szCs w:val="18"/>
        </w:rPr>
      </w:pPr>
      <w:r>
        <w:rPr>
          <w:rFonts w:ascii="宋体" w:hAnsi="宋体" w:cs="宋体" w:eastAsia="宋体" w:hint="default"/>
          <w:sz w:val="18"/>
          <w:szCs w:val="18"/>
        </w:rPr>
        <w:t>单位：亿元</w:t>
      </w:r>
    </w:p>
    <w:p>
      <w:pPr>
        <w:spacing w:line="240" w:lineRule="auto" w:before="1"/>
        <w:rPr>
          <w:rFonts w:ascii="宋体" w:hAnsi="宋体" w:cs="宋体" w:eastAsia="宋体" w:hint="default"/>
          <w:sz w:val="18"/>
          <w:szCs w:val="18"/>
        </w:rPr>
      </w:pPr>
    </w:p>
    <w:p>
      <w:pPr>
        <w:spacing w:line="4584" w:lineRule="exact"/>
        <w:ind w:left="1889"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171277" cy="2911030"/>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9" cstate="print"/>
                    <a:stretch>
                      <a:fillRect/>
                    </a:stretch>
                  </pic:blipFill>
                  <pic:spPr>
                    <a:xfrm>
                      <a:off x="0" y="0"/>
                      <a:ext cx="5171277" cy="291103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4327" w:lineRule="exact"/>
        <w:ind w:left="210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938866" cy="2748248"/>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20" cstate="print"/>
                    <a:stretch>
                      <a:fillRect/>
                    </a:stretch>
                  </pic:blipFill>
                  <pic:spPr>
                    <a:xfrm>
                      <a:off x="0" y="0"/>
                      <a:ext cx="4938866" cy="2748248"/>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1583" w:right="1121" w:firstLine="0"/>
        <w:jc w:val="left"/>
        <w:rPr>
          <w:rFonts w:ascii="宋体" w:hAnsi="宋体" w:cs="宋体" w:eastAsia="宋体" w:hint="default"/>
          <w:sz w:val="18"/>
          <w:szCs w:val="18"/>
        </w:rPr>
      </w:pPr>
      <w:r>
        <w:rPr>
          <w:rFonts w:ascii="宋体" w:hAnsi="宋体" w:cs="宋体" w:eastAsia="宋体" w:hint="default"/>
          <w:sz w:val="18"/>
          <w:szCs w:val="18"/>
        </w:rPr>
        <w:t>上述资料根据国家电网公司历年招标数据统计</w:t>
      </w:r>
    </w:p>
    <w:p>
      <w:pPr>
        <w:spacing w:line="240" w:lineRule="auto" w:before="2"/>
        <w:rPr>
          <w:rFonts w:ascii="宋体" w:hAnsi="宋体" w:cs="宋体" w:eastAsia="宋体" w:hint="default"/>
          <w:sz w:val="13"/>
          <w:szCs w:val="13"/>
        </w:rPr>
      </w:pPr>
    </w:p>
    <w:p>
      <w:pPr>
        <w:pStyle w:val="BodyText"/>
        <w:spacing w:line="408" w:lineRule="auto" w:before="35"/>
        <w:ind w:left="1134" w:right="1110" w:firstLine="420"/>
        <w:jc w:val="right"/>
      </w:pPr>
      <w:r>
        <w:rPr/>
        <w:t>国家能源局在《配电网建设改造行动计划（</w:t>
      </w:r>
      <w:r>
        <w:rPr>
          <w:rFonts w:ascii="宋体" w:hAnsi="宋体" w:cs="宋体" w:eastAsia="宋体" w:hint="default"/>
        </w:rPr>
        <w:t>2015-2020</w:t>
      </w:r>
      <w:r>
        <w:rPr>
          <w:rFonts w:ascii="宋体" w:hAnsi="宋体" w:cs="宋体" w:eastAsia="宋体" w:hint="default"/>
          <w:spacing w:val="-24"/>
        </w:rPr>
        <w:t> </w:t>
      </w:r>
      <w:r>
        <w:rPr/>
        <w:t>年）》中对用电信息采集系统提出了新的发展 </w:t>
      </w:r>
      <w:r>
        <w:rPr>
          <w:spacing w:val="-1"/>
        </w:rPr>
        <w:t>规划，全面建设用电信息采集系统，推进用户用电信息的自动采集，探索应用多元化、网络化、双向实时</w:t>
      </w:r>
      <w:r>
        <w:rPr/>
        <w:t> </w:t>
      </w:r>
      <w:r>
        <w:rPr>
          <w:spacing w:val="-1"/>
        </w:rPr>
        <w:t>计量技术和用电信息采集技术，全面支撑用户信息互动、分布式电源及多元化负荷接入等业务，为实现智</w:t>
      </w:r>
      <w:r>
        <w:rPr/>
        <w:t> </w:t>
      </w:r>
      <w:r>
        <w:rPr>
          <w:spacing w:val="-1"/>
        </w:rPr>
        <w:t>能双向互动服务提供信息基础。上述新发展规划要求进一步提高用电信息采集的应用层面，扩大用电信息</w:t>
      </w:r>
      <w:r>
        <w:rPr/>
        <w:t> 采集应用范围，用电信息采集系统已经成为配网自动化建设中不可缺少的部分，具有更广阔的应用前景。 </w:t>
      </w:r>
      <w:r>
        <w:rPr>
          <w:spacing w:val="-1"/>
        </w:rPr>
        <w:t>国家发展改革委、国家能源局在《电力发展“十三五”规划》中明确提出“升级改造配电网，推进智</w:t>
      </w:r>
    </w:p>
    <w:p>
      <w:pPr>
        <w:spacing w:after="0" w:line="408" w:lineRule="auto"/>
        <w:jc w:val="righ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1"/>
        <w:jc w:val="both"/>
      </w:pPr>
      <w:r>
        <w:rPr>
          <w:spacing w:val="-1"/>
        </w:rPr>
        <w:t>能电网建设”，要求全面提升电网的智能化水平，提高电网接纳和优化配置多种能源的能力，满足用户供</w:t>
      </w:r>
      <w:r>
        <w:rPr>
          <w:spacing w:val="-85"/>
        </w:rPr>
        <w:t> </w:t>
      </w:r>
      <w:r>
        <w:rPr>
          <w:spacing w:val="-85"/>
        </w:rPr>
      </w:r>
      <w:r>
        <w:rPr>
          <w:spacing w:val="-1"/>
        </w:rPr>
        <w:t>需互动，充分发挥智能电网在现代能源体系中的作用。随着配电网建设改造行动计划对用户侧的在线监测</w:t>
      </w:r>
      <w:r>
        <w:rPr>
          <w:spacing w:val="-81"/>
        </w:rPr>
        <w:t> </w:t>
      </w:r>
      <w:r>
        <w:rPr>
          <w:spacing w:val="-81"/>
        </w:rPr>
      </w:r>
      <w:r>
        <w:rPr/>
        <w:t>和信息化互动提出更高的要求，对用电信息采集系统和与之相关的配电网产品将产生新的市场空间。</w:t>
      </w:r>
    </w:p>
    <w:p>
      <w:pPr>
        <w:pStyle w:val="BodyText"/>
        <w:spacing w:line="240" w:lineRule="auto"/>
        <w:ind w:left="1553" w:right="1121"/>
        <w:jc w:val="left"/>
      </w:pPr>
      <w:r>
        <w:rPr/>
        <w:t>公司深耕电力行业十余年，具有良好的品牌口碑和深厚的行业经验，处于主流供应商的行列。</w:t>
      </w:r>
    </w:p>
    <w:p>
      <w:pPr>
        <w:spacing w:line="240" w:lineRule="auto" w:before="0"/>
        <w:rPr>
          <w:rFonts w:ascii="宋体" w:hAnsi="宋体" w:cs="宋体" w:eastAsia="宋体" w:hint="default"/>
          <w:sz w:val="20"/>
          <w:szCs w:val="20"/>
        </w:rPr>
      </w:pPr>
    </w:p>
    <w:p>
      <w:pPr>
        <w:pStyle w:val="Heading2"/>
        <w:spacing w:line="240" w:lineRule="auto" w:before="131"/>
        <w:ind w:left="1133"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3" w:right="0"/>
        <w:jc w:val="both"/>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7"/>
        <w:rPr>
          <w:rFonts w:ascii="宋体" w:hAnsi="宋体" w:cs="宋体" w:eastAsia="宋体" w:hint="default"/>
          <w:b/>
          <w:bCs/>
          <w:sz w:val="28"/>
          <w:szCs w:val="28"/>
        </w:rPr>
      </w:pPr>
    </w:p>
    <w:tbl>
      <w:tblPr>
        <w:tblW w:w="0" w:type="auto"/>
        <w:jc w:val="left"/>
        <w:tblInd w:w="1118" w:type="dxa"/>
        <w:tblLayout w:type="fixed"/>
        <w:tblCellMar>
          <w:top w:w="0" w:type="dxa"/>
          <w:left w:w="0" w:type="dxa"/>
          <w:bottom w:w="0" w:type="dxa"/>
          <w:right w:w="0" w:type="dxa"/>
        </w:tblCellMar>
        <w:tblLook w:val="01E0"/>
      </w:tblPr>
      <w:tblGrid>
        <w:gridCol w:w="3053"/>
        <w:gridCol w:w="6516"/>
      </w:tblGrid>
      <w:tr>
        <w:trPr>
          <w:trHeight w:val="377" w:hRule="exact"/>
        </w:trPr>
        <w:tc>
          <w:tcPr>
            <w:tcW w:w="305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8"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33" w:hRule="exact"/>
        </w:trPr>
        <w:tc>
          <w:tcPr>
            <w:tcW w:w="30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4"/>
              <w:ind w:right="7"/>
              <w:jc w:val="center"/>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23" w:space="0" w:color="D2D2D2"/>
              <w:left w:val="single" w:sz="9" w:space="0" w:color="D2D2D2"/>
              <w:bottom w:val="single" w:sz="6" w:space="0" w:color="000000"/>
              <w:right w:val="single" w:sz="12"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长期股权投资较期初增长</w:t>
            </w:r>
            <w:r>
              <w:rPr>
                <w:rFonts w:ascii="宋体" w:hAnsi="宋体" w:cs="宋体" w:eastAsia="宋体" w:hint="default"/>
                <w:spacing w:val="-46"/>
                <w:sz w:val="18"/>
                <w:szCs w:val="18"/>
              </w:rPr>
              <w:t> </w:t>
            </w:r>
            <w:r>
              <w:rPr>
                <w:rFonts w:ascii="宋体" w:hAnsi="宋体" w:cs="宋体" w:eastAsia="宋体" w:hint="default"/>
                <w:sz w:val="18"/>
                <w:szCs w:val="18"/>
              </w:rPr>
              <w:t>214.19%</w:t>
            </w:r>
            <w:r>
              <w:rPr>
                <w:rFonts w:ascii="宋体" w:hAnsi="宋体" w:cs="宋体" w:eastAsia="宋体" w:hint="default"/>
                <w:sz w:val="18"/>
                <w:szCs w:val="18"/>
              </w:rPr>
              <w:t>，主要为本期投资参股公司所致</w:t>
            </w:r>
          </w:p>
        </w:tc>
      </w:tr>
      <w:tr>
        <w:trPr>
          <w:trHeight w:val="413" w:hRule="exact"/>
        </w:trPr>
        <w:tc>
          <w:tcPr>
            <w:tcW w:w="30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固定资产较期初增长</w:t>
            </w:r>
            <w:r>
              <w:rPr>
                <w:rFonts w:ascii="宋体" w:hAnsi="宋体" w:cs="宋体" w:eastAsia="宋体" w:hint="default"/>
                <w:spacing w:val="-46"/>
                <w:sz w:val="18"/>
                <w:szCs w:val="18"/>
              </w:rPr>
              <w:t> </w:t>
            </w:r>
            <w:r>
              <w:rPr>
                <w:rFonts w:ascii="宋体" w:hAnsi="宋体" w:cs="宋体" w:eastAsia="宋体" w:hint="default"/>
                <w:sz w:val="18"/>
                <w:szCs w:val="18"/>
              </w:rPr>
              <w:t>109.28%</w:t>
            </w:r>
            <w:r>
              <w:rPr>
                <w:rFonts w:ascii="宋体" w:hAnsi="宋体" w:cs="宋体" w:eastAsia="宋体" w:hint="default"/>
                <w:sz w:val="18"/>
                <w:szCs w:val="18"/>
              </w:rPr>
              <w:t>，为在建工程达到预定可使用状态转固所致</w:t>
            </w:r>
          </w:p>
        </w:tc>
      </w:tr>
      <w:tr>
        <w:trPr>
          <w:trHeight w:val="412" w:hRule="exact"/>
        </w:trPr>
        <w:tc>
          <w:tcPr>
            <w:tcW w:w="30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无形资产较期初减少</w:t>
            </w:r>
            <w:r>
              <w:rPr>
                <w:rFonts w:ascii="宋体" w:hAnsi="宋体" w:cs="宋体" w:eastAsia="宋体" w:hint="default"/>
                <w:spacing w:val="-46"/>
                <w:sz w:val="18"/>
                <w:szCs w:val="18"/>
              </w:rPr>
              <w:t> </w:t>
            </w:r>
            <w:r>
              <w:rPr>
                <w:rFonts w:ascii="宋体" w:hAnsi="宋体" w:cs="宋体" w:eastAsia="宋体" w:hint="default"/>
                <w:sz w:val="18"/>
                <w:szCs w:val="18"/>
              </w:rPr>
              <w:t>46.75%</w:t>
            </w:r>
            <w:r>
              <w:rPr>
                <w:rFonts w:ascii="宋体" w:hAnsi="宋体" w:cs="宋体" w:eastAsia="宋体" w:hint="default"/>
                <w:sz w:val="18"/>
                <w:szCs w:val="18"/>
              </w:rPr>
              <w:t>，为根据评估报告计提商标、专利权的减值损失所致</w:t>
            </w:r>
          </w:p>
        </w:tc>
      </w:tr>
      <w:tr>
        <w:trPr>
          <w:trHeight w:val="412" w:hRule="exact"/>
        </w:trPr>
        <w:tc>
          <w:tcPr>
            <w:tcW w:w="30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在建工程较期初减少</w:t>
            </w:r>
            <w:r>
              <w:rPr>
                <w:rFonts w:ascii="宋体" w:hAnsi="宋体" w:cs="宋体" w:eastAsia="宋体" w:hint="default"/>
                <w:spacing w:val="-46"/>
                <w:sz w:val="18"/>
                <w:szCs w:val="18"/>
              </w:rPr>
              <w:t> </w:t>
            </w:r>
            <w:r>
              <w:rPr>
                <w:rFonts w:ascii="宋体" w:hAnsi="宋体" w:cs="宋体" w:eastAsia="宋体" w:hint="default"/>
                <w:sz w:val="18"/>
                <w:szCs w:val="18"/>
              </w:rPr>
              <w:t>64.61%</w:t>
            </w:r>
            <w:r>
              <w:rPr>
                <w:rFonts w:ascii="宋体" w:hAnsi="宋体" w:cs="宋体" w:eastAsia="宋体" w:hint="default"/>
                <w:sz w:val="18"/>
                <w:szCs w:val="18"/>
              </w:rPr>
              <w:t>，为达到预定可使用状态转入固定资产所致</w:t>
            </w:r>
          </w:p>
        </w:tc>
      </w:tr>
      <w:tr>
        <w:trPr>
          <w:trHeight w:val="647" w:hRule="exact"/>
        </w:trPr>
        <w:tc>
          <w:tcPr>
            <w:tcW w:w="3053" w:type="dxa"/>
            <w:tcBorders>
              <w:top w:val="single" w:sz="23" w:space="0" w:color="D2D2D2"/>
              <w:left w:val="single" w:sz="12" w:space="0" w:color="000000"/>
              <w:bottom w:val="single" w:sz="12" w:space="0" w:color="000000"/>
              <w:right w:val="single" w:sz="6" w:space="0" w:color="000000"/>
            </w:tcBorders>
          </w:tcPr>
          <w:p>
            <w:pPr>
              <w:pStyle w:val="TableParagraph"/>
              <w:spacing w:line="240" w:lineRule="auto" w:before="146"/>
              <w:ind w:right="7"/>
              <w:jc w:val="center"/>
              <w:rPr>
                <w:rFonts w:ascii="宋体" w:hAnsi="宋体" w:cs="宋体" w:eastAsia="宋体" w:hint="default"/>
                <w:sz w:val="18"/>
                <w:szCs w:val="18"/>
              </w:rPr>
            </w:pPr>
            <w:r>
              <w:rPr>
                <w:rFonts w:ascii="宋体" w:hAnsi="宋体" w:cs="宋体" w:eastAsia="宋体" w:hint="default"/>
                <w:sz w:val="18"/>
                <w:szCs w:val="18"/>
              </w:rPr>
              <w:t>商誉</w:t>
            </w:r>
          </w:p>
        </w:tc>
        <w:tc>
          <w:tcPr>
            <w:tcW w:w="6516"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1"/>
              <w:ind w:left="20" w:right="10"/>
              <w:jc w:val="left"/>
              <w:rPr>
                <w:rFonts w:ascii="宋体" w:hAnsi="宋体" w:cs="宋体" w:eastAsia="宋体" w:hint="default"/>
                <w:sz w:val="18"/>
                <w:szCs w:val="18"/>
              </w:rPr>
            </w:pPr>
            <w:r>
              <w:rPr>
                <w:rFonts w:ascii="宋体" w:hAnsi="宋体" w:cs="宋体" w:eastAsia="宋体" w:hint="default"/>
                <w:sz w:val="18"/>
                <w:szCs w:val="18"/>
              </w:rPr>
              <w:t>商誉较期初减少</w:t>
            </w:r>
            <w:r>
              <w:rPr>
                <w:rFonts w:ascii="宋体" w:hAnsi="宋体" w:cs="宋体" w:eastAsia="宋体" w:hint="default"/>
                <w:spacing w:val="-46"/>
                <w:sz w:val="18"/>
                <w:szCs w:val="18"/>
              </w:rPr>
              <w:t> </w:t>
            </w:r>
            <w:r>
              <w:rPr>
                <w:rFonts w:ascii="宋体" w:hAnsi="宋体" w:cs="宋体" w:eastAsia="宋体" w:hint="default"/>
                <w:spacing w:val="-2"/>
                <w:sz w:val="18"/>
                <w:szCs w:val="18"/>
              </w:rPr>
              <w:t>99.01%</w:t>
            </w:r>
            <w:r>
              <w:rPr>
                <w:rFonts w:ascii="宋体" w:hAnsi="宋体" w:cs="宋体" w:eastAsia="宋体" w:hint="default"/>
                <w:spacing w:val="-2"/>
                <w:sz w:val="18"/>
                <w:szCs w:val="18"/>
              </w:rPr>
              <w:t>，为根据评估报告和商誉减值测试结果计提了子公司商誉的</w:t>
            </w:r>
            <w:r>
              <w:rPr>
                <w:rFonts w:ascii="宋体" w:hAnsi="宋体" w:cs="宋体" w:eastAsia="宋体" w:hint="default"/>
                <w:sz w:val="18"/>
                <w:szCs w:val="18"/>
              </w:rPr>
              <w:t> 资产减值损失所致</w:t>
            </w:r>
          </w:p>
        </w:tc>
      </w:tr>
    </w:tbl>
    <w:p>
      <w:pPr>
        <w:spacing w:line="240" w:lineRule="auto" w:before="1"/>
        <w:rPr>
          <w:rFonts w:ascii="宋体" w:hAnsi="宋体" w:cs="宋体" w:eastAsia="宋体" w:hint="default"/>
          <w:b/>
          <w:bCs/>
          <w:sz w:val="14"/>
          <w:szCs w:val="14"/>
        </w:rPr>
      </w:pPr>
    </w:p>
    <w:p>
      <w:pPr>
        <w:pStyle w:val="Heading4"/>
        <w:spacing w:line="240" w:lineRule="auto" w:before="35"/>
        <w:ind w:right="1121"/>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right="1121"/>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8"/>
        <w:rPr>
          <w:rFonts w:ascii="宋体" w:hAnsi="宋体" w:cs="宋体" w:eastAsia="宋体" w:hint="default"/>
          <w:b/>
          <w:bCs/>
          <w:sz w:val="24"/>
          <w:szCs w:val="24"/>
        </w:rPr>
      </w:pPr>
    </w:p>
    <w:p>
      <w:pPr>
        <w:pStyle w:val="BodyText"/>
        <w:spacing w:line="374" w:lineRule="auto" w:before="0"/>
        <w:ind w:left="1557" w:right="6763" w:hanging="424"/>
        <w:jc w:val="left"/>
      </w:pPr>
      <w:r>
        <w:rPr/>
        <w:t>公司是否需要遵守特殊行业的披露要求：否 </w:t>
      </w:r>
      <w:r>
        <w:rPr>
          <w:rFonts w:ascii="宋体" w:hAnsi="宋体" w:cs="宋体" w:eastAsia="宋体" w:hint="default"/>
        </w:rPr>
        <w:t>1</w:t>
      </w:r>
      <w:r>
        <w:rPr/>
        <w:t>、版权云业务</w:t>
      </w:r>
    </w:p>
    <w:p>
      <w:pPr>
        <w:pStyle w:val="BodyText"/>
        <w:spacing w:line="408" w:lineRule="auto" w:before="75"/>
        <w:ind w:right="1024" w:firstLine="420"/>
        <w:jc w:val="left"/>
      </w:pPr>
      <w:r>
        <w:rPr/>
        <w:t>《国家“十三五”时期文化发展改革规划纲要》在互联网</w:t>
      </w:r>
      <w:r>
        <w:rPr>
          <w:rFonts w:ascii="宋体" w:hAnsi="宋体" w:cs="宋体" w:eastAsia="宋体" w:hint="default"/>
        </w:rPr>
        <w:t>+</w:t>
      </w:r>
      <w:r>
        <w:rPr/>
        <w:t>行动中提出创新网络文化产品和服务，引 </w:t>
      </w:r>
      <w:r>
        <w:rPr>
          <w:spacing w:val="-1"/>
        </w:rPr>
        <w:t>导支持网络文化产业基地建设，建设中国文化（出版广电）大数据产业平台（</w:t>
      </w:r>
      <w:r>
        <w:rPr>
          <w:rFonts w:ascii="宋体" w:hAnsi="宋体" w:cs="宋体" w:eastAsia="宋体" w:hint="default"/>
          <w:spacing w:val="-1"/>
        </w:rPr>
        <w:t>CCDI</w:t>
      </w:r>
      <w:r>
        <w:rPr>
          <w:spacing w:val="-1"/>
        </w:rPr>
        <w:t>），在国家战略高度上</w:t>
      </w:r>
      <w:r>
        <w:rPr>
          <w:spacing w:val="-84"/>
        </w:rPr>
        <w:t> </w:t>
      </w:r>
      <w:r>
        <w:rPr>
          <w:spacing w:val="-84"/>
        </w:rPr>
      </w:r>
      <w:r>
        <w:rPr/>
        <w:t>明确了版权云项目的定位。同时，版权云项目也是国家新闻出版广电总局和贵州省人民政府联合推动的项</w:t>
      </w:r>
      <w:r>
        <w:rPr/>
        <w:t> </w:t>
      </w:r>
      <w:r>
        <w:rPr>
          <w:spacing w:val="-3"/>
        </w:rPr>
        <w:t>目，在政策、资源、行业规则制定等方面具有天然优势。公司作为版权云项目的主要发起方和基石推动者，</w:t>
      </w:r>
      <w:r>
        <w:rPr>
          <w:spacing w:val="-92"/>
        </w:rPr>
        <w:t> </w:t>
      </w:r>
      <w:r>
        <w:rPr>
          <w:spacing w:val="-92"/>
        </w:rPr>
      </w:r>
      <w:r>
        <w:rPr/>
        <w:t>可以依靠贵州文交所的牌照优势、国家千人计划区块链团队的技术优势、国内领先文化交易团队的运营优</w:t>
      </w:r>
      <w:r>
        <w:rPr/>
        <w:t> 势以及国内最领先编目团队的内容分拆技术优势，通过资源整合形成光一科技在数字版权内容风控、交易 分发环节先行先试的市场优势。</w:t>
      </w:r>
    </w:p>
    <w:p>
      <w:pPr>
        <w:pStyle w:val="BodyText"/>
        <w:spacing w:line="408" w:lineRule="auto"/>
        <w:ind w:left="1553" w:right="1121"/>
        <w:jc w:val="left"/>
      </w:pPr>
      <w:r>
        <w:rPr>
          <w:rFonts w:ascii="宋体" w:hAnsi="宋体" w:cs="宋体" w:eastAsia="宋体" w:hint="default"/>
        </w:rPr>
        <w:t>2</w:t>
      </w:r>
      <w:r>
        <w:rPr/>
        <w:t>、电力业务 </w:t>
      </w:r>
      <w:r>
        <w:rPr>
          <w:spacing w:val="-1"/>
        </w:rPr>
        <w:t>公司在电力业务领域积累了深厚的技术基础、良好的产品口碑和品牌效应，公司提升技术力量开发新</w:t>
      </w:r>
    </w:p>
    <w:p>
      <w:pPr>
        <w:pStyle w:val="BodyText"/>
        <w:spacing w:line="240" w:lineRule="auto"/>
        <w:ind w:right="0"/>
        <w:jc w:val="left"/>
      </w:pPr>
      <w:r>
        <w:rPr/>
        <w:t>产品的同时，为新一轮业务发展提前做技术储备和业务布局，在配电网的综合信息及状态采集与应用、新</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09"/>
        <w:jc w:val="both"/>
      </w:pPr>
      <w:r>
        <w:rPr>
          <w:spacing w:val="-1"/>
        </w:rPr>
        <w:t>的通讯技术在信息采集方面的应用、配电网的能源区域管理与互动等方面加强投入。目前，公司具备终端</w:t>
      </w:r>
      <w:r>
        <w:rPr>
          <w:spacing w:val="-82"/>
        </w:rPr>
        <w:t> </w:t>
      </w:r>
      <w:r>
        <w:rPr>
          <w:spacing w:val="-82"/>
        </w:rPr>
      </w:r>
      <w:r>
        <w:rPr/>
        <w:t>制造、工程服务等多维度市场，可以为客户提供多元化电力业务服务，公司将充分利用电力产业链优势， </w:t>
      </w:r>
      <w:r>
        <w:rPr>
          <w:spacing w:val="-1"/>
        </w:rPr>
        <w:t>以“数据采集与处理为核心、工程施工为基础、产品供应为支撑、综合能源管理为价值”形成自己核心竞</w:t>
      </w:r>
      <w:r>
        <w:rPr>
          <w:spacing w:val="-83"/>
        </w:rPr>
        <w:t> </w:t>
      </w:r>
      <w:r>
        <w:rPr>
          <w:spacing w:val="-83"/>
        </w:rPr>
      </w:r>
      <w:r>
        <w:rPr/>
        <w:t>争力。</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left="3945" w:right="1121"/>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33" w:right="1121" w:firstLine="0"/>
        <w:jc w:val="left"/>
        <w:rPr>
          <w:rFonts w:ascii="宋体" w:hAnsi="宋体" w:cs="宋体" w:eastAsia="宋体" w:hint="default"/>
          <w:sz w:val="21"/>
          <w:szCs w:val="21"/>
        </w:rPr>
      </w:pPr>
      <w:bookmarkStart w:name="一、概述" w:id="24"/>
      <w:bookmarkEnd w:id="24"/>
      <w:r>
        <w:rPr/>
      </w:r>
      <w:r>
        <w:rPr>
          <w:rFonts w:ascii="宋体" w:hAnsi="宋体" w:cs="宋体" w:eastAsia="宋体" w:hint="default"/>
          <w:b/>
          <w:bCs/>
          <w:sz w:val="24"/>
          <w:szCs w:val="24"/>
        </w:rPr>
        <w:t>一、</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pStyle w:val="BodyText"/>
        <w:spacing w:line="408" w:lineRule="auto" w:before="0"/>
        <w:ind w:right="1013" w:firstLine="423"/>
        <w:jc w:val="left"/>
      </w:pPr>
      <w:r>
        <w:rPr>
          <w:rFonts w:ascii="宋体" w:hAnsi="宋体" w:cs="宋体" w:eastAsia="宋体" w:hint="default"/>
        </w:rPr>
        <w:t>2017</w:t>
      </w:r>
      <w:r>
        <w:rPr>
          <w:rFonts w:ascii="宋体" w:hAnsi="宋体" w:cs="宋体" w:eastAsia="宋体" w:hint="default"/>
          <w:spacing w:val="-78"/>
        </w:rPr>
        <w:t> </w:t>
      </w:r>
      <w:r>
        <w:rPr/>
        <w:t>年，公司按照年度整体发展战略继续夯实产业基础。在版权云业务方面，公司通过对中云文化大 数据、天擎华媒、海誉动想、火星文化、龙源数媒、梦知网络（权大师）等公司直接</w:t>
      </w:r>
      <w:r>
        <w:rPr>
          <w:rFonts w:ascii="宋体" w:hAnsi="宋体" w:cs="宋体" w:eastAsia="宋体" w:hint="default"/>
        </w:rPr>
        <w:t>/</w:t>
      </w:r>
      <w:r>
        <w:rPr/>
        <w:t>间接的战略投资，</w:t>
      </w:r>
      <w:r>
        <w:rPr>
          <w:spacing w:val="-24"/>
        </w:rPr>
        <w:t> </w:t>
      </w:r>
      <w:r>
        <w:rPr>
          <w:spacing w:val="-24"/>
        </w:rPr>
      </w:r>
      <w:r>
        <w:rPr/>
        <w:t>已形成从内容确权－投送分发－监测维权－交易保障的版权云生态产业链，相关项目的落地实施将进一步</w:t>
      </w:r>
      <w:r>
        <w:rPr/>
        <w:t> 夯实公司版权云的产业基础；在电力业务方面，受行业周期性影响整体招标需求减少，公司 </w:t>
      </w:r>
      <w:r>
        <w:rPr>
          <w:rFonts w:ascii="宋体" w:hAnsi="宋体" w:cs="宋体" w:eastAsia="宋体" w:hint="default"/>
        </w:rPr>
        <w:t>2017</w:t>
      </w:r>
      <w:r>
        <w:rPr>
          <w:rFonts w:ascii="宋体" w:hAnsi="宋体" w:cs="宋体" w:eastAsia="宋体" w:hint="default"/>
          <w:spacing w:val="-23"/>
        </w:rPr>
        <w:t> </w:t>
      </w:r>
      <w:r>
        <w:rPr/>
        <w:t>年度实 现营业收入</w:t>
      </w:r>
      <w:r>
        <w:rPr>
          <w:spacing w:val="-52"/>
        </w:rPr>
        <w:t> </w:t>
      </w:r>
      <w:r>
        <w:rPr>
          <w:rFonts w:ascii="宋体" w:hAnsi="宋体" w:cs="宋体" w:eastAsia="宋体" w:hint="default"/>
        </w:rPr>
        <w:t>54,022.42</w:t>
      </w:r>
      <w:r>
        <w:rPr>
          <w:rFonts w:ascii="宋体" w:hAnsi="宋体" w:cs="宋体" w:eastAsia="宋体" w:hint="default"/>
          <w:spacing w:val="-52"/>
        </w:rPr>
        <w:t> </w:t>
      </w:r>
      <w:r>
        <w:rPr>
          <w:spacing w:val="-8"/>
        </w:rPr>
        <w:t>万元，较上年同期减少</w:t>
      </w:r>
      <w:r>
        <w:rPr>
          <w:spacing w:val="-52"/>
        </w:rPr>
        <w:t> </w:t>
      </w:r>
      <w:r>
        <w:rPr>
          <w:rFonts w:ascii="宋体" w:hAnsi="宋体" w:cs="宋体" w:eastAsia="宋体" w:hint="default"/>
          <w:spacing w:val="-7"/>
        </w:rPr>
        <w:t>33.66%</w:t>
      </w:r>
      <w:r>
        <w:rPr>
          <w:spacing w:val="-7"/>
        </w:rPr>
        <w:t>；营业成本</w:t>
      </w:r>
      <w:r>
        <w:rPr>
          <w:spacing w:val="-54"/>
        </w:rPr>
        <w:t> </w:t>
      </w:r>
      <w:r>
        <w:rPr>
          <w:rFonts w:ascii="宋体" w:hAnsi="宋体" w:cs="宋体" w:eastAsia="宋体" w:hint="default"/>
        </w:rPr>
        <w:t>37,748.08</w:t>
      </w:r>
      <w:r>
        <w:rPr>
          <w:rFonts w:ascii="宋体" w:hAnsi="宋体" w:cs="宋体" w:eastAsia="宋体" w:hint="default"/>
          <w:spacing w:val="-52"/>
        </w:rPr>
        <w:t> </w:t>
      </w:r>
      <w:r>
        <w:rPr>
          <w:spacing w:val="-8"/>
        </w:rPr>
        <w:t>万元，较上年同期减少</w:t>
      </w:r>
      <w:r>
        <w:rPr>
          <w:spacing w:val="-52"/>
        </w:rPr>
        <w:t> </w:t>
      </w:r>
      <w:r>
        <w:rPr>
          <w:rFonts w:ascii="宋体" w:hAnsi="宋体" w:cs="宋体" w:eastAsia="宋体" w:hint="default"/>
        </w:rPr>
        <w:t>33.06%</w:t>
      </w:r>
      <w:r>
        <w:rPr/>
        <w:t>。 由于索瑞电气、德能设计业务下滑，根据会计师的审计意见，出于谨慎性原则，对索瑞电气、德能设计在 并购过程中形成的商誉及相关资产计提了资产减值损失，同时公司在版权云业务上处于投入布局占位阶段 尚未形成利润，致使报告期归属于上市公司股东的净利润亏损</w:t>
      </w:r>
      <w:r>
        <w:rPr>
          <w:spacing w:val="-65"/>
        </w:rPr>
        <w:t> </w:t>
      </w:r>
      <w:r>
        <w:rPr>
          <w:rFonts w:ascii="宋体" w:hAnsi="宋体" w:cs="宋体" w:eastAsia="宋体" w:hint="default"/>
        </w:rPr>
        <w:t>39,240.42</w:t>
      </w:r>
      <w:r>
        <w:rPr>
          <w:rFonts w:ascii="宋体" w:hAnsi="宋体" w:cs="宋体" w:eastAsia="宋体" w:hint="default"/>
          <w:spacing w:val="-65"/>
        </w:rPr>
        <w:t> </w:t>
      </w:r>
      <w:r>
        <w:rPr>
          <w:spacing w:val="-4"/>
        </w:rPr>
        <w:t>万元，较上年同期减少</w:t>
      </w:r>
      <w:r>
        <w:rPr>
          <w:spacing w:val="-65"/>
        </w:rPr>
        <w:t> </w:t>
      </w:r>
      <w:r>
        <w:rPr>
          <w:rFonts w:ascii="宋体" w:hAnsi="宋体" w:cs="宋体" w:eastAsia="宋体" w:hint="default"/>
        </w:rPr>
        <w:t>715.18%</w:t>
      </w:r>
      <w:r>
        <w:rPr/>
        <w:t>。</w:t>
      </w:r>
    </w:p>
    <w:p>
      <w:pPr>
        <w:pStyle w:val="BodyText"/>
        <w:spacing w:line="240" w:lineRule="auto"/>
        <w:ind w:left="1554" w:right="1121"/>
        <w:jc w:val="left"/>
      </w:pPr>
      <w:r>
        <w:rPr/>
        <w:t>报告期内，公司完成的重点工作如下：</w:t>
      </w:r>
    </w:p>
    <w:p>
      <w:pPr>
        <w:spacing w:line="240" w:lineRule="auto" w:before="10"/>
        <w:rPr>
          <w:rFonts w:ascii="宋体" w:hAnsi="宋体" w:cs="宋体" w:eastAsia="宋体" w:hint="default"/>
          <w:sz w:val="14"/>
          <w:szCs w:val="14"/>
        </w:rPr>
      </w:pPr>
    </w:p>
    <w:p>
      <w:pPr>
        <w:pStyle w:val="BodyText"/>
        <w:spacing w:line="408" w:lineRule="auto" w:before="0"/>
        <w:ind w:left="1556" w:right="4765"/>
        <w:jc w:val="left"/>
      </w:pPr>
      <w:r>
        <w:rPr/>
        <w:t>（一）版权云业务赋能 </w:t>
      </w:r>
      <w:r>
        <w:rPr>
          <w:rFonts w:ascii="宋体" w:hAnsi="宋体" w:cs="宋体" w:eastAsia="宋体" w:hint="default"/>
        </w:rPr>
        <w:t>1</w:t>
      </w:r>
      <w:r>
        <w:rPr/>
        <w:t>、继续增资中云文化大数据，进一步夯实版权云产业基础。</w:t>
      </w:r>
    </w:p>
    <w:p>
      <w:pPr>
        <w:pStyle w:val="BodyText"/>
        <w:spacing w:line="408" w:lineRule="auto"/>
        <w:ind w:left="1134" w:right="1110" w:firstLine="422"/>
        <w:jc w:val="both"/>
      </w:pPr>
      <w:r>
        <w:rPr>
          <w:spacing w:val="-1"/>
        </w:rPr>
        <w:t>中云文化大数据是国家新闻出版广电总局和贵州省人民政府签署的《关于合作推动中国文化（出版广</w:t>
      </w:r>
      <w:r>
        <w:rPr/>
        <w:t> </w:t>
      </w:r>
      <w:r>
        <w:rPr>
          <w:spacing w:val="-1"/>
        </w:rPr>
        <w:t>电）大数据产业项目开发的协议》之版权云项目的主要运作主体，根据版权云项目建设的实际需要，公司</w:t>
      </w:r>
      <w:r>
        <w:rPr>
          <w:spacing w:val="-85"/>
        </w:rPr>
        <w:t> </w:t>
      </w:r>
      <w:r>
        <w:rPr>
          <w:spacing w:val="-85"/>
        </w:rPr>
      </w:r>
      <w:r>
        <w:rPr/>
        <w:t>及贵州广电传媒集团有限公司等相关方决定以增资形式增强中云文化大数据的资本实力和业务整合能力。 </w:t>
      </w:r>
      <w:r>
        <w:rPr>
          <w:rFonts w:ascii="宋体" w:hAnsi="宋体" w:cs="宋体" w:eastAsia="宋体" w:hint="default"/>
          <w:spacing w:val="5"/>
        </w:rPr>
        <w:t>2017</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26</w:t>
      </w:r>
      <w:r>
        <w:rPr>
          <w:spacing w:val="5"/>
        </w:rPr>
        <w:t>日经公司第三届董事会第十次会议审议通过，同意公司以自有资金向中云文化大数据增资</w:t>
      </w:r>
    </w:p>
    <w:p>
      <w:pPr>
        <w:pStyle w:val="BodyText"/>
        <w:spacing w:line="408" w:lineRule="auto"/>
        <w:ind w:right="1121"/>
        <w:jc w:val="left"/>
      </w:pPr>
      <w:r>
        <w:rPr>
          <w:rFonts w:ascii="宋体" w:hAnsi="宋体" w:cs="宋体" w:eastAsia="宋体" w:hint="default"/>
        </w:rPr>
        <w:t>3,000</w:t>
      </w:r>
      <w:r>
        <w:rPr/>
        <w:t>万元，认缴其</w:t>
      </w:r>
      <w:r>
        <w:rPr>
          <w:rFonts w:ascii="宋体" w:hAnsi="宋体" w:cs="宋体" w:eastAsia="宋体" w:hint="default"/>
        </w:rPr>
        <w:t>2,000</w:t>
      </w:r>
      <w:r>
        <w:rPr/>
        <w:t>万元出资额，本次增资完成后，公司持有中云文化大数据</w:t>
      </w:r>
      <w:r>
        <w:rPr>
          <w:rFonts w:ascii="宋体" w:hAnsi="宋体" w:cs="宋体" w:eastAsia="宋体" w:hint="default"/>
        </w:rPr>
        <w:t>6,000</w:t>
      </w:r>
      <w:r>
        <w:rPr/>
        <w:t>万元出资额，出</w:t>
      </w:r>
      <w:r>
        <w:rPr>
          <w:spacing w:val="-29"/>
        </w:rPr>
        <w:t> </w:t>
      </w:r>
      <w:r>
        <w:rPr>
          <w:spacing w:val="-29"/>
        </w:rPr>
      </w:r>
      <w:r>
        <w:rPr/>
        <w:t>资比例为</w:t>
      </w:r>
      <w:r>
        <w:rPr>
          <w:rFonts w:ascii="宋体" w:hAnsi="宋体" w:cs="宋体" w:eastAsia="宋体" w:hint="default"/>
        </w:rPr>
        <w:t>11.54%</w:t>
      </w:r>
      <w:r>
        <w:rPr/>
        <w:t>。</w:t>
      </w:r>
    </w:p>
    <w:p>
      <w:pPr>
        <w:pStyle w:val="BodyText"/>
        <w:spacing w:line="408" w:lineRule="auto"/>
        <w:ind w:right="1016" w:firstLine="422"/>
        <w:jc w:val="left"/>
      </w:pPr>
      <w:r>
        <w:rPr>
          <w:spacing w:val="-3"/>
        </w:rPr>
        <w:t>同时，公司与贵州广电传媒集团有限公司、贵州省文化产业投资管理有限公司在战略定位、产业协同、</w:t>
      </w:r>
      <w:r>
        <w:rPr/>
        <w:t> 股权结构等方面为发挥各自所长加快版权云项目业务发展进行跨区域规划布局达成共识，中云文化大数据 在南京成立全资子公司江苏数道，注册资本</w:t>
      </w:r>
      <w:r>
        <w:rPr>
          <w:rFonts w:ascii="宋体" w:hAnsi="宋体" w:cs="宋体" w:eastAsia="宋体" w:hint="default"/>
        </w:rPr>
        <w:t>7,500</w:t>
      </w:r>
      <w:r>
        <w:rPr/>
        <w:t>万元，再由南京光一版权云大数据服务合伙企业（有限</w:t>
      </w:r>
      <w:r>
        <w:rPr>
          <w:spacing w:val="-32"/>
        </w:rPr>
        <w:t> </w:t>
      </w:r>
      <w:r>
        <w:rPr>
          <w:spacing w:val="-32"/>
        </w:rPr>
      </w:r>
      <w:r>
        <w:rPr>
          <w:spacing w:val="-7"/>
        </w:rPr>
        <w:t>合伙）（以下简称“光一版权云”）按照</w:t>
      </w:r>
      <w:r>
        <w:rPr>
          <w:rFonts w:ascii="宋体" w:hAnsi="宋体" w:cs="宋体" w:eastAsia="宋体" w:hint="default"/>
          <w:spacing w:val="-7"/>
        </w:rPr>
        <w:t>1</w:t>
      </w:r>
      <w:r>
        <w:rPr>
          <w:spacing w:val="-7"/>
        </w:rPr>
        <w:t>元</w:t>
      </w:r>
      <w:r>
        <w:rPr>
          <w:rFonts w:ascii="宋体" w:hAnsi="宋体" w:cs="宋体" w:eastAsia="宋体" w:hint="default"/>
          <w:spacing w:val="-7"/>
        </w:rPr>
        <w:t>/</w:t>
      </w:r>
      <w:r>
        <w:rPr>
          <w:spacing w:val="-7"/>
        </w:rPr>
        <w:t>份出资额增资</w:t>
      </w:r>
      <w:r>
        <w:rPr>
          <w:rFonts w:ascii="宋体" w:hAnsi="宋体" w:cs="宋体" w:eastAsia="宋体" w:hint="default"/>
          <w:spacing w:val="-7"/>
        </w:rPr>
        <w:t>24,000</w:t>
      </w:r>
      <w:r>
        <w:rPr>
          <w:spacing w:val="-7"/>
        </w:rPr>
        <w:t>万元，持有江苏数道的出资比例为</w:t>
      </w:r>
      <w:r>
        <w:rPr>
          <w:rFonts w:ascii="宋体" w:hAnsi="宋体" w:cs="宋体" w:eastAsia="宋体" w:hint="default"/>
          <w:spacing w:val="-7"/>
        </w:rPr>
        <w:t>76.19%</w:t>
      </w:r>
      <w:r>
        <w:rPr>
          <w:spacing w:val="-7"/>
        </w:rPr>
        <w:t>。</w:t>
      </w:r>
      <w:r>
        <w:rPr>
          <w:spacing w:val="-65"/>
        </w:rPr>
        <w:t> </w:t>
      </w:r>
      <w:r>
        <w:rPr/>
        <w:t>江苏数道作为设立在长三角地区的版权云项目的产业平台主体，与贵州的中云文化大数据形成地理位置上</w:t>
      </w:r>
      <w:r>
        <w:rPr/>
        <w:t> 的有效互补，共同推进版权云的产业布局和市场化运作。同时，公司通过光一版权云控股江苏数道，打造 版权云的内容分发业务和版权交易业务，对内容衍生价值进行发掘和延展。</w:t>
      </w:r>
    </w:p>
    <w:p>
      <w:pPr>
        <w:pStyle w:val="BodyText"/>
        <w:spacing w:line="240" w:lineRule="auto"/>
        <w:ind w:left="1558" w:right="1121"/>
        <w:jc w:val="left"/>
      </w:pPr>
      <w:r>
        <w:rPr>
          <w:rFonts w:ascii="宋体" w:hAnsi="宋体" w:cs="宋体" w:eastAsia="宋体" w:hint="default"/>
        </w:rPr>
        <w:t>2</w:t>
      </w:r>
      <w:r>
        <w:rPr/>
        <w:t>、借助产业投资平台赋能，布局全网监测、内容分发、知识产权交易。</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0" w:firstLine="424"/>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23</w:t>
      </w:r>
      <w:r>
        <w:rPr/>
        <w:t>日经公司第三届董事会第十五次会议审议通过了《关于对南京光一文化产业投资发展合 </w:t>
      </w:r>
      <w:r>
        <w:rPr>
          <w:spacing w:val="-6"/>
        </w:rPr>
        <w:t>伙企业（有限合伙）增资并引入其他合伙人的议案》，同意公司对南京光一文化产业投资发展合伙企业（有</w:t>
      </w:r>
      <w:r>
        <w:rPr>
          <w:spacing w:val="-61"/>
        </w:rPr>
        <w:t> </w:t>
      </w:r>
      <w:r>
        <w:rPr>
          <w:spacing w:val="-61"/>
        </w:rPr>
      </w:r>
      <w:r>
        <w:rPr>
          <w:spacing w:val="-6"/>
        </w:rPr>
        <w:t>限合伙）（以下简称“光一文投”）增资并引入专业投资机构北京和浦云洲投资管理有限公司、上海东兴投</w:t>
      </w:r>
      <w:r>
        <w:rPr>
          <w:spacing w:val="-60"/>
        </w:rPr>
        <w:t> </w:t>
      </w:r>
      <w:r>
        <w:rPr>
          <w:spacing w:val="-60"/>
        </w:rPr>
      </w:r>
      <w:r>
        <w:rPr/>
        <w:t>资控股发展有限公司，基金总规模</w:t>
      </w:r>
      <w:r>
        <w:rPr>
          <w:rFonts w:ascii="宋体" w:hAnsi="宋体" w:cs="宋体" w:eastAsia="宋体" w:hint="default"/>
        </w:rPr>
        <w:t>28,200</w:t>
      </w:r>
      <w:r>
        <w:rPr/>
        <w:t>万元，其中公司作为有限合伙人认缴</w:t>
      </w:r>
      <w:r>
        <w:rPr>
          <w:rFonts w:ascii="宋体" w:hAnsi="宋体" w:cs="宋体" w:eastAsia="宋体" w:hint="default"/>
        </w:rPr>
        <w:t>5,500</w:t>
      </w:r>
      <w:r>
        <w:rPr/>
        <w:t>万元出资额，光一贵</w:t>
      </w:r>
      <w:r>
        <w:rPr>
          <w:spacing w:val="-30"/>
        </w:rPr>
        <w:t> </w:t>
      </w:r>
      <w:r>
        <w:rPr>
          <w:spacing w:val="-30"/>
        </w:rPr>
      </w:r>
      <w:r>
        <w:rPr>
          <w:spacing w:val="-1"/>
        </w:rPr>
        <w:t>仁作为普通合伙人认缴</w:t>
      </w:r>
      <w:r>
        <w:rPr>
          <w:rFonts w:ascii="宋体" w:hAnsi="宋体" w:cs="宋体" w:eastAsia="宋体" w:hint="default"/>
          <w:spacing w:val="-1"/>
        </w:rPr>
        <w:t>100</w:t>
      </w:r>
      <w:r>
        <w:rPr>
          <w:spacing w:val="-1"/>
        </w:rPr>
        <w:t>万元出资额。光一文投作为公司重要的投资平台，围绕数字版权服务产业方向，</w:t>
      </w:r>
      <w:r>
        <w:rPr>
          <w:spacing w:val="-81"/>
        </w:rPr>
        <w:t> </w:t>
      </w:r>
      <w:r>
        <w:rPr>
          <w:spacing w:val="-81"/>
        </w:rPr>
      </w:r>
      <w:r>
        <w:rPr/>
        <w:t>已在全网监测、内容分发、知识产权交易等环节完成布局。</w:t>
      </w:r>
    </w:p>
    <w:p>
      <w:pPr>
        <w:pStyle w:val="BodyText"/>
        <w:spacing w:line="408" w:lineRule="auto"/>
        <w:ind w:left="1558" w:right="1121"/>
        <w:jc w:val="left"/>
      </w:pPr>
      <w:r>
        <w:rPr/>
        <w:t>（</w:t>
      </w:r>
      <w:r>
        <w:rPr>
          <w:rFonts w:ascii="宋体" w:hAnsi="宋体" w:cs="宋体" w:eastAsia="宋体" w:hint="default"/>
        </w:rPr>
        <w:t>1</w:t>
      </w:r>
      <w:r>
        <w:rPr/>
        <w:t>）投资海誉动想，布局移动内容云计算，完善全网监测平台建设。 </w:t>
      </w:r>
      <w:r>
        <w:rPr>
          <w:spacing w:val="-6"/>
        </w:rPr>
        <w:t>北京海誉动想科技股份有限公司（以下简称“海誉动想”），是一家以移动内容云计算（以下简称“海</w:t>
      </w:r>
    </w:p>
    <w:p>
      <w:pPr>
        <w:pStyle w:val="BodyText"/>
        <w:spacing w:line="408" w:lineRule="auto"/>
        <w:ind w:right="0"/>
        <w:jc w:val="left"/>
      </w:pPr>
      <w:r>
        <w:rPr>
          <w:spacing w:val="-3"/>
        </w:rPr>
        <w:t>马云”）和</w:t>
      </w:r>
      <w:r>
        <w:rPr>
          <w:rFonts w:ascii="宋体" w:hAnsi="宋体" w:cs="宋体" w:eastAsia="宋体" w:hint="default"/>
          <w:spacing w:val="-3"/>
        </w:rPr>
        <w:t>IP</w:t>
      </w:r>
      <w:r>
        <w:rPr>
          <w:spacing w:val="-3"/>
        </w:rPr>
        <w:t>内容分发为核心的互联网平台公司，作为移动内容云计算公司，海马云为客户提升变现效率，</w:t>
      </w:r>
      <w:r>
        <w:rPr>
          <w:spacing w:val="-88"/>
        </w:rPr>
        <w:t> </w:t>
      </w:r>
      <w:r>
        <w:rPr>
          <w:spacing w:val="-88"/>
        </w:rPr>
      </w:r>
      <w:r>
        <w:rPr/>
        <w:t>尤其在</w:t>
      </w:r>
      <w:r>
        <w:rPr>
          <w:rFonts w:ascii="宋体" w:hAnsi="宋体" w:cs="宋体" w:eastAsia="宋体" w:hint="default"/>
        </w:rPr>
        <w:t>PC</w:t>
      </w:r>
      <w:r>
        <w:rPr/>
        <w:t>端，海马云为整个手游行业创造了巨大的蓝海流量机会；同时基于领先的移动内容云计算平台技 术优势，为版权云在基础大数据平台建设方面形成有力的支撑，目前已经形成为相关政府部门服务的基于 </w:t>
      </w:r>
      <w:r>
        <w:rPr>
          <w:spacing w:val="-1"/>
        </w:rPr>
        <w:t>全网</w:t>
      </w:r>
      <w:r>
        <w:rPr>
          <w:rFonts w:ascii="宋体" w:hAnsi="宋体" w:cs="宋体" w:eastAsia="宋体" w:hint="default"/>
          <w:spacing w:val="-1"/>
        </w:rPr>
        <w:t>APP</w:t>
      </w:r>
      <w:r>
        <w:rPr>
          <w:spacing w:val="-1"/>
        </w:rPr>
        <w:t>内容大数据的部分监测服务，以及面向行业的大数据服务；在</w:t>
      </w:r>
      <w:r>
        <w:rPr>
          <w:rFonts w:ascii="宋体" w:hAnsi="宋体" w:cs="宋体" w:eastAsia="宋体" w:hint="default"/>
          <w:spacing w:val="-1"/>
        </w:rPr>
        <w:t>IP</w:t>
      </w:r>
      <w:r>
        <w:rPr>
          <w:spacing w:val="-1"/>
        </w:rPr>
        <w:t>内容分发领域，以海马云为基础，</w:t>
      </w:r>
      <w:r>
        <w:rPr>
          <w:spacing w:val="-83"/>
        </w:rPr>
        <w:t> </w:t>
      </w:r>
      <w:r>
        <w:rPr>
          <w:spacing w:val="-83"/>
        </w:rPr>
      </w:r>
      <w:r>
        <w:rPr/>
        <w:t>海誉动想构建了以海马苹果助手、海马手机助手、海马玩模拟器、集游社等产品为矩阵的，覆盖全平台的</w:t>
      </w:r>
      <w:r>
        <w:rPr/>
        <w:t> </w:t>
      </w:r>
      <w:r>
        <w:rPr>
          <w:rFonts w:ascii="宋体" w:hAnsi="宋体" w:cs="宋体" w:eastAsia="宋体" w:hint="default"/>
        </w:rPr>
        <w:t>IP</w:t>
      </w:r>
      <w:r>
        <w:rPr/>
        <w:t>内容分发平台，支持移动内容的跨平台使用，可以在不同平台和屏幕使用移动应用。未来，海誉动想将 以移动内容云计算平台为核心，进一步深化和版权云的协同，扩展在版权以及内容大数据领域的市场，同 时加强基于海马云的分发服务能力，为用户和客户创造更多价值。</w:t>
      </w:r>
    </w:p>
    <w:p>
      <w:pPr>
        <w:pStyle w:val="BodyText"/>
        <w:spacing w:line="408" w:lineRule="auto"/>
        <w:ind w:right="1131" w:firstLine="496"/>
        <w:jc w:val="both"/>
      </w:pPr>
      <w:r>
        <w:rPr/>
        <w:t>报告期内，光一文投对海誉动想投资金额为</w:t>
      </w:r>
      <w:r>
        <w:rPr>
          <w:spacing w:val="-45"/>
        </w:rPr>
        <w:t> </w:t>
      </w:r>
      <w:r>
        <w:rPr>
          <w:rFonts w:ascii="宋体" w:hAnsi="宋体" w:cs="宋体" w:eastAsia="宋体" w:hint="default"/>
        </w:rPr>
        <w:t>10,000</w:t>
      </w:r>
      <w:r>
        <w:rPr>
          <w:rFonts w:ascii="宋体" w:hAnsi="宋体" w:cs="宋体" w:eastAsia="宋体" w:hint="default"/>
          <w:spacing w:val="-45"/>
        </w:rPr>
        <w:t> </w:t>
      </w:r>
      <w:r>
        <w:rPr/>
        <w:t>万元。</w:t>
      </w:r>
      <w:r>
        <w:rPr>
          <w:rFonts w:ascii="宋体" w:hAnsi="宋体" w:cs="宋体" w:eastAsia="宋体" w:hint="default"/>
        </w:rPr>
        <w:t>2018</w:t>
      </w:r>
      <w:r>
        <w:rPr>
          <w:rFonts w:ascii="宋体" w:hAnsi="宋体" w:cs="宋体" w:eastAsia="宋体" w:hint="default"/>
          <w:spacing w:val="-44"/>
        </w:rPr>
        <w:t> </w:t>
      </w:r>
      <w:r>
        <w:rPr/>
        <w:t>年</w:t>
      </w:r>
      <w:r>
        <w:rPr>
          <w:spacing w:val="-46"/>
        </w:rPr>
        <w:t> </w:t>
      </w:r>
      <w:r>
        <w:rPr>
          <w:rFonts w:ascii="宋体" w:hAnsi="宋体" w:cs="宋体" w:eastAsia="宋体" w:hint="default"/>
        </w:rPr>
        <w:t>2</w:t>
      </w:r>
      <w:r>
        <w:rPr>
          <w:rFonts w:ascii="宋体" w:hAnsi="宋体" w:cs="宋体" w:eastAsia="宋体" w:hint="default"/>
          <w:spacing w:val="-45"/>
        </w:rPr>
        <w:t> </w:t>
      </w:r>
      <w:r>
        <w:rPr/>
        <w:t>月</w:t>
      </w:r>
      <w:r>
        <w:rPr>
          <w:spacing w:val="-46"/>
        </w:rPr>
        <w:t> </w:t>
      </w:r>
      <w:r>
        <w:rPr>
          <w:rFonts w:ascii="宋体" w:hAnsi="宋体" w:cs="宋体" w:eastAsia="宋体" w:hint="default"/>
        </w:rPr>
        <w:t>13</w:t>
      </w:r>
      <w:r>
        <w:rPr>
          <w:rFonts w:ascii="宋体" w:hAnsi="宋体" w:cs="宋体" w:eastAsia="宋体" w:hint="default"/>
          <w:spacing w:val="-45"/>
        </w:rPr>
        <w:t> </w:t>
      </w:r>
      <w:r>
        <w:rPr/>
        <w:t>日经第三届董事会第十九 </w:t>
      </w:r>
      <w:r>
        <w:rPr>
          <w:spacing w:val="-1"/>
        </w:rPr>
        <w:t>次会议审议通过，公司全资子公司光一贵仁与无锡金投领航产业升级并购投资企业（有限合伙）共同出资</w:t>
      </w:r>
      <w:r>
        <w:rPr>
          <w:spacing w:val="-83"/>
        </w:rPr>
        <w:t> </w:t>
      </w:r>
      <w:r>
        <w:rPr>
          <w:spacing w:val="-83"/>
        </w:rPr>
      </w:r>
      <w:r>
        <w:rPr>
          <w:spacing w:val="-4"/>
        </w:rPr>
        <w:t>成立江苏领航光一并购投资企业（有限合伙），基金总规模为</w:t>
      </w:r>
      <w:r>
        <w:rPr>
          <w:spacing w:val="-47"/>
        </w:rPr>
        <w:t> </w:t>
      </w:r>
      <w:r>
        <w:rPr>
          <w:rFonts w:ascii="宋体" w:hAnsi="宋体" w:cs="宋体" w:eastAsia="宋体" w:hint="default"/>
        </w:rPr>
        <w:t>20,100</w:t>
      </w:r>
      <w:r>
        <w:rPr>
          <w:rFonts w:ascii="宋体" w:hAnsi="宋体" w:cs="宋体" w:eastAsia="宋体" w:hint="default"/>
          <w:spacing w:val="-48"/>
        </w:rPr>
        <w:t> </w:t>
      </w:r>
      <w:r>
        <w:rPr>
          <w:spacing w:val="-1"/>
        </w:rPr>
        <w:t>万元，定向投资海誉动想。</w:t>
      </w:r>
    </w:p>
    <w:p>
      <w:pPr>
        <w:pStyle w:val="BodyText"/>
        <w:spacing w:line="408" w:lineRule="auto"/>
        <w:ind w:left="1557" w:right="1116"/>
        <w:jc w:val="left"/>
      </w:pPr>
      <w:r>
        <w:rPr/>
        <w:t>（</w:t>
      </w:r>
      <w:r>
        <w:rPr>
          <w:rFonts w:ascii="宋体" w:hAnsi="宋体" w:cs="宋体" w:eastAsia="宋体" w:hint="default"/>
        </w:rPr>
        <w:t>2</w:t>
      </w:r>
      <w:r>
        <w:rPr/>
        <w:t>）投资火星文化，布局</w:t>
      </w:r>
      <w:r>
        <w:rPr>
          <w:spacing w:val="-54"/>
        </w:rPr>
        <w:t> </w:t>
      </w:r>
      <w:r>
        <w:rPr>
          <w:rFonts w:ascii="宋体" w:hAnsi="宋体" w:cs="宋体" w:eastAsia="宋体" w:hint="default"/>
        </w:rPr>
        <w:t>PGC</w:t>
      </w:r>
      <w:r>
        <w:rPr>
          <w:rFonts w:ascii="宋体" w:hAnsi="宋体" w:cs="宋体" w:eastAsia="宋体" w:hint="default"/>
          <w:spacing w:val="-53"/>
        </w:rPr>
        <w:t> </w:t>
      </w:r>
      <w:r>
        <w:rPr/>
        <w:t>和</w:t>
      </w:r>
      <w:r>
        <w:rPr>
          <w:spacing w:val="-55"/>
        </w:rPr>
        <w:t> </w:t>
      </w:r>
      <w:r>
        <w:rPr>
          <w:rFonts w:ascii="宋体" w:hAnsi="宋体" w:cs="宋体" w:eastAsia="宋体" w:hint="default"/>
        </w:rPr>
        <w:t>UGC</w:t>
      </w:r>
      <w:r>
        <w:rPr>
          <w:rFonts w:ascii="宋体" w:hAnsi="宋体" w:cs="宋体" w:eastAsia="宋体" w:hint="default"/>
          <w:spacing w:val="-53"/>
        </w:rPr>
        <w:t> </w:t>
      </w:r>
      <w:r>
        <w:rPr/>
        <w:t>跨平台分发，完善视频分发能力建设。 </w:t>
      </w:r>
      <w:r>
        <w:rPr>
          <w:spacing w:val="-4"/>
        </w:rPr>
        <w:t>天津火星文化有限公司（以下简称“火星文化”）是一家致力于挖掘、投资、发行优质</w:t>
      </w:r>
      <w:r>
        <w:rPr/>
        <w:t> </w:t>
      </w:r>
      <w:r>
        <w:rPr>
          <w:rFonts w:ascii="宋体" w:hAnsi="宋体" w:cs="宋体" w:eastAsia="宋体" w:hint="default"/>
          <w:spacing w:val="-1"/>
        </w:rPr>
        <w:t>IP</w:t>
      </w:r>
      <w:r>
        <w:rPr>
          <w:rFonts w:ascii="宋体" w:hAnsi="宋体" w:cs="宋体" w:eastAsia="宋体" w:hint="default"/>
          <w:spacing w:val="-78"/>
        </w:rPr>
        <w:t> </w:t>
      </w:r>
      <w:r>
        <w:rPr>
          <w:spacing w:val="-1"/>
        </w:rPr>
        <w:t>的文化传播</w:t>
      </w:r>
    </w:p>
    <w:p>
      <w:pPr>
        <w:pStyle w:val="BodyText"/>
        <w:spacing w:line="240" w:lineRule="auto"/>
        <w:ind w:right="0"/>
        <w:jc w:val="left"/>
      </w:pPr>
      <w:r>
        <w:rPr/>
        <w:t>公司</w:t>
      </w:r>
      <w:r>
        <w:rPr>
          <w:spacing w:val="-5"/>
        </w:rPr>
        <w:t>，</w:t>
      </w:r>
      <w:r>
        <w:rPr/>
        <w:t>主要业务是新媒体内容发行与变现业务</w:t>
      </w:r>
      <w:r>
        <w:rPr>
          <w:spacing w:val="-5"/>
        </w:rPr>
        <w:t>。如</w:t>
      </w:r>
      <w:r>
        <w:rPr/>
        <w:t>《暴</w:t>
      </w:r>
      <w:r>
        <w:rPr>
          <w:spacing w:val="1"/>
        </w:rPr>
        <w:t>走</w:t>
      </w:r>
      <w:r>
        <w:rPr/>
        <w:t>大事件</w:t>
      </w:r>
      <w:r>
        <w:rPr>
          <w:spacing w:val="-105"/>
        </w:rPr>
        <w:t>》</w:t>
      </w:r>
      <w:r>
        <w:rPr>
          <w:spacing w:val="-110"/>
        </w:rPr>
        <w:t>、</w:t>
      </w:r>
      <w:r>
        <w:rPr>
          <w:spacing w:val="-2"/>
        </w:rPr>
        <w:t>《</w:t>
      </w:r>
      <w:r>
        <w:rPr/>
        <w:t>关爱八卦成长协会</w:t>
      </w:r>
      <w:r>
        <w:rPr>
          <w:spacing w:val="-105"/>
        </w:rPr>
        <w:t>》</w:t>
      </w:r>
      <w:r>
        <w:rPr>
          <w:spacing w:val="-110"/>
        </w:rPr>
        <w:t>、</w:t>
      </w:r>
      <w:r>
        <w:rPr>
          <w:spacing w:val="-2"/>
        </w:rPr>
        <w:t>《</w:t>
      </w:r>
      <w:r>
        <w:rPr/>
        <w:t>军武次位面</w:t>
      </w:r>
      <w:r>
        <w:rPr>
          <w:spacing w:val="-105"/>
        </w:rPr>
        <w:t>》</w:t>
      </w:r>
      <w:r>
        <w:rPr/>
        <w:t>、</w:t>
      </w:r>
    </w:p>
    <w:p>
      <w:pPr>
        <w:spacing w:line="240" w:lineRule="auto" w:before="10"/>
        <w:rPr>
          <w:rFonts w:ascii="宋体" w:hAnsi="宋体" w:cs="宋体" w:eastAsia="宋体" w:hint="default"/>
          <w:sz w:val="14"/>
          <w:szCs w:val="14"/>
        </w:rPr>
      </w:pPr>
    </w:p>
    <w:p>
      <w:pPr>
        <w:pStyle w:val="BodyText"/>
        <w:spacing w:line="408" w:lineRule="auto" w:before="0"/>
        <w:ind w:right="1026"/>
        <w:jc w:val="both"/>
      </w:pPr>
      <w:r>
        <w:rPr/>
        <w:t>《明白学堂》等节目的发行与变现运作均由火星文化负责完成。通过在</w:t>
      </w:r>
      <w:r>
        <w:rPr>
          <w:spacing w:val="-58"/>
        </w:rPr>
        <w:t> </w:t>
      </w:r>
      <w:r>
        <w:rPr>
          <w:rFonts w:ascii="宋体" w:hAnsi="宋体" w:cs="宋体" w:eastAsia="宋体" w:hint="default"/>
        </w:rPr>
        <w:t>PGC</w:t>
      </w:r>
      <w:r>
        <w:rPr>
          <w:rFonts w:ascii="宋体" w:hAnsi="宋体" w:cs="宋体" w:eastAsia="宋体" w:hint="default"/>
          <w:spacing w:val="-58"/>
        </w:rPr>
        <w:t> </w:t>
      </w:r>
      <w:r>
        <w:rPr/>
        <w:t>发行领域的行业经验及资源积 累，火星文化已经逐步发展成为</w:t>
      </w:r>
      <w:r>
        <w:rPr>
          <w:spacing w:val="-53"/>
        </w:rPr>
        <w:t> </w:t>
      </w:r>
      <w:r>
        <w:rPr>
          <w:rFonts w:ascii="宋体" w:hAnsi="宋体" w:cs="宋体" w:eastAsia="宋体" w:hint="default"/>
        </w:rPr>
        <w:t>PGC</w:t>
      </w:r>
      <w:r>
        <w:rPr>
          <w:rFonts w:ascii="宋体" w:hAnsi="宋体" w:cs="宋体" w:eastAsia="宋体" w:hint="default"/>
          <w:spacing w:val="-53"/>
        </w:rPr>
        <w:t> </w:t>
      </w:r>
      <w:r>
        <w:rPr/>
        <w:t>与下游广告商、视频网站渠道沟通的平台级公司。在技术应用层面， 火星文化自主研发的智能系统已经打通各大平台的后台数据接口，使得 </w:t>
      </w:r>
      <w:r>
        <w:rPr>
          <w:rFonts w:ascii="宋体" w:hAnsi="宋体" w:cs="宋体" w:eastAsia="宋体" w:hint="default"/>
        </w:rPr>
        <w:t>CP</w:t>
      </w:r>
      <w:r>
        <w:rPr>
          <w:rFonts w:ascii="宋体" w:hAnsi="宋体" w:cs="宋体" w:eastAsia="宋体" w:hint="default"/>
          <w:spacing w:val="-22"/>
        </w:rPr>
        <w:t> </w:t>
      </w:r>
      <w:r>
        <w:rPr/>
        <w:t>能够实现一次上传，跨平台同 时分发，并且该系统具备自动发行的算法，可以针对不同平台的播放特点，自动进行视频发行，完善视频 </w:t>
      </w:r>
      <w:r>
        <w:rPr>
          <w:spacing w:val="-3"/>
        </w:rPr>
        <w:t>分发能力建设。公司通过收购火星文化，与版权云项目共同重新打造内容微交易、微支付的版权交易市场。</w:t>
      </w:r>
    </w:p>
    <w:p>
      <w:pPr>
        <w:pStyle w:val="BodyText"/>
        <w:spacing w:line="240" w:lineRule="auto"/>
        <w:ind w:left="1557" w:right="1121"/>
        <w:jc w:val="left"/>
      </w:pPr>
      <w:r>
        <w:rPr/>
        <w:t>报告期内，光一文投对火星文化投资金额为</w:t>
      </w:r>
      <w:r>
        <w:rPr>
          <w:spacing w:val="-52"/>
        </w:rPr>
        <w:t> </w:t>
      </w:r>
      <w:r>
        <w:rPr>
          <w:rFonts w:ascii="宋体" w:hAnsi="宋体" w:cs="宋体" w:eastAsia="宋体" w:hint="default"/>
        </w:rPr>
        <w:t>2,300</w:t>
      </w:r>
      <w:r>
        <w:rPr>
          <w:rFonts w:ascii="宋体" w:hAnsi="宋体" w:cs="宋体" w:eastAsia="宋体" w:hint="default"/>
          <w:spacing w:val="-52"/>
        </w:rPr>
        <w:t> </w:t>
      </w:r>
      <w:r>
        <w:rPr/>
        <w:t>万。</w:t>
      </w:r>
    </w:p>
    <w:p>
      <w:pPr>
        <w:spacing w:line="240" w:lineRule="auto" w:before="10"/>
        <w:rPr>
          <w:rFonts w:ascii="宋体" w:hAnsi="宋体" w:cs="宋体" w:eastAsia="宋体" w:hint="default"/>
          <w:sz w:val="14"/>
          <w:szCs w:val="14"/>
        </w:rPr>
      </w:pPr>
    </w:p>
    <w:p>
      <w:pPr>
        <w:pStyle w:val="BodyText"/>
        <w:spacing w:line="408" w:lineRule="auto" w:before="0"/>
        <w:ind w:left="1557" w:right="1123"/>
        <w:jc w:val="left"/>
      </w:pPr>
      <w:r>
        <w:rPr/>
        <w:t>（</w:t>
      </w:r>
      <w:r>
        <w:rPr>
          <w:rFonts w:ascii="宋体" w:hAnsi="宋体" w:cs="宋体" w:eastAsia="宋体" w:hint="default"/>
        </w:rPr>
        <w:t>3</w:t>
      </w:r>
      <w:r>
        <w:rPr/>
        <w:t>）投资</w:t>
      </w:r>
      <w:r>
        <w:rPr>
          <w:spacing w:val="-2"/>
        </w:rPr>
        <w:t>梦</w:t>
      </w:r>
      <w:r>
        <w:rPr/>
        <w:t>知网络（权大师</w:t>
      </w:r>
      <w:r>
        <w:rPr>
          <w:spacing w:val="-105"/>
        </w:rPr>
        <w:t>）</w:t>
      </w:r>
      <w:r>
        <w:rPr/>
        <w:t>，布</w:t>
      </w:r>
      <w:r>
        <w:rPr>
          <w:spacing w:val="-2"/>
        </w:rPr>
        <w:t>局</w:t>
      </w:r>
      <w:r>
        <w:rPr/>
        <w:t>知识产权在线服务，完善知识产权交易平台建设。</w:t>
      </w:r>
      <w:r>
        <w:rPr/>
        <w:t> 北京梦知网科技有限公</w:t>
      </w:r>
      <w:r>
        <w:rPr>
          <w:spacing w:val="-7"/>
        </w:rPr>
        <w:t>司</w:t>
      </w:r>
      <w:r>
        <w:rPr/>
        <w:t>（以下简</w:t>
      </w:r>
      <w:r>
        <w:rPr>
          <w:spacing w:val="-7"/>
        </w:rPr>
        <w:t>称</w:t>
      </w:r>
      <w:r>
        <w:rPr/>
        <w:t>“梦知网</w:t>
      </w:r>
      <w:r>
        <w:rPr>
          <w:spacing w:val="-106"/>
        </w:rPr>
        <w:t>”</w:t>
      </w:r>
      <w:r>
        <w:rPr>
          <w:spacing w:val="-7"/>
        </w:rPr>
        <w:t>）</w:t>
      </w:r>
      <w:r>
        <w:rPr/>
        <w:t>是一</w:t>
      </w:r>
      <w:r>
        <w:rPr>
          <w:spacing w:val="1"/>
        </w:rPr>
        <w:t>家</w:t>
      </w:r>
      <w:r>
        <w:rPr>
          <w:rFonts w:ascii="宋体" w:hAnsi="宋体" w:cs="宋体" w:eastAsia="宋体" w:hint="default"/>
        </w:rPr>
        <w:t>"</w:t>
      </w:r>
      <w:r>
        <w:rPr>
          <w:spacing w:val="-2"/>
        </w:rPr>
        <w:t>互</w:t>
      </w:r>
      <w:r>
        <w:rPr/>
        <w:t>联网</w:t>
      </w:r>
      <w:r>
        <w:rPr>
          <w:rFonts w:ascii="宋体" w:hAnsi="宋体" w:cs="宋体" w:eastAsia="宋体" w:hint="default"/>
        </w:rPr>
        <w:t>+</w:t>
      </w:r>
      <w:r>
        <w:rPr/>
        <w:t>知识</w:t>
      </w:r>
      <w:r>
        <w:rPr>
          <w:spacing w:val="-2"/>
        </w:rPr>
        <w:t>产</w:t>
      </w:r>
      <w:r>
        <w:rPr/>
        <w:t>权</w:t>
      </w:r>
      <w:r>
        <w:rPr>
          <w:rFonts w:ascii="宋体" w:hAnsi="宋体" w:cs="宋体" w:eastAsia="宋体" w:hint="default"/>
        </w:rPr>
        <w:t>"</w:t>
      </w:r>
      <w:r>
        <w:rPr/>
        <w:t>科技型</w:t>
      </w:r>
      <w:r>
        <w:rPr>
          <w:spacing w:val="-2"/>
        </w:rPr>
        <w:t>创</w:t>
      </w:r>
      <w:r>
        <w:rPr/>
        <w:t>新企业</w:t>
      </w:r>
      <w:r>
        <w:rPr>
          <w:spacing w:val="-7"/>
        </w:rPr>
        <w:t>，</w:t>
      </w:r>
      <w:r>
        <w:rPr/>
        <w:t>致力于</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0"/>
        <w:jc w:val="both"/>
      </w:pPr>
      <w:r>
        <w:rPr/>
        <w:t>以技术力量重构知识产权行业的服务模式和价值分配，通过权大师知识产权移动端及</w:t>
      </w:r>
      <w:r>
        <w:rPr>
          <w:spacing w:val="-63"/>
        </w:rPr>
        <w:t> </w:t>
      </w:r>
      <w:r>
        <w:rPr>
          <w:rFonts w:ascii="宋体" w:hAnsi="宋体" w:cs="宋体" w:eastAsia="宋体" w:hint="default"/>
        </w:rPr>
        <w:t>web</w:t>
      </w:r>
      <w:r>
        <w:rPr>
          <w:rFonts w:ascii="宋体" w:hAnsi="宋体" w:cs="宋体" w:eastAsia="宋体" w:hint="default"/>
          <w:spacing w:val="-63"/>
        </w:rPr>
        <w:t> </w:t>
      </w:r>
      <w:r>
        <w:rPr/>
        <w:t>端服务平台（以 </w:t>
      </w:r>
      <w:r>
        <w:rPr>
          <w:spacing w:val="-5"/>
        </w:rPr>
        <w:t>下简称“权大师”），为用户提供专业便捷的知识产权基础服务、智能化的知识产权软件即服务</w:t>
      </w:r>
      <w:r>
        <w:rPr>
          <w:rFonts w:ascii="宋体" w:hAnsi="宋体" w:cs="宋体" w:eastAsia="宋体" w:hint="default"/>
          <w:spacing w:val="-5"/>
        </w:rPr>
        <w:t>(SaaS)</w:t>
      </w:r>
      <w:r>
        <w:rPr>
          <w:spacing w:val="-5"/>
        </w:rPr>
        <w:t>系统</w:t>
      </w:r>
      <w:r>
        <w:rPr>
          <w:spacing w:val="-93"/>
        </w:rPr>
        <w:t> </w:t>
      </w:r>
      <w:r>
        <w:rPr>
          <w:spacing w:val="-1"/>
        </w:rPr>
        <w:t>和专业的知识产权大数据服务，并逐渐扩展知识产权交易服务、知识产权金融、智能化大数据系统等知识</w:t>
      </w:r>
      <w:r>
        <w:rPr>
          <w:spacing w:val="-83"/>
        </w:rPr>
        <w:t> </w:t>
      </w:r>
      <w:r>
        <w:rPr>
          <w:spacing w:val="-83"/>
        </w:rPr>
      </w:r>
      <w:r>
        <w:rPr/>
        <w:t>产权全生命周期服务。</w:t>
      </w:r>
    </w:p>
    <w:p>
      <w:pPr>
        <w:pStyle w:val="BodyText"/>
        <w:spacing w:line="408" w:lineRule="auto"/>
        <w:ind w:left="1557" w:right="1133"/>
        <w:jc w:val="left"/>
      </w:pPr>
      <w:r>
        <w:rPr/>
        <w:t>报告期内，光一文投对梦知网络本次投资金额为</w:t>
      </w:r>
      <w:r>
        <w:rPr>
          <w:spacing w:val="-53"/>
        </w:rPr>
        <w:t> </w:t>
      </w:r>
      <w:r>
        <w:rPr>
          <w:rFonts w:ascii="宋体" w:hAnsi="宋体" w:cs="宋体" w:eastAsia="宋体" w:hint="default"/>
        </w:rPr>
        <w:t>2,500</w:t>
      </w:r>
      <w:r>
        <w:rPr>
          <w:rFonts w:ascii="宋体" w:hAnsi="宋体" w:cs="宋体" w:eastAsia="宋体" w:hint="default"/>
          <w:spacing w:val="-53"/>
        </w:rPr>
        <w:t> </w:t>
      </w:r>
      <w:r>
        <w:rPr/>
        <w:t>万元。 </w:t>
      </w:r>
      <w:r>
        <w:rPr>
          <w:rFonts w:ascii="宋体" w:hAnsi="宋体" w:cs="宋体" w:eastAsia="宋体" w:hint="default"/>
        </w:rPr>
        <w:t>3</w:t>
      </w:r>
      <w:r>
        <w:rPr/>
        <w:t>、拟收购龙源数媒，构建数字传媒服务分发能力建设。 </w:t>
      </w:r>
      <w:r>
        <w:rPr>
          <w:spacing w:val="-1"/>
        </w:rPr>
        <w:t>龙源创新数字传媒（北京）股份有限公司（以下简称“龙源数媒”）是一家以数字出版、版权内容聚</w:t>
      </w:r>
    </w:p>
    <w:p>
      <w:pPr>
        <w:pStyle w:val="BodyText"/>
        <w:spacing w:line="408" w:lineRule="auto"/>
        <w:ind w:right="1018"/>
        <w:jc w:val="left"/>
      </w:pPr>
      <w:r>
        <w:rPr>
          <w:spacing w:val="-1"/>
        </w:rPr>
        <w:t>合分发、数字内容销售为主营业务的新三板挂牌公司（证券代码：</w:t>
      </w:r>
      <w:r>
        <w:rPr>
          <w:rFonts w:ascii="宋体" w:hAnsi="宋体" w:cs="宋体" w:eastAsia="宋体" w:hint="default"/>
          <w:spacing w:val="-1"/>
        </w:rPr>
        <w:t>837482</w:t>
      </w:r>
      <w:r>
        <w:rPr>
          <w:spacing w:val="-1"/>
        </w:rPr>
        <w:t>），拥有互联网出版和数字出版</w:t>
      </w:r>
      <w:r>
        <w:rPr>
          <w:spacing w:val="-86"/>
        </w:rPr>
        <w:t> </w:t>
      </w:r>
      <w:r>
        <w:rPr>
          <w:spacing w:val="-86"/>
        </w:rPr>
      </w:r>
      <w:r>
        <w:rPr/>
        <w:t>的相关资质，聚合了中国人文大众期刊</w:t>
      </w:r>
      <w:r>
        <w:rPr>
          <w:spacing w:val="-69"/>
        </w:rPr>
        <w:t> </w:t>
      </w:r>
      <w:r>
        <w:rPr>
          <w:rFonts w:ascii="宋体" w:hAnsi="宋体" w:cs="宋体" w:eastAsia="宋体" w:hint="default"/>
        </w:rPr>
        <w:t>90%</w:t>
      </w:r>
      <w:r>
        <w:rPr/>
        <w:t>份额、</w:t>
      </w:r>
      <w:r>
        <w:rPr>
          <w:rFonts w:ascii="宋体" w:hAnsi="宋体" w:cs="宋体" w:eastAsia="宋体" w:hint="default"/>
        </w:rPr>
        <w:t>4,300</w:t>
      </w:r>
      <w:r>
        <w:rPr>
          <w:rFonts w:ascii="宋体" w:hAnsi="宋体" w:cs="宋体" w:eastAsia="宋体" w:hint="default"/>
          <w:spacing w:val="-68"/>
        </w:rPr>
        <w:t> </w:t>
      </w:r>
      <w:r>
        <w:rPr/>
        <w:t>种主流刊物、</w:t>
      </w:r>
      <w:r>
        <w:rPr>
          <w:rFonts w:ascii="宋体" w:hAnsi="宋体" w:cs="宋体" w:eastAsia="宋体" w:hint="default"/>
        </w:rPr>
        <w:t>2,105</w:t>
      </w:r>
      <w:r>
        <w:rPr>
          <w:rFonts w:ascii="宋体" w:hAnsi="宋体" w:cs="宋体" w:eastAsia="宋体" w:hint="default"/>
          <w:spacing w:val="-68"/>
        </w:rPr>
        <w:t> </w:t>
      </w:r>
      <w:r>
        <w:rPr/>
        <w:t>万篇版权文章，积累了数千家 </w:t>
      </w:r>
      <w:r>
        <w:rPr>
          <w:spacing w:val="-5"/>
        </w:rPr>
        <w:t>杂志社资源及图书、音频、视频的大规模</w:t>
      </w:r>
      <w:r>
        <w:rPr>
          <w:spacing w:val="-30"/>
        </w:rPr>
        <w:t> </w:t>
      </w:r>
      <w:r>
        <w:rPr>
          <w:rFonts w:ascii="宋体" w:hAnsi="宋体" w:cs="宋体" w:eastAsia="宋体" w:hint="default"/>
          <w:spacing w:val="-4"/>
        </w:rPr>
        <w:t>IP</w:t>
      </w:r>
      <w:r>
        <w:rPr>
          <w:spacing w:val="-4"/>
        </w:rPr>
        <w:t>。目前业务包括版权分发、机构阅读服务和个人知识付费业务，</w:t>
      </w:r>
      <w:r>
        <w:rPr>
          <w:spacing w:val="-101"/>
        </w:rPr>
        <w:t> </w:t>
      </w:r>
      <w:r>
        <w:rPr>
          <w:spacing w:val="-101"/>
        </w:rPr>
      </w:r>
      <w:r>
        <w:rPr/>
        <w:t>是中国联通阅读基地杂志阅读独家运营方。公司通过收购龙源数媒，有助于公司借助龙源数媒迅速掌握大</w:t>
      </w:r>
      <w:r>
        <w:rPr/>
        <w:t> 量版权资源及成熟的数字化内容资源，快速获得大量公共图书馆及学校客户等公共文化类客户渠道，为版 权云项目提供内容保障及分发平台；同时，公司版权云项目的参与方中云文化大数据可以为龙源数媒提供 版权保护与交易保障，有助于龙源数媒为更广泛的单位和个人提供数字阅读服务，双方在合作中实现优势 互补，共创共赢。</w:t>
      </w:r>
    </w:p>
    <w:p>
      <w:pPr>
        <w:pStyle w:val="BodyText"/>
        <w:spacing w:line="408" w:lineRule="auto"/>
        <w:ind w:right="1026" w:firstLine="423"/>
        <w:jc w:val="both"/>
        <w:rPr>
          <w:rFonts w:ascii="宋体" w:hAnsi="宋体" w:cs="宋体" w:eastAsia="宋体" w:hint="default"/>
        </w:rPr>
      </w:pPr>
      <w:r>
        <w:rPr>
          <w:spacing w:val="-5"/>
        </w:rPr>
        <w:t>报告期内，公司实际控制人龙昌明先生与龙源数媒实际控制人汤潮先生、汤</w:t>
      </w:r>
      <w:r>
        <w:rPr>
          <w:spacing w:val="11"/>
        </w:rPr>
        <w:t> </w:t>
      </w:r>
      <w:r>
        <w:rPr>
          <w:rFonts w:ascii="SimSun-ExtB" w:hAnsi="SimSun-ExtB" w:cs="SimSun-ExtB" w:eastAsia="SimSun-ExtB" w:hint="default"/>
          <w:spacing w:val="11"/>
        </w:rPr>
      </w:r>
      <w:r>
        <w:rPr>
          <w:spacing w:val="-16"/>
        </w:rPr>
        <w:t>先生签署《合作备忘录》，</w:t>
      </w:r>
      <w:r>
        <w:rPr/>
        <w:t> 公司拟现金收购龙源数媒</w:t>
      </w:r>
      <w:r>
        <w:rPr>
          <w:spacing w:val="-67"/>
        </w:rPr>
        <w:t> </w:t>
      </w:r>
      <w:r>
        <w:rPr>
          <w:rFonts w:ascii="宋体" w:hAnsi="宋体" w:cs="宋体" w:eastAsia="宋体" w:hint="default"/>
        </w:rPr>
        <w:t>51%</w:t>
      </w:r>
      <w:r>
        <w:rPr/>
        <w:t>的股权，截至本报告期末，双方尚未签署正式协议；另外，光一文投于</w:t>
      </w:r>
      <w:r>
        <w:rPr>
          <w:spacing w:val="-66"/>
        </w:rPr>
        <w:t> </w:t>
      </w:r>
      <w:r>
        <w:rPr>
          <w:rFonts w:ascii="宋体" w:hAnsi="宋体" w:cs="宋体" w:eastAsia="宋体" w:hint="default"/>
        </w:rPr>
        <w:t>2017</w:t>
      </w:r>
    </w:p>
    <w:p>
      <w:pPr>
        <w:pStyle w:val="BodyText"/>
        <w:spacing w:line="240" w:lineRule="auto"/>
        <w:ind w:right="0"/>
        <w:jc w:val="both"/>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spacing w:val="-20"/>
        </w:rPr>
        <w:t>日、</w:t>
      </w:r>
      <w:r>
        <w:rPr>
          <w:rFonts w:ascii="宋体" w:hAnsi="宋体" w:cs="宋体" w:eastAsia="宋体" w:hint="default"/>
          <w:spacing w:val="-20"/>
        </w:rPr>
        <w:t>12</w:t>
      </w:r>
      <w:r>
        <w:rPr>
          <w:rFonts w:ascii="宋体" w:hAnsi="宋体" w:cs="宋体" w:eastAsia="宋体" w:hint="default"/>
          <w:spacing w:val="-54"/>
        </w:rPr>
        <w:t> </w:t>
      </w:r>
      <w:r>
        <w:rPr/>
        <w:t>月</w:t>
      </w:r>
      <w:r>
        <w:rPr>
          <w:spacing w:val="-54"/>
        </w:rPr>
        <w:t> </w:t>
      </w:r>
      <w:r>
        <w:rPr>
          <w:rFonts w:ascii="宋体" w:hAnsi="宋体" w:cs="宋体" w:eastAsia="宋体" w:hint="default"/>
        </w:rPr>
        <w:t>11</w:t>
      </w:r>
      <w:r>
        <w:rPr>
          <w:rFonts w:ascii="宋体" w:hAnsi="宋体" w:cs="宋体" w:eastAsia="宋体" w:hint="default"/>
          <w:spacing w:val="-53"/>
        </w:rPr>
        <w:t> </w:t>
      </w:r>
      <w:r>
        <w:rPr/>
        <w:t>日通过全国中小企业股份转让系统以协议转让方式受让汤潮先生所持有的龙源数媒</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合计</w:t>
      </w:r>
      <w:r>
        <w:rPr>
          <w:spacing w:val="-53"/>
        </w:rPr>
        <w:t> </w:t>
      </w:r>
      <w:r>
        <w:rPr>
          <w:rFonts w:ascii="宋体" w:hAnsi="宋体" w:cs="宋体" w:eastAsia="宋体" w:hint="default"/>
        </w:rPr>
        <w:t>184.60</w:t>
      </w:r>
      <w:r>
        <w:rPr>
          <w:rFonts w:ascii="宋体" w:hAnsi="宋体" w:cs="宋体" w:eastAsia="宋体" w:hint="default"/>
          <w:spacing w:val="-53"/>
        </w:rPr>
        <w:t> </w:t>
      </w:r>
      <w:r>
        <w:rPr/>
        <w:t>万股，投资金额为</w:t>
      </w:r>
      <w:r>
        <w:rPr>
          <w:spacing w:val="-53"/>
        </w:rPr>
        <w:t> </w:t>
      </w:r>
      <w:r>
        <w:rPr>
          <w:rFonts w:ascii="宋体" w:hAnsi="宋体" w:cs="宋体" w:eastAsia="宋体" w:hint="default"/>
        </w:rPr>
        <w:t>2,999.75</w:t>
      </w:r>
      <w:r>
        <w:rPr>
          <w:rFonts w:ascii="宋体" w:hAnsi="宋体" w:cs="宋体" w:eastAsia="宋体" w:hint="default"/>
          <w:spacing w:val="-52"/>
        </w:rPr>
        <w:t> </w:t>
      </w:r>
      <w:r>
        <w:rPr/>
        <w:t>万元。</w:t>
      </w:r>
    </w:p>
    <w:p>
      <w:pPr>
        <w:spacing w:line="240" w:lineRule="auto" w:before="10"/>
        <w:rPr>
          <w:rFonts w:ascii="宋体" w:hAnsi="宋体" w:cs="宋体" w:eastAsia="宋体" w:hint="default"/>
          <w:sz w:val="14"/>
          <w:szCs w:val="14"/>
        </w:rPr>
      </w:pPr>
    </w:p>
    <w:p>
      <w:pPr>
        <w:pStyle w:val="BodyText"/>
        <w:spacing w:line="408" w:lineRule="auto" w:before="0"/>
        <w:ind w:left="1557" w:right="1121"/>
        <w:jc w:val="left"/>
      </w:pPr>
      <w:r>
        <w:rPr/>
        <w:t>（二）电力业务挖潜 </w:t>
      </w:r>
      <w:r>
        <w:rPr>
          <w:spacing w:val="-1"/>
        </w:rPr>
        <w:t>报告期内，面对严峻的市场环境，公司经营层在产业方向及目标管理上加寻求突破，在充实公司总部</w:t>
      </w:r>
    </w:p>
    <w:p>
      <w:pPr>
        <w:pStyle w:val="BodyText"/>
        <w:spacing w:line="408" w:lineRule="auto"/>
        <w:ind w:right="1110"/>
        <w:jc w:val="both"/>
      </w:pPr>
      <w:r>
        <w:rPr>
          <w:spacing w:val="-1"/>
        </w:rPr>
        <w:t>职能的基础上，将管理体系和运行体制同步建设，组建电力板块业务协同与资源调度机制，继续实行目标</w:t>
      </w:r>
      <w:r>
        <w:rPr>
          <w:spacing w:val="-83"/>
        </w:rPr>
        <w:t> </w:t>
      </w:r>
      <w:r>
        <w:rPr>
          <w:spacing w:val="-83"/>
        </w:rPr>
      </w:r>
      <w:r>
        <w:rPr/>
        <w:t>管理，完善制度建设，推行全面预算管理，扩大事业部经营权，加强风险管控力度，构建人才梯队建设， 完善考核激励政策，通过公司总部、事业部</w:t>
      </w:r>
      <w:r>
        <w:rPr>
          <w:rFonts w:ascii="宋体" w:hAnsi="宋体" w:cs="宋体" w:eastAsia="宋体" w:hint="default"/>
        </w:rPr>
        <w:t>/</w:t>
      </w:r>
      <w:r>
        <w:rPr/>
        <w:t>子公司携手合作，深挖电力业务潜能。</w:t>
      </w:r>
    </w:p>
    <w:p>
      <w:pPr>
        <w:pStyle w:val="BodyText"/>
        <w:spacing w:line="408" w:lineRule="auto"/>
        <w:ind w:right="1111" w:firstLine="423"/>
        <w:jc w:val="both"/>
      </w:pPr>
      <w:r>
        <w:rPr/>
        <w:t>在用电信息采集产品方面，公司基于“</w:t>
      </w:r>
      <w:r>
        <w:rPr>
          <w:rFonts w:ascii="宋体" w:hAnsi="宋体" w:cs="宋体" w:eastAsia="宋体" w:hint="default"/>
        </w:rPr>
        <w:t>DL/T 698.45</w:t>
      </w:r>
      <w:r>
        <w:rPr>
          <w:rFonts w:ascii="宋体" w:hAnsi="宋体" w:cs="宋体" w:eastAsia="宋体" w:hint="default"/>
          <w:spacing w:val="-30"/>
        </w:rPr>
        <w:t> </w:t>
      </w:r>
      <w:r>
        <w:rPr/>
        <w:t>面向对象的互操作性数据交换协议”开发的全系 </w:t>
      </w:r>
      <w:r>
        <w:rPr>
          <w:spacing w:val="-1"/>
        </w:rPr>
        <w:t>列用电信息采集终端产品已全部通过国家电网计量中心的型式试验检测，在国网多个省份中标和供货；针</w:t>
      </w:r>
      <w:r>
        <w:rPr>
          <w:spacing w:val="-80"/>
        </w:rPr>
        <w:t> </w:t>
      </w:r>
      <w:r>
        <w:rPr>
          <w:spacing w:val="-80"/>
        </w:rPr>
      </w:r>
      <w:r>
        <w:rPr/>
        <w:t>对低压末端电网智能感知技术，研究开发的低压末端电网智能感知产品在南京、苏州、扬州等多地试点， 取得较好效果，将为</w:t>
      </w:r>
      <w:r>
        <w:rPr>
          <w:spacing w:val="-53"/>
        </w:rPr>
        <w:t> </w:t>
      </w:r>
      <w:r>
        <w:rPr>
          <w:rFonts w:ascii="宋体" w:hAnsi="宋体" w:cs="宋体" w:eastAsia="宋体" w:hint="default"/>
        </w:rPr>
        <w:t>2018</w:t>
      </w:r>
      <w:r>
        <w:rPr>
          <w:rFonts w:ascii="宋体" w:hAnsi="宋体" w:cs="宋体" w:eastAsia="宋体" w:hint="default"/>
          <w:spacing w:val="-54"/>
        </w:rPr>
        <w:t> </w:t>
      </w:r>
      <w:r>
        <w:rPr/>
        <w:t>年的市场拓展奠定较好的基础。</w:t>
      </w:r>
    </w:p>
    <w:p>
      <w:pPr>
        <w:pStyle w:val="BodyText"/>
        <w:spacing w:line="408" w:lineRule="auto"/>
        <w:ind w:left="1134" w:right="1109" w:firstLine="423"/>
        <w:jc w:val="both"/>
      </w:pPr>
      <w:r>
        <w:rPr>
          <w:spacing w:val="-1"/>
        </w:rPr>
        <w:t>在智能计量表箱业务方面，受国家电网招标行业周期影响，索瑞电气的表箱业务竞争越发激烈，招标</w:t>
      </w:r>
      <w:r>
        <w:rPr/>
        <w:t> 数量、招标价格均大幅降低，为此，索瑞电气积极调整营销策略，深耕市场渠道，加强内外协调；同时，</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557" w:right="1121" w:hanging="424"/>
        <w:jc w:val="left"/>
      </w:pPr>
      <w:r>
        <w:rPr/>
        <w:t>加强内部管理，强化预算管控，精简人员编制，实现降本增效目标。 </w:t>
      </w:r>
      <w:r>
        <w:rPr>
          <w:spacing w:val="-1"/>
        </w:rPr>
        <w:t>在配电自动化产品方面，根据国家电网公司修订的配网线路故障指示器最新标准，开发了新标准规范</w:t>
      </w:r>
    </w:p>
    <w:p>
      <w:pPr>
        <w:pStyle w:val="BodyText"/>
        <w:spacing w:line="408" w:lineRule="auto"/>
        <w:ind w:right="1133"/>
        <w:jc w:val="both"/>
      </w:pPr>
      <w:r>
        <w:rPr>
          <w:spacing w:val="-6"/>
        </w:rPr>
        <w:t>的“暂态录波型故障指示器”、“暂态特征型故障指示器”等产品，并通过中国电科院等权威部门的试验检</w:t>
      </w:r>
      <w:r>
        <w:rPr>
          <w:spacing w:val="-61"/>
        </w:rPr>
        <w:t> </w:t>
      </w:r>
      <w:r>
        <w:rPr>
          <w:spacing w:val="-61"/>
        </w:rPr>
      </w:r>
      <w:r>
        <w:rPr>
          <w:spacing w:val="-1"/>
        </w:rPr>
        <w:t>测，取得相应的型式试验报告、入网专业检测报告（功能性能专业检测）和信息安全专业检测报告，获得</w:t>
      </w:r>
      <w:r>
        <w:rPr>
          <w:spacing w:val="-83"/>
        </w:rPr>
        <w:t> </w:t>
      </w:r>
      <w:r>
        <w:rPr>
          <w:spacing w:val="-83"/>
        </w:rPr>
      </w:r>
      <w:r>
        <w:rPr>
          <w:spacing w:val="-1"/>
        </w:rPr>
        <w:t>了参加国网故障指示器投标资格，并在江苏、江西、福建、湖北、重庆等多个网省中标。同时，对配电线</w:t>
      </w:r>
      <w:r>
        <w:rPr>
          <w:spacing w:val="-85"/>
        </w:rPr>
        <w:t> </w:t>
      </w:r>
      <w:r>
        <w:rPr>
          <w:spacing w:val="-85"/>
        </w:rPr>
      </w:r>
      <w:r>
        <w:rPr/>
        <w:t>损模块、多功能线损分析系统等项目进行了立项和开发，为配电产品的市场扩大奠定了良好的基础。</w:t>
      </w:r>
    </w:p>
    <w:p>
      <w:pPr>
        <w:pStyle w:val="BodyText"/>
        <w:spacing w:line="408" w:lineRule="auto"/>
        <w:ind w:right="1130" w:firstLine="420"/>
        <w:jc w:val="both"/>
      </w:pPr>
      <w:r>
        <w:rPr>
          <w:spacing w:val="-1"/>
        </w:rPr>
        <w:t>在综合能源管理方面，苏源光一以能效监测系统、区域能源管理为重点，报告期末已完成“光一电管</w:t>
      </w:r>
      <w:r>
        <w:rPr/>
        <w:t> </w:t>
      </w:r>
      <w:r>
        <w:rPr>
          <w:spacing w:val="-1"/>
        </w:rPr>
        <w:t>家”基础平台建设，系统子功能模块中能源管理系统及计量收费系统已基本完成上线。通过多次参与照明</w:t>
      </w:r>
      <w:r>
        <w:rPr>
          <w:spacing w:val="-82"/>
        </w:rPr>
        <w:t> </w:t>
      </w:r>
      <w:r>
        <w:rPr>
          <w:spacing w:val="-82"/>
        </w:rPr>
      </w:r>
      <w:r>
        <w:rPr>
          <w:spacing w:val="-1"/>
        </w:rPr>
        <w:t>节能改造和空调节能改造项目，为公司涉足节能增值业务积累经验。同时，通过开展市场调研、渠道建设</w:t>
      </w:r>
      <w:r>
        <w:rPr>
          <w:spacing w:val="-86"/>
        </w:rPr>
        <w:t> </w:t>
      </w:r>
      <w:r>
        <w:rPr>
          <w:spacing w:val="-86"/>
        </w:rPr>
      </w:r>
      <w:r>
        <w:rPr/>
        <w:t>以及项目拓展，已形成初步市场经验积累，为公司后期整体规划发展提前做好准备工作。</w:t>
      </w:r>
    </w:p>
    <w:p>
      <w:pPr>
        <w:pStyle w:val="BodyText"/>
        <w:spacing w:line="408" w:lineRule="auto"/>
        <w:ind w:right="1109" w:firstLine="420"/>
        <w:jc w:val="both"/>
      </w:pPr>
      <w:r>
        <w:rPr/>
        <w:t>在知识产权方面，</w:t>
      </w:r>
      <w:r>
        <w:rPr>
          <w:rFonts w:ascii="宋体" w:hAnsi="宋体" w:cs="宋体" w:eastAsia="宋体" w:hint="default"/>
        </w:rPr>
        <w:t>2017</w:t>
      </w:r>
      <w:r>
        <w:rPr/>
        <w:t>年公司新申请发明专利授权</w:t>
      </w:r>
      <w:r>
        <w:rPr>
          <w:rFonts w:ascii="宋体" w:hAnsi="宋体" w:cs="宋体" w:eastAsia="宋体" w:hint="default"/>
        </w:rPr>
        <w:t>8</w:t>
      </w:r>
      <w:r>
        <w:rPr/>
        <w:t>项、实用新型专利</w:t>
      </w:r>
      <w:r>
        <w:rPr>
          <w:rFonts w:ascii="宋体" w:hAnsi="宋体" w:cs="宋体" w:eastAsia="宋体" w:hint="default"/>
        </w:rPr>
        <w:t>17</w:t>
      </w:r>
      <w:r>
        <w:rPr/>
        <w:t>项；获得发明专利授权</w:t>
      </w:r>
      <w:r>
        <w:rPr>
          <w:rFonts w:ascii="宋体" w:hAnsi="宋体" w:cs="宋体" w:eastAsia="宋体" w:hint="default"/>
        </w:rPr>
        <w:t>6</w:t>
      </w:r>
      <w:r>
        <w:rPr/>
        <w:t>项、</w:t>
      </w:r>
      <w:r>
        <w:rPr>
          <w:spacing w:val="1"/>
        </w:rPr>
        <w:t> </w:t>
      </w:r>
      <w:r>
        <w:rPr/>
        <w:t>实用新型专利授权</w:t>
      </w:r>
      <w:r>
        <w:rPr>
          <w:rFonts w:ascii="宋体" w:hAnsi="宋体" w:cs="宋体" w:eastAsia="宋体" w:hint="default"/>
        </w:rPr>
        <w:t>9</w:t>
      </w:r>
      <w:r>
        <w:rPr/>
        <w:t>项；软件著作权登记</w:t>
      </w:r>
      <w:r>
        <w:rPr>
          <w:rFonts w:ascii="宋体" w:hAnsi="宋体" w:cs="宋体" w:eastAsia="宋体" w:hint="default"/>
        </w:rPr>
        <w:t>19</w:t>
      </w:r>
      <w:r>
        <w:rPr/>
        <w:t>项，获得高新技术产品认定</w:t>
      </w:r>
      <w:r>
        <w:rPr>
          <w:rFonts w:ascii="宋体" w:hAnsi="宋体" w:cs="宋体" w:eastAsia="宋体" w:hint="default"/>
        </w:rPr>
        <w:t>3</w:t>
      </w:r>
      <w:r>
        <w:rPr/>
        <w:t>项、软件产品</w:t>
      </w:r>
      <w:r>
        <w:rPr>
          <w:rFonts w:ascii="宋体" w:hAnsi="宋体" w:cs="宋体" w:eastAsia="宋体" w:hint="default"/>
        </w:rPr>
        <w:t>2</w:t>
      </w:r>
      <w:r>
        <w:rPr/>
        <w:t>项。公司自主研发</w:t>
      </w:r>
      <w:r>
        <w:rPr>
          <w:spacing w:val="-30"/>
        </w:rPr>
        <w:t> </w:t>
      </w:r>
      <w:r>
        <w:rPr>
          <w:spacing w:val="-30"/>
        </w:rPr>
      </w:r>
      <w:r>
        <w:rPr>
          <w:spacing w:val="-3"/>
        </w:rPr>
        <w:t>的“</w:t>
      </w:r>
      <w:r>
        <w:rPr>
          <w:rFonts w:ascii="宋体" w:hAnsi="宋体" w:cs="宋体" w:eastAsia="宋体" w:hint="default"/>
          <w:spacing w:val="-3"/>
        </w:rPr>
        <w:t>JYL-GY-HD/C</w:t>
      </w:r>
      <w:r>
        <w:rPr>
          <w:spacing w:val="-3"/>
        </w:rPr>
        <w:t>录波型故障指示器”、“智能网荷互动终端”通过省经信委新产品、新技术鉴定，技术水</w:t>
      </w:r>
      <w:r>
        <w:rPr>
          <w:spacing w:val="-94"/>
        </w:rPr>
        <w:t> </w:t>
      </w:r>
      <w:r>
        <w:rPr>
          <w:spacing w:val="-94"/>
        </w:rPr>
      </w:r>
      <w:r>
        <w:rPr>
          <w:spacing w:val="-5"/>
        </w:rPr>
        <w:t>平达到国内领先。在研的“面向物联网技术与多源异构数据集成的智能配用电系统研发及应用”、“基于大</w:t>
      </w:r>
      <w:r>
        <w:rPr/>
        <w:t> </w:t>
      </w:r>
      <w:r>
        <w:rPr>
          <w:spacing w:val="-5"/>
        </w:rPr>
        <w:t>数据的用电信息采集线损分析专家系统”、“面向特高压故障的智能网荷互动终端研发”等科研项目获得省</w:t>
      </w:r>
      <w:r>
        <w:rPr/>
        <w:t> 市政府专项资金资助。</w:t>
      </w:r>
    </w:p>
    <w:p>
      <w:pPr>
        <w:pStyle w:val="BodyText"/>
        <w:spacing w:line="408" w:lineRule="auto"/>
        <w:ind w:right="1109" w:firstLine="423"/>
        <w:jc w:val="both"/>
      </w:pPr>
      <w:r>
        <w:rPr>
          <w:spacing w:val="-1"/>
        </w:rPr>
        <w:t>公司电力业务在原有业务的基础上，一方面通过加强研发投入，提升技术力量开发新产品；另一方面</w:t>
      </w:r>
      <w:r>
        <w:rPr/>
        <w:t> 通过业务调整，着力布局电力行业新格局，目前公司具备终端制造、工程服务、能效管理等多维度市场， 提供多元化电力业务服务。</w:t>
      </w:r>
    </w:p>
    <w:p>
      <w:pPr>
        <w:pStyle w:val="BodyText"/>
        <w:spacing w:line="408" w:lineRule="auto"/>
        <w:ind w:left="1556" w:right="1121"/>
        <w:jc w:val="left"/>
      </w:pPr>
      <w:r>
        <w:rPr/>
        <w:t>（三）健康信息服务业务 </w:t>
      </w:r>
      <w:r>
        <w:rPr>
          <w:spacing w:val="-1"/>
        </w:rPr>
        <w:t>健康信息服务业务以控股子公司南京云商天下信息技术有限公司（以下简称“云商天下”）为运营主</w:t>
      </w:r>
    </w:p>
    <w:p>
      <w:pPr>
        <w:pStyle w:val="BodyText"/>
        <w:spacing w:line="408" w:lineRule="auto"/>
        <w:ind w:left="1134" w:right="1133"/>
        <w:jc w:val="both"/>
      </w:pPr>
      <w:r>
        <w:rPr>
          <w:spacing w:val="-1"/>
        </w:rPr>
        <w:t>体。报告期内，云商天下与南京医科大学合作，独家建设南京医科大学转化医学研究院（江苏省转化医学</w:t>
      </w:r>
      <w:r>
        <w:rPr>
          <w:spacing w:val="-86"/>
        </w:rPr>
        <w:t> </w:t>
      </w:r>
      <w:r>
        <w:rPr>
          <w:spacing w:val="-86"/>
        </w:rPr>
      </w:r>
      <w:r>
        <w:rPr>
          <w:spacing w:val="-1"/>
        </w:rPr>
        <w:t>研究院）医工融合平台，推动医联体协同服务项目、家庭医生服务项目、临床决策支持与智能问诊项目的</w:t>
      </w:r>
      <w:r>
        <w:rPr>
          <w:spacing w:val="-86"/>
        </w:rPr>
        <w:t> </w:t>
      </w:r>
      <w:r>
        <w:rPr>
          <w:spacing w:val="-86"/>
        </w:rPr>
      </w:r>
      <w:r>
        <w:rPr/>
        <w:t>落地实施。</w:t>
      </w:r>
    </w:p>
    <w:p>
      <w:pPr>
        <w:pStyle w:val="BodyText"/>
        <w:spacing w:line="408" w:lineRule="auto"/>
        <w:ind w:left="1556" w:right="1121"/>
        <w:jc w:val="left"/>
      </w:pPr>
      <w:r>
        <w:rPr>
          <w:rFonts w:ascii="宋体" w:hAnsi="宋体" w:cs="宋体" w:eastAsia="宋体" w:hint="default"/>
        </w:rPr>
        <w:t>1</w:t>
      </w:r>
      <w:r>
        <w:rPr/>
        <w:t>、医联体协同服务项目 </w:t>
      </w:r>
      <w:r>
        <w:rPr>
          <w:spacing w:val="-1"/>
        </w:rPr>
        <w:t>医联体协同服务项目主要是通过建立医联体智慧数据中心，利用云技术实现医疗数据有效共享，灵活</w:t>
      </w:r>
    </w:p>
    <w:p>
      <w:pPr>
        <w:pStyle w:val="BodyText"/>
        <w:spacing w:line="408" w:lineRule="auto"/>
        <w:ind w:right="1131"/>
        <w:jc w:val="both"/>
      </w:pPr>
      <w:r>
        <w:rPr>
          <w:spacing w:val="-1"/>
        </w:rPr>
        <w:t>覆盖三级医院、二级医院、社区卫生服务中心等医疗机构，实现医联体全周期的医疗服务。报告期内，云</w:t>
      </w:r>
      <w:r>
        <w:rPr>
          <w:spacing w:val="-83"/>
        </w:rPr>
        <w:t> </w:t>
      </w:r>
      <w:r>
        <w:rPr>
          <w:spacing w:val="-83"/>
        </w:rPr>
      </w:r>
      <w:r>
        <w:rPr>
          <w:spacing w:val="-1"/>
        </w:rPr>
        <w:t>商天下协助南京市妇幼保健院建立协同服务平台，提供远程门诊</w:t>
      </w:r>
      <w:r>
        <w:rPr>
          <w:rFonts w:ascii="宋体" w:hAnsi="宋体" w:cs="宋体" w:eastAsia="宋体" w:hint="default"/>
          <w:spacing w:val="-1"/>
        </w:rPr>
        <w:t>/</w:t>
      </w:r>
      <w:r>
        <w:rPr>
          <w:spacing w:val="-1"/>
        </w:rPr>
        <w:t>会诊</w:t>
      </w:r>
      <w:r>
        <w:rPr>
          <w:rFonts w:ascii="宋体" w:hAnsi="宋体" w:cs="宋体" w:eastAsia="宋体" w:hint="default"/>
          <w:spacing w:val="-1"/>
        </w:rPr>
        <w:t>/</w:t>
      </w:r>
      <w:r>
        <w:rPr>
          <w:spacing w:val="-1"/>
        </w:rPr>
        <w:t>转诊及教育协作业务，通过服务创</w:t>
      </w:r>
      <w:r>
        <w:rPr>
          <w:spacing w:val="-84"/>
        </w:rPr>
        <w:t> </w:t>
      </w:r>
      <w:r>
        <w:rPr>
          <w:spacing w:val="-84"/>
        </w:rPr>
      </w:r>
      <w:r>
        <w:rPr/>
        <w:t>新医院、专科联盟、医联体的模式，以患者诊疗信息为核心，利用互联网</w:t>
      </w:r>
      <w:r>
        <w:rPr>
          <w:rFonts w:ascii="宋体" w:hAnsi="宋体" w:cs="宋体" w:eastAsia="宋体" w:hint="default"/>
        </w:rPr>
        <w:t>+</w:t>
      </w:r>
      <w:r>
        <w:rPr/>
        <w:t>实现医院与医院之间、医院与</w:t>
      </w:r>
      <w:r>
        <w:rPr>
          <w:spacing w:val="-26"/>
        </w:rPr>
        <w:t> </w:t>
      </w:r>
      <w:r>
        <w:rPr>
          <w:spacing w:val="-26"/>
        </w:rPr>
      </w:r>
      <w:r>
        <w:rPr>
          <w:spacing w:val="-1"/>
        </w:rPr>
        <w:t>科室之间、科室与科室之间、科室与专家之间、基层医生与专家之间的交流。进行跨医院的病情讨论、门</w:t>
      </w:r>
    </w:p>
    <w:p>
      <w:pPr>
        <w:spacing w:after="0" w:line="408" w:lineRule="auto"/>
        <w:jc w:val="both"/>
        <w:sectPr>
          <w:footerReference w:type="default" r:id="rId21"/>
          <w:pgSz w:w="11910" w:h="16840"/>
          <w:pgMar w:footer="1000" w:header="747" w:top="1040" w:bottom="1180" w:left="0" w:right="0"/>
          <w:pgNumType w:start="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556" w:right="1121" w:hanging="423"/>
        <w:jc w:val="left"/>
      </w:pPr>
      <w:r>
        <w:rPr/>
        <w:t>诊、会诊和转诊，提升合作医院医疗卫生水平，同时促进优质医疗资源共享和医疗服务均等化。 </w:t>
      </w:r>
      <w:r>
        <w:rPr>
          <w:rFonts w:ascii="宋体" w:hAnsi="宋体" w:cs="宋体" w:eastAsia="宋体" w:hint="default"/>
        </w:rPr>
        <w:t>2</w:t>
      </w:r>
      <w:r>
        <w:rPr/>
        <w:t>、家庭医生服务项目 家庭医生服务项目是以互联网</w:t>
      </w:r>
      <w:r>
        <w:rPr>
          <w:rFonts w:ascii="宋体" w:hAnsi="宋体" w:cs="宋体" w:eastAsia="宋体" w:hint="default"/>
        </w:rPr>
        <w:t>+</w:t>
      </w:r>
      <w:r>
        <w:rPr/>
        <w:t>为工具，整合线下各类医疗资源，研发家庭医生健康管理服务平台，</w:t>
      </w:r>
    </w:p>
    <w:p>
      <w:pPr>
        <w:pStyle w:val="BodyText"/>
        <w:spacing w:line="408" w:lineRule="auto"/>
        <w:ind w:right="1111"/>
        <w:jc w:val="both"/>
      </w:pPr>
      <w:r>
        <w:rPr/>
        <w:t>该平台提供家庭健康在线咨询、健康宣教、技能培训及社区及上级医院健康咨询、预约挂号、远程会诊、 优先通道等一体化服务。提供家庭医生签约，为居民建立长期有效数据的个人健康档案，通过健康监测、 健康教育，对慢病人群进行筛查，提供就医指导、就医预约、双向转诊、智能问诊</w:t>
      </w:r>
      <w:r>
        <w:rPr>
          <w:rFonts w:ascii="宋体" w:hAnsi="宋体" w:cs="宋体" w:eastAsia="宋体" w:hint="default"/>
        </w:rPr>
        <w:t>/</w:t>
      </w:r>
      <w:r>
        <w:rPr/>
        <w:t>分诊、辅助诊断等服</w:t>
      </w:r>
      <w:r>
        <w:rPr>
          <w:spacing w:val="-25"/>
        </w:rPr>
        <w:t> </w:t>
      </w:r>
      <w:r>
        <w:rPr>
          <w:spacing w:val="-25"/>
        </w:rPr>
      </w:r>
      <w:r>
        <w:rPr/>
        <w:t>务。</w:t>
      </w:r>
    </w:p>
    <w:p>
      <w:pPr>
        <w:pStyle w:val="BodyText"/>
        <w:spacing w:line="408" w:lineRule="auto"/>
        <w:ind w:left="1556" w:right="1121"/>
        <w:jc w:val="left"/>
      </w:pPr>
      <w:r>
        <w:rPr>
          <w:rFonts w:ascii="宋体" w:hAnsi="宋体" w:cs="宋体" w:eastAsia="宋体" w:hint="default"/>
        </w:rPr>
        <w:t>3</w:t>
      </w:r>
      <w:r>
        <w:rPr/>
        <w:t>、临床决策支持与智能问诊项目 </w:t>
      </w:r>
      <w:r>
        <w:rPr>
          <w:spacing w:val="-1"/>
        </w:rPr>
        <w:t>报告期内，云商天下在区域内转化赋能基层医疗，应用于区域家庭医生服务平台。以南医大附属及教</w:t>
      </w:r>
    </w:p>
    <w:p>
      <w:pPr>
        <w:pStyle w:val="BodyText"/>
        <w:spacing w:line="408" w:lineRule="auto"/>
        <w:ind w:left="1134" w:right="1131"/>
        <w:jc w:val="both"/>
      </w:pPr>
      <w:r>
        <w:rPr>
          <w:spacing w:val="-1"/>
        </w:rPr>
        <w:t>学医院医疗知识体系为核心参考，将源自梅奥的临床诊疗路径嵌入到医生工作站系统中，引导全科医生根</w:t>
      </w:r>
      <w:r>
        <w:rPr>
          <w:spacing w:val="-81"/>
        </w:rPr>
        <w:t> </w:t>
      </w:r>
      <w:r>
        <w:rPr>
          <w:spacing w:val="-81"/>
        </w:rPr>
      </w:r>
      <w:r>
        <w:rPr>
          <w:spacing w:val="-1"/>
        </w:rPr>
        <w:t>据疾病症状、患者主诉等对基层临床遇到的问题进行识别诊断，减少了误诊、漏诊的发生。智能诊断技术</w:t>
      </w:r>
      <w:r>
        <w:rPr>
          <w:spacing w:val="-86"/>
        </w:rPr>
        <w:t> </w:t>
      </w:r>
      <w:r>
        <w:rPr>
          <w:spacing w:val="-86"/>
        </w:rPr>
      </w:r>
      <w:r>
        <w:rPr>
          <w:spacing w:val="-1"/>
        </w:rPr>
        <w:t>对于基层医疗水平改善的核心意义在于，一方面是帮助全科医生识别疾病，提高基层诊疗水平，另一方面</w:t>
      </w:r>
      <w:r>
        <w:rPr>
          <w:spacing w:val="-83"/>
        </w:rPr>
        <w:t> </w:t>
      </w:r>
      <w:r>
        <w:rPr>
          <w:spacing w:val="-83"/>
        </w:rPr>
      </w:r>
      <w:r>
        <w:rPr>
          <w:spacing w:val="-1"/>
        </w:rPr>
        <w:t>是协助基层精准转诊，有利于分级诊疗秩序的良性形成。智能诊断系统提供健康教育内容，便于医生在诊</w:t>
      </w:r>
      <w:r>
        <w:rPr>
          <w:spacing w:val="-83"/>
        </w:rPr>
        <w:t> </w:t>
      </w:r>
      <w:r>
        <w:rPr>
          <w:spacing w:val="-83"/>
        </w:rPr>
      </w:r>
      <w:r>
        <w:rPr/>
        <w:t>疗的同时向患者进行针对性的健康教育，利于慢性病的早发现、早预警、早干预。</w:t>
      </w:r>
    </w:p>
    <w:p>
      <w:pPr>
        <w:pStyle w:val="Heading2"/>
        <w:spacing w:line="240" w:lineRule="auto" w:before="179"/>
        <w:ind w:left="1133"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6"/>
        <w:rPr>
          <w:rFonts w:ascii="宋体" w:hAnsi="宋体" w:cs="宋体" w:eastAsia="宋体" w:hint="default"/>
          <w:b/>
          <w:bCs/>
          <w:sz w:val="25"/>
          <w:szCs w:val="25"/>
        </w:rPr>
      </w:pPr>
    </w:p>
    <w:p>
      <w:pPr>
        <w:pStyle w:val="BodyText"/>
        <w:spacing w:line="408" w:lineRule="auto" w:before="0"/>
        <w:ind w:right="5293"/>
        <w:jc w:val="left"/>
      </w:pPr>
      <w:bookmarkStart w:name="1、概述" w:id="26"/>
      <w:bookmarkEnd w:id="26"/>
      <w:r>
        <w:rPr/>
      </w:r>
      <w:r>
        <w:rPr>
          <w:rFonts w:ascii="宋体" w:hAnsi="宋体" w:cs="宋体" w:eastAsia="宋体" w:hint="default"/>
          <w:b/>
          <w:bCs/>
        </w:rPr>
        <w:t>1</w:t>
      </w:r>
      <w:r>
        <w:rPr>
          <w:rFonts w:ascii="宋体" w:hAnsi="宋体" w:cs="宋体" w:eastAsia="宋体" w:hint="default"/>
          <w:b/>
          <w:bCs/>
        </w:rPr>
        <w:t>、概述</w:t>
      </w:r>
      <w:r>
        <w:rPr>
          <w:rFonts w:ascii="宋体" w:hAnsi="宋体" w:cs="宋体" w:eastAsia="宋体" w:hint="default"/>
          <w:b/>
          <w:bCs/>
          <w:w w:val="99"/>
        </w:rPr>
        <w:t> </w:t>
      </w:r>
      <w:r>
        <w:rPr/>
        <w:t>参见“经营情况讨论与分析”中的“一、概述”相关内容。</w:t>
      </w:r>
    </w:p>
    <w:p>
      <w:pPr>
        <w:spacing w:line="240" w:lineRule="auto" w:before="6"/>
        <w:rPr>
          <w:rFonts w:ascii="宋体" w:hAnsi="宋体" w:cs="宋体" w:eastAsia="宋体" w:hint="default"/>
          <w:sz w:val="15"/>
          <w:szCs w:val="15"/>
        </w:rPr>
      </w:pPr>
    </w:p>
    <w:p>
      <w:pPr>
        <w:pStyle w:val="Heading4"/>
        <w:spacing w:line="240" w:lineRule="auto"/>
        <w:ind w:left="1133" w:right="0"/>
        <w:jc w:val="both"/>
        <w:rPr>
          <w:b w:val="0"/>
          <w:bCs w:val="0"/>
        </w:rPr>
      </w:pPr>
      <w:bookmarkStart w:name="2、收入与成本" w:id="27"/>
      <w:bookmarkEnd w:id="27"/>
      <w:r>
        <w:rPr>
          <w:b w:val="0"/>
          <w:bCs w:val="0"/>
        </w:rPr>
      </w:r>
      <w:r>
        <w:rPr>
          <w:rFonts w:ascii="宋体" w:hAnsi="宋体" w:cs="宋体" w:eastAsia="宋体" w:hint="default"/>
        </w:rPr>
        <w:t>2</w:t>
      </w:r>
      <w:r>
        <w:rPr/>
        <w:t>、收入与成本</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5922"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b/>
          <w:bCs/>
          <w:w w:val="99"/>
          <w:sz w:val="21"/>
          <w:szCs w:val="21"/>
        </w:rPr>
        <w:t> </w:t>
      </w:r>
      <w:r>
        <w:rPr>
          <w:rFonts w:ascii="宋体" w:hAnsi="宋体" w:cs="宋体" w:eastAsia="宋体" w:hint="default"/>
          <w:sz w:val="21"/>
          <w:szCs w:val="21"/>
        </w:rPr>
        <w:t>公司是否需要遵守光伏产业链相关业的披露要求：否</w:t>
      </w:r>
    </w:p>
    <w:p>
      <w:pPr>
        <w:pStyle w:val="BodyText"/>
        <w:spacing w:line="408" w:lineRule="auto"/>
        <w:ind w:right="1094"/>
        <w:jc w:val="left"/>
      </w:pPr>
      <w:r>
        <w:rPr/>
        <w:t>公司是否需遵守《深圳证券交易所创业板行业信息披露指引第</w:t>
      </w:r>
      <w:r>
        <w:rPr>
          <w:spacing w:val="-53"/>
        </w:rPr>
        <w:t> </w:t>
      </w:r>
      <w:r>
        <w:rPr>
          <w:rFonts w:ascii="宋体" w:hAnsi="宋体" w:cs="宋体" w:eastAsia="宋体" w:hint="default"/>
        </w:rPr>
        <w:t>1</w:t>
      </w:r>
      <w:r>
        <w:rPr>
          <w:rFonts w:ascii="宋体" w:hAnsi="宋体" w:cs="宋体" w:eastAsia="宋体" w:hint="default"/>
          <w:spacing w:val="-53"/>
        </w:rPr>
        <w:t> </w:t>
      </w:r>
      <w:r>
        <w:rPr/>
        <w:t>号——上市公司从事广播电影电视业务》 的披露要求：否</w:t>
      </w:r>
    </w:p>
    <w:p>
      <w:pPr>
        <w:pStyle w:val="BodyText"/>
        <w:spacing w:line="408" w:lineRule="auto"/>
        <w:ind w:right="1116"/>
        <w:jc w:val="left"/>
      </w:pPr>
      <w:r>
        <w:rPr/>
        <w:t>公司是否需遵守《深圳证券交易所创业板行业信息披露指引第</w:t>
      </w:r>
      <w:r>
        <w:rPr>
          <w:spacing w:val="-64"/>
        </w:rPr>
        <w:t> </w:t>
      </w:r>
      <w:r>
        <w:rPr>
          <w:rFonts w:ascii="宋体" w:hAnsi="宋体" w:cs="宋体" w:eastAsia="宋体" w:hint="default"/>
        </w:rPr>
        <w:t>5</w:t>
      </w:r>
      <w:r>
        <w:rPr>
          <w:rFonts w:ascii="宋体" w:hAnsi="宋体" w:cs="宋体" w:eastAsia="宋体" w:hint="default"/>
          <w:spacing w:val="-64"/>
        </w:rPr>
        <w:t> </w:t>
      </w:r>
      <w:r>
        <w:rPr/>
        <w:t>号——上市公司从事互联网游戏业务》的 披露要求：否</w:t>
      </w:r>
    </w:p>
    <w:p>
      <w:pPr>
        <w:pStyle w:val="BodyText"/>
        <w:spacing w:line="408" w:lineRule="auto"/>
        <w:ind w:left="1134" w:right="1016"/>
        <w:jc w:val="left"/>
      </w:pPr>
      <w:r>
        <w:rPr>
          <w:spacing w:val="-4"/>
        </w:rPr>
        <w:t>公司是否需遵守《深圳证券交易所创业板行业信息披露指引第</w:t>
      </w:r>
      <w:r>
        <w:rPr>
          <w:spacing w:val="-57"/>
        </w:rPr>
        <w:t> </w:t>
      </w:r>
      <w:r>
        <w:rPr>
          <w:rFonts w:ascii="宋体" w:hAnsi="宋体" w:cs="宋体" w:eastAsia="宋体" w:hint="default"/>
        </w:rPr>
        <w:t>9</w:t>
      </w:r>
      <w:r>
        <w:rPr>
          <w:rFonts w:ascii="宋体" w:hAnsi="宋体" w:cs="宋体" w:eastAsia="宋体" w:hint="default"/>
          <w:spacing w:val="-57"/>
        </w:rPr>
        <w:t> </w:t>
      </w:r>
      <w:r>
        <w:rPr/>
        <w:t>号——上市公司从事</w:t>
      </w:r>
      <w:r>
        <w:rPr>
          <w:spacing w:val="-57"/>
        </w:rPr>
        <w:t> </w:t>
      </w:r>
      <w:r>
        <w:rPr>
          <w:rFonts w:ascii="宋体" w:hAnsi="宋体" w:cs="宋体" w:eastAsia="宋体" w:hint="default"/>
        </w:rPr>
        <w:t>LED</w:t>
      </w:r>
      <w:r>
        <w:rPr>
          <w:rFonts w:ascii="宋体" w:hAnsi="宋体" w:cs="宋体" w:eastAsia="宋体" w:hint="default"/>
          <w:spacing w:val="-57"/>
        </w:rPr>
        <w:t> </w:t>
      </w:r>
      <w:r>
        <w:rPr>
          <w:spacing w:val="-1"/>
        </w:rPr>
        <w:t>产业链相关业务》</w:t>
      </w:r>
      <w:r>
        <w:rPr/>
        <w:t> 的披露要求：否</w:t>
      </w:r>
    </w:p>
    <w:p>
      <w:pPr>
        <w:pStyle w:val="BodyText"/>
        <w:spacing w:line="408" w:lineRule="auto"/>
        <w:ind w:right="1201"/>
        <w:jc w:val="left"/>
      </w:pPr>
      <w:r>
        <w:rPr/>
        <w:t>公司是否需遵守《深圳证券交易所创业板行业信息披露指引第</w:t>
      </w:r>
      <w:r>
        <w:rPr>
          <w:spacing w:val="-54"/>
        </w:rPr>
        <w:t> </w:t>
      </w:r>
      <w:r>
        <w:rPr>
          <w:rFonts w:ascii="宋体" w:hAnsi="宋体" w:cs="宋体" w:eastAsia="宋体" w:hint="default"/>
        </w:rPr>
        <w:t>10</w:t>
      </w:r>
      <w:r>
        <w:rPr>
          <w:rFonts w:ascii="宋体" w:hAnsi="宋体" w:cs="宋体" w:eastAsia="宋体" w:hint="default"/>
          <w:spacing w:val="-54"/>
        </w:rPr>
        <w:t> </w:t>
      </w:r>
      <w:r>
        <w:rPr/>
        <w:t>号——上市公司从事医疗器械业务》的 披露要求：否</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营业收入整体情况</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1705"/>
        <w:gridCol w:w="1488"/>
        <w:gridCol w:w="1592"/>
        <w:gridCol w:w="1596"/>
        <w:gridCol w:w="1589"/>
        <w:gridCol w:w="1597"/>
      </w:tblGrid>
      <w:tr>
        <w:trPr>
          <w:trHeight w:val="219" w:hRule="exact"/>
        </w:trPr>
        <w:tc>
          <w:tcPr>
            <w:tcW w:w="170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08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5"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7"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705" w:type="dxa"/>
            <w:vMerge w:val="restart"/>
            <w:tcBorders>
              <w:top w:val="nil" w:sz="6" w:space="0" w:color="auto"/>
              <w:left w:val="single" w:sz="12" w:space="0" w:color="000000"/>
              <w:right w:val="single" w:sz="6" w:space="0" w:color="000000"/>
            </w:tcBorders>
            <w:shd w:val="clear" w:color="auto" w:fill="D2D2D2"/>
          </w:tcPr>
          <w:p>
            <w:pPr/>
          </w:p>
        </w:tc>
        <w:tc>
          <w:tcPr>
            <w:tcW w:w="3081" w:type="dxa"/>
            <w:gridSpan w:val="2"/>
            <w:vMerge/>
            <w:tcBorders>
              <w:left w:val="single" w:sz="6" w:space="0" w:color="000000"/>
              <w:bottom w:val="single" w:sz="6" w:space="0" w:color="000000"/>
              <w:right w:val="single" w:sz="6" w:space="0" w:color="000000"/>
            </w:tcBorders>
            <w:shd w:val="clear" w:color="auto" w:fill="D2D2D2"/>
          </w:tcPr>
          <w:p>
            <w:pPr/>
          </w:p>
        </w:tc>
        <w:tc>
          <w:tcPr>
            <w:tcW w:w="3185" w:type="dxa"/>
            <w:gridSpan w:val="2"/>
            <w:vMerge/>
            <w:tcBorders>
              <w:left w:val="single" w:sz="6" w:space="0" w:color="000000"/>
              <w:bottom w:val="single" w:sz="6" w:space="0" w:color="000000"/>
              <w:right w:val="single" w:sz="6" w:space="0" w:color="000000"/>
            </w:tcBorders>
            <w:shd w:val="clear" w:color="auto" w:fill="D2D2D2"/>
          </w:tcPr>
          <w:p>
            <w:pPr/>
          </w:p>
        </w:tc>
        <w:tc>
          <w:tcPr>
            <w:tcW w:w="159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5" w:hRule="exact"/>
        </w:trPr>
        <w:tc>
          <w:tcPr>
            <w:tcW w:w="1705" w:type="dxa"/>
            <w:vMerge/>
            <w:tcBorders>
              <w:left w:val="single" w:sz="12" w:space="0" w:color="000000"/>
              <w:bottom w:val="nil" w:sz="6" w:space="0" w:color="auto"/>
              <w:right w:val="single" w:sz="6" w:space="0" w:color="000000"/>
            </w:tcBorders>
            <w:shd w:val="clear" w:color="auto" w:fill="D2D2D2"/>
          </w:tcPr>
          <w:p>
            <w:pPr/>
          </w:p>
        </w:tc>
        <w:tc>
          <w:tcPr>
            <w:tcW w:w="14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70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88"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89" w:type="dxa"/>
            <w:vMerge/>
            <w:tcBorders>
              <w:left w:val="single" w:sz="6" w:space="0" w:color="000000"/>
              <w:bottom w:val="single" w:sz="6" w:space="0" w:color="000000"/>
              <w:right w:val="single" w:sz="6" w:space="0" w:color="000000"/>
            </w:tcBorders>
            <w:shd w:val="clear" w:color="auto" w:fill="D2D2D2"/>
          </w:tcPr>
          <w:p>
            <w:pPr/>
          </w:p>
        </w:tc>
        <w:tc>
          <w:tcPr>
            <w:tcW w:w="1597"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4" w:hRule="exact"/>
        </w:trPr>
        <w:tc>
          <w:tcPr>
            <w:tcW w:w="170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88" w:type="dxa"/>
            <w:tcBorders>
              <w:top w:val="single" w:sz="6" w:space="0" w:color="000000"/>
              <w:left w:val="single" w:sz="9" w:space="0" w:color="D2D2D2"/>
              <w:bottom w:val="single" w:sz="6" w:space="0" w:color="000000"/>
              <w:right w:val="single" w:sz="14"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540,224,208.56</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596" w:type="dxa"/>
            <w:tcBorders>
              <w:top w:val="single" w:sz="6" w:space="0" w:color="000000"/>
              <w:left w:val="single" w:sz="14" w:space="0" w:color="D2D2D2"/>
              <w:bottom w:val="single" w:sz="6" w:space="0" w:color="000000"/>
              <w:right w:val="single" w:sz="14"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814,298,079.17</w:t>
            </w:r>
          </w:p>
        </w:tc>
        <w:tc>
          <w:tcPr>
            <w:tcW w:w="15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5"/>
              <w:jc w:val="right"/>
              <w:rPr>
                <w:rFonts w:ascii="宋体" w:hAnsi="宋体" w:cs="宋体" w:eastAsia="宋体" w:hint="default"/>
                <w:sz w:val="18"/>
                <w:szCs w:val="18"/>
              </w:rPr>
            </w:pPr>
            <w:r>
              <w:rPr>
                <w:rFonts w:ascii="宋体"/>
                <w:sz w:val="18"/>
              </w:rPr>
              <w:t>100%</w:t>
            </w:r>
          </w:p>
        </w:tc>
        <w:tc>
          <w:tcPr>
            <w:tcW w:w="1597"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-33.66%</w:t>
            </w:r>
          </w:p>
        </w:tc>
      </w:tr>
      <w:tr>
        <w:trPr>
          <w:trHeight w:val="400"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295"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528,723,540.39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97.87%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809,669,011.99</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99.43%</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-34.70%</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618,323.65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0.08%</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08"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29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11,500,668.17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4,010,743.53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0.49%</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186.75%</w:t>
            </w:r>
          </w:p>
        </w:tc>
      </w:tr>
      <w:tr>
        <w:trPr>
          <w:trHeight w:val="407"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低压集抄系统</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121,626,871.10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22.51%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160,764,643.10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19.74%</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-24.34%</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20,470.09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205,940.18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0.03%</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-90.06%</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295"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53,303,813.66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9.87%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45,222,871.73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5.55%</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17.87%</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sz w:val="18"/>
                <w:szCs w:val="18"/>
              </w:rPr>
              <w:t>配电终端</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13,833,680.68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16,856,083.01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2.07%</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-17.93%</w:t>
            </w:r>
          </w:p>
        </w:tc>
      </w:tr>
      <w:tr>
        <w:trPr>
          <w:trHeight w:val="408"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电力设计及工程收入</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12,057,591.27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35,934,671.89</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4.41%</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-66.45%</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电能计量表箱</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220,393,390.01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40.80%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367,832,591.52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45.17%</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-40.08%</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高低压成套</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75,137,785.44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13.91%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119,713,718.20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14.70%</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-37.24%</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改性材料</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857,264.99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11,144,948.80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1.37%</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-92.31%</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31,492,673.15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5.83%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52,611,867.21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6.46%</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-40.14%</w:t>
            </w:r>
          </w:p>
        </w:tc>
      </w:tr>
      <w:tr>
        <w:trPr>
          <w:trHeight w:val="415"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29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11,500,668.17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4,010,743.53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0.49%</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186.75%</w:t>
            </w:r>
          </w:p>
        </w:tc>
      </w:tr>
      <w:tr>
        <w:trPr>
          <w:trHeight w:val="400" w:hRule="exact"/>
        </w:trPr>
        <w:tc>
          <w:tcPr>
            <w:tcW w:w="9568"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227,832,963.06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42.17%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423,013,670.27</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51.95%</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-46.14%</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45,552,144.27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31,000,995.55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3.81%</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46.94%</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138,618,192.05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25.66%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192,422,360.67</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23.63%</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-27.96%</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91,905,675.75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17.01%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135,695,718.40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16.66%</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-32.27%</w:t>
            </w:r>
          </w:p>
        </w:tc>
      </w:tr>
      <w:tr>
        <w:trPr>
          <w:trHeight w:val="407"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10,967,613.94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18,778,372.64</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2.31%</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-41.59%</w:t>
            </w:r>
          </w:p>
        </w:tc>
      </w:tr>
      <w:tr>
        <w:trPr>
          <w:trHeight w:val="408" w:hRule="exact"/>
        </w:trPr>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124,529.89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1,449,658.29</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0.18%</w:t>
            </w:r>
          </w:p>
        </w:tc>
        <w:tc>
          <w:tcPr>
            <w:tcW w:w="15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-91.41%</w:t>
            </w:r>
          </w:p>
        </w:tc>
      </w:tr>
      <w:tr>
        <w:trPr>
          <w:trHeight w:val="415" w:hRule="exact"/>
        </w:trPr>
        <w:tc>
          <w:tcPr>
            <w:tcW w:w="170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25,223,089.60</w:t>
            </w:r>
          </w:p>
        </w:tc>
        <w:tc>
          <w:tcPr>
            <w:tcW w:w="15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4.67%</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11,937,303.35</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1.47%</w:t>
            </w:r>
          </w:p>
        </w:tc>
        <w:tc>
          <w:tcPr>
            <w:tcW w:w="15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111.30%</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4" w:right="6762"/>
        <w:jc w:val="left"/>
      </w:pPr>
      <w:r>
        <w:rPr/>
        <w:t>√ 适用 □</w:t>
      </w:r>
      <w:r>
        <w:rPr>
          <w:spacing w:val="-1"/>
        </w:rPr>
        <w:t> </w:t>
      </w:r>
      <w:r>
        <w:rPr/>
        <w:t>不适用</w:t>
      </w:r>
      <w:r>
        <w:rPr/>
        <w:t> 公司是否需要遵守特殊行业的披露要求：否</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368"/>
        <w:gridCol w:w="1367"/>
        <w:gridCol w:w="1366"/>
        <w:gridCol w:w="1367"/>
        <w:gridCol w:w="1367"/>
        <w:gridCol w:w="1367"/>
        <w:gridCol w:w="1371"/>
      </w:tblGrid>
      <w:tr>
        <w:trPr>
          <w:trHeight w:val="727"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15" w:right="44"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17" w:right="45"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409" w:right="37"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7"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528,723,540.39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370,505,117.93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-33.91%</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-0.83%</w:t>
            </w:r>
          </w:p>
        </w:tc>
      </w:tr>
      <w:tr>
        <w:trPr>
          <w:trHeight w:val="407"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低压集抄系统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121,626,871.10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86,138,297.90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29.18%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-25.43%</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1.03%</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电能计量表箱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220,393,390.01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166,049,573.72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-38.75%</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-1.64%</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高低压成套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75,137,785.44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46,522,555.89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-36.80%</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-0.43%</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专变采集终端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53,303,813.66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41,360,099.35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22.41%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11.24%</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4.62%</w:t>
            </w:r>
          </w:p>
        </w:tc>
      </w:tr>
      <w:tr>
        <w:trPr>
          <w:trHeight w:val="407"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216,332,294.89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137,984,453.63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-49.09%</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0.90%</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45,552,144.27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34,554,307.93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46.94%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54.35%</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-3.64%</w:t>
            </w:r>
          </w:p>
        </w:tc>
      </w:tr>
      <w:tr>
        <w:trPr>
          <w:trHeight w:val="407"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138,618,192.05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91,721,684.22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-28.07%</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0.10%</w:t>
            </w:r>
          </w:p>
        </w:tc>
      </w:tr>
      <w:tr>
        <w:trPr>
          <w:trHeight w:val="416"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91,905,675.75</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78,259,803.45</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14.85%</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-32.27%</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-32.43%</w:t>
            </w:r>
          </w:p>
        </w:tc>
        <w:tc>
          <w:tcPr>
            <w:tcW w:w="13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0.20%</w:t>
            </w:r>
          </w:p>
        </w:tc>
      </w:tr>
    </w:tbl>
    <w:p>
      <w:pPr>
        <w:pStyle w:val="BodyText"/>
        <w:spacing w:line="408" w:lineRule="auto" w:before="63"/>
        <w:ind w:left="1134" w:right="1114"/>
        <w:jc w:val="left"/>
      </w:pPr>
      <w:r>
        <w:rPr/>
        <w:t>公司主营业务数据统计口径在报告期发生调整的情况下，公司最近</w:t>
      </w:r>
      <w:r>
        <w:rPr>
          <w:spacing w:val="-63"/>
        </w:rPr>
        <w:t> </w:t>
      </w:r>
      <w:r>
        <w:rPr>
          <w:rFonts w:ascii="宋体" w:hAnsi="宋体" w:cs="宋体" w:eastAsia="宋体" w:hint="default"/>
        </w:rPr>
        <w:t>1</w:t>
      </w:r>
      <w:r>
        <w:rPr>
          <w:rFonts w:ascii="宋体" w:hAnsi="宋体" w:cs="宋体" w:eastAsia="宋体" w:hint="default"/>
          <w:spacing w:val="-64"/>
        </w:rPr>
        <w:t> </w:t>
      </w:r>
      <w:r>
        <w:rPr/>
        <w:t>年按报告期末口径调整后的主营业务 数据</w:t>
      </w:r>
    </w:p>
    <w:p>
      <w:pPr>
        <w:pStyle w:val="BodyText"/>
        <w:spacing w:line="240" w:lineRule="auto"/>
        <w:ind w:left="1134" w:right="1121"/>
        <w:jc w:val="left"/>
      </w:pPr>
      <w:r>
        <w:rPr/>
        <w:t>□ 适用 √</w:t>
      </w:r>
      <w:r>
        <w:rPr>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121"/>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是 □ 否</w:t>
      </w:r>
    </w:p>
    <w:p>
      <w:pPr>
        <w:spacing w:line="240" w:lineRule="auto" w:before="7"/>
        <w:rPr>
          <w:rFonts w:ascii="宋体" w:hAnsi="宋体" w:cs="宋体" w:eastAsia="宋体" w:hint="default"/>
          <w:sz w:val="11"/>
          <w:szCs w:val="11"/>
        </w:rPr>
      </w:pPr>
    </w:p>
    <w:tbl>
      <w:tblPr>
        <w:tblW w:w="0" w:type="auto"/>
        <w:jc w:val="left"/>
        <w:tblInd w:w="1118"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369" w:hRule="exact"/>
        </w:trPr>
        <w:tc>
          <w:tcPr>
            <w:tcW w:w="159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9"/>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49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49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41" w:hRule="exact"/>
        </w:trPr>
        <w:tc>
          <w:tcPr>
            <w:tcW w:w="1597" w:type="dxa"/>
            <w:vMerge w:val="restart"/>
            <w:tcBorders>
              <w:top w:val="single" w:sz="23" w:space="0" w:color="D2D2D2"/>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电能计量箱</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23" w:space="0" w:color="D2D2D2"/>
              <w:left w:val="single" w:sz="9" w:space="0" w:color="D2D2D2"/>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1,034,830</w:t>
            </w:r>
          </w:p>
        </w:tc>
        <w:tc>
          <w:tcPr>
            <w:tcW w:w="1594"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2,091,570</w:t>
            </w:r>
          </w:p>
        </w:tc>
        <w:tc>
          <w:tcPr>
            <w:tcW w:w="1594"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-50.52%</w:t>
            </w:r>
          </w:p>
        </w:tc>
      </w:tr>
      <w:tr>
        <w:trPr>
          <w:trHeight w:val="412" w:hRule="exact"/>
        </w:trPr>
        <w:tc>
          <w:tcPr>
            <w:tcW w:w="1597" w:type="dxa"/>
            <w:vMerge/>
            <w:tcBorders>
              <w:left w:val="single" w:sz="12" w:space="0" w:color="000000"/>
              <w:right w:val="single" w:sz="14" w:space="0" w:color="D2D2D2"/>
            </w:tcBorders>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1,024,860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2,088,092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-50.92%</w:t>
            </w:r>
          </w:p>
        </w:tc>
      </w:tr>
      <w:tr>
        <w:trPr>
          <w:trHeight w:val="412" w:hRule="exact"/>
        </w:trPr>
        <w:tc>
          <w:tcPr>
            <w:tcW w:w="1597" w:type="dxa"/>
            <w:vMerge/>
            <w:tcBorders>
              <w:left w:val="single" w:sz="12" w:space="0" w:color="000000"/>
              <w:bottom w:val="single" w:sz="6" w:space="0" w:color="000000"/>
              <w:right w:val="single" w:sz="14" w:space="0" w:color="D2D2D2"/>
            </w:tcBorders>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7,705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17,675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-56.41%</w:t>
            </w:r>
          </w:p>
        </w:tc>
      </w:tr>
      <w:tr>
        <w:trPr>
          <w:trHeight w:val="413" w:hRule="exact"/>
        </w:trPr>
        <w:tc>
          <w:tcPr>
            <w:tcW w:w="159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高低压成套</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9,349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13,413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-30.30%</w:t>
            </w:r>
          </w:p>
        </w:tc>
      </w:tr>
      <w:tr>
        <w:trPr>
          <w:trHeight w:val="412" w:hRule="exact"/>
        </w:trPr>
        <w:tc>
          <w:tcPr>
            <w:tcW w:w="1597" w:type="dxa"/>
            <w:vMerge/>
            <w:tcBorders>
              <w:left w:val="single" w:sz="12" w:space="0" w:color="000000"/>
              <w:right w:val="single" w:sz="14" w:space="0" w:color="D2D2D2"/>
            </w:tcBorders>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9,454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13,325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-29.05%</w:t>
            </w:r>
          </w:p>
        </w:tc>
      </w:tr>
      <w:tr>
        <w:trPr>
          <w:trHeight w:val="412" w:hRule="exact"/>
        </w:trPr>
        <w:tc>
          <w:tcPr>
            <w:tcW w:w="1597" w:type="dxa"/>
            <w:vMerge/>
            <w:tcBorders>
              <w:left w:val="single" w:sz="12" w:space="0" w:color="000000"/>
              <w:bottom w:val="single" w:sz="6" w:space="0" w:color="000000"/>
              <w:right w:val="single" w:sz="14" w:space="0" w:color="D2D2D2"/>
            </w:tcBorders>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122.09%</w:t>
            </w:r>
          </w:p>
        </w:tc>
      </w:tr>
      <w:tr>
        <w:trPr>
          <w:trHeight w:val="413" w:hRule="exact"/>
        </w:trPr>
        <w:tc>
          <w:tcPr>
            <w:tcW w:w="159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改性材料</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64,996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264,560</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-75.43%</w:t>
            </w:r>
          </w:p>
        </w:tc>
      </w:tr>
      <w:tr>
        <w:trPr>
          <w:trHeight w:val="412" w:hRule="exact"/>
        </w:trPr>
        <w:tc>
          <w:tcPr>
            <w:tcW w:w="1597" w:type="dxa"/>
            <w:vMerge/>
            <w:tcBorders>
              <w:left w:val="single" w:sz="12" w:space="0" w:color="000000"/>
              <w:right w:val="single" w:sz="14" w:space="0" w:color="D2D2D2"/>
            </w:tcBorders>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64,996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264,560</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-75.43%</w:t>
            </w:r>
          </w:p>
        </w:tc>
      </w:tr>
      <w:tr>
        <w:trPr>
          <w:trHeight w:val="412" w:hRule="exact"/>
        </w:trPr>
        <w:tc>
          <w:tcPr>
            <w:tcW w:w="1597" w:type="dxa"/>
            <w:vMerge/>
            <w:tcBorders>
              <w:left w:val="single" w:sz="12" w:space="0" w:color="000000"/>
              <w:bottom w:val="single" w:sz="6" w:space="0" w:color="000000"/>
              <w:right w:val="single" w:sz="14" w:space="0" w:color="D2D2D2"/>
            </w:tcBorders>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59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低压集抄终端</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559,889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328,132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70.63%</w:t>
            </w:r>
          </w:p>
        </w:tc>
      </w:tr>
      <w:tr>
        <w:trPr>
          <w:trHeight w:val="412" w:hRule="exact"/>
        </w:trPr>
        <w:tc>
          <w:tcPr>
            <w:tcW w:w="1597" w:type="dxa"/>
            <w:vMerge/>
            <w:tcBorders>
              <w:left w:val="single" w:sz="12" w:space="0" w:color="000000"/>
              <w:right w:val="single" w:sz="14" w:space="0" w:color="D2D2D2"/>
            </w:tcBorders>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565,207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220,519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156.31%</w:t>
            </w:r>
          </w:p>
        </w:tc>
      </w:tr>
      <w:tr>
        <w:trPr>
          <w:trHeight w:val="412" w:hRule="exact"/>
        </w:trPr>
        <w:tc>
          <w:tcPr>
            <w:tcW w:w="1597" w:type="dxa"/>
            <w:vMerge/>
            <w:tcBorders>
              <w:left w:val="single" w:sz="12" w:space="0" w:color="000000"/>
              <w:bottom w:val="single" w:sz="6" w:space="0" w:color="000000"/>
              <w:right w:val="single" w:sz="14" w:space="0" w:color="D2D2D2"/>
            </w:tcBorders>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17,099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11,781</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45.14%</w:t>
            </w:r>
          </w:p>
        </w:tc>
      </w:tr>
      <w:tr>
        <w:trPr>
          <w:trHeight w:val="421" w:hRule="exact"/>
        </w:trPr>
        <w:tc>
          <w:tcPr>
            <w:tcW w:w="1597" w:type="dxa"/>
            <w:tcBorders>
              <w:top w:val="single" w:sz="6" w:space="0" w:color="000000"/>
              <w:left w:val="single" w:sz="12" w:space="0" w:color="000000"/>
              <w:bottom w:val="single" w:sz="12" w:space="0" w:color="000000"/>
              <w:right w:val="single" w:sz="14" w:space="0" w:color="D2D2D2"/>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专变采集终端</w:t>
            </w:r>
          </w:p>
        </w:tc>
        <w:tc>
          <w:tcPr>
            <w:tcW w:w="15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82,652</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66,049</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25.14%</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19" w:hRule="exact"/>
        </w:trPr>
        <w:tc>
          <w:tcPr>
            <w:tcW w:w="1597" w:type="dxa"/>
            <w:vMerge w:val="restart"/>
            <w:tcBorders>
              <w:top w:val="single" w:sz="12" w:space="0" w:color="000000"/>
              <w:left w:val="single" w:sz="12" w:space="0" w:color="000000"/>
              <w:right w:val="single" w:sz="6" w:space="0" w:color="000000"/>
            </w:tcBorders>
          </w:tcPr>
          <w:p>
            <w:pPr/>
          </w:p>
        </w:tc>
        <w:tc>
          <w:tcPr>
            <w:tcW w:w="1594" w:type="dxa"/>
            <w:tcBorders>
              <w:top w:val="single" w:sz="12"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82,683</w:t>
            </w:r>
          </w:p>
        </w:tc>
        <w:tc>
          <w:tcPr>
            <w:tcW w:w="1594" w:type="dxa"/>
            <w:tcBorders>
              <w:top w:val="single" w:sz="12" w:space="0" w:color="000000"/>
              <w:left w:val="single" w:sz="6" w:space="0" w:color="000000"/>
              <w:bottom w:val="single" w:sz="6" w:space="0" w:color="FFFFFF"/>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65,287</w:t>
            </w:r>
          </w:p>
        </w:tc>
        <w:tc>
          <w:tcPr>
            <w:tcW w:w="1594" w:type="dxa"/>
            <w:tcBorders>
              <w:top w:val="single" w:sz="12" w:space="0" w:color="000000"/>
              <w:left w:val="single" w:sz="6" w:space="0" w:color="000000"/>
              <w:bottom w:val="single" w:sz="6" w:space="0" w:color="FFFFFF"/>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26.65%</w:t>
            </w:r>
          </w:p>
        </w:tc>
      </w:tr>
      <w:tr>
        <w:trPr>
          <w:trHeight w:val="412" w:hRule="exact"/>
        </w:trPr>
        <w:tc>
          <w:tcPr>
            <w:tcW w:w="1597" w:type="dxa"/>
            <w:vMerge/>
            <w:tcBorders>
              <w:left w:val="single" w:sz="12" w:space="0" w:color="000000"/>
              <w:bottom w:val="single" w:sz="6" w:space="0" w:color="000000"/>
              <w:right w:val="single" w:sz="6" w:space="0" w:color="000000"/>
            </w:tcBorders>
          </w:tcPr>
          <w:p>
            <w:pPr/>
          </w:p>
        </w:tc>
        <w:tc>
          <w:tcPr>
            <w:tcW w:w="1594"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1,159</w:t>
            </w:r>
          </w:p>
        </w:tc>
        <w:tc>
          <w:tcPr>
            <w:tcW w:w="1594"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1,128</w:t>
            </w:r>
          </w:p>
        </w:tc>
        <w:tc>
          <w:tcPr>
            <w:tcW w:w="1594" w:type="dxa"/>
            <w:tcBorders>
              <w:top w:val="single" w:sz="6" w:space="0" w:color="FFFFFF"/>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2.75%</w:t>
            </w:r>
          </w:p>
        </w:tc>
      </w:tr>
      <w:tr>
        <w:trPr>
          <w:trHeight w:val="413" w:hRule="exact"/>
        </w:trPr>
        <w:tc>
          <w:tcPr>
            <w:tcW w:w="1597"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594" w:type="dxa"/>
            <w:tcBorders>
              <w:top w:val="single" w:sz="6"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w:t>
            </w:r>
          </w:p>
        </w:tc>
        <w:tc>
          <w:tcPr>
            <w:tcW w:w="1594"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67</w:t>
            </w:r>
          </w:p>
        </w:tc>
        <w:tc>
          <w:tcPr>
            <w:tcW w:w="1594" w:type="dxa"/>
            <w:tcBorders>
              <w:top w:val="single" w:sz="6" w:space="0" w:color="000000"/>
              <w:left w:val="single" w:sz="6" w:space="0" w:color="000000"/>
              <w:bottom w:val="single" w:sz="6" w:space="0" w:color="FFFFFF"/>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-67.16%</w:t>
            </w:r>
          </w:p>
        </w:tc>
      </w:tr>
      <w:tr>
        <w:trPr>
          <w:trHeight w:val="412" w:hRule="exact"/>
        </w:trPr>
        <w:tc>
          <w:tcPr>
            <w:tcW w:w="1597" w:type="dxa"/>
            <w:vMerge/>
            <w:tcBorders>
              <w:left w:val="single" w:sz="12" w:space="0" w:color="000000"/>
              <w:right w:val="single" w:sz="6" w:space="0" w:color="000000"/>
            </w:tcBorders>
          </w:tcPr>
          <w:p>
            <w:pPr/>
          </w:p>
        </w:tc>
        <w:tc>
          <w:tcPr>
            <w:tcW w:w="1594" w:type="dxa"/>
            <w:tcBorders>
              <w:top w:val="single" w:sz="6" w:space="0" w:color="FFFFFF"/>
              <w:left w:val="single" w:sz="6" w:space="0" w:color="000000"/>
              <w:bottom w:val="single" w:sz="6" w:space="0" w:color="FFFFFF"/>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359</w:t>
            </w:r>
          </w:p>
        </w:tc>
        <w:tc>
          <w:tcPr>
            <w:tcW w:w="1594"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58</w:t>
            </w:r>
          </w:p>
        </w:tc>
        <w:tc>
          <w:tcPr>
            <w:tcW w:w="1594"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518.97%</w:t>
            </w:r>
          </w:p>
        </w:tc>
      </w:tr>
      <w:tr>
        <w:trPr>
          <w:trHeight w:val="412" w:hRule="exact"/>
        </w:trPr>
        <w:tc>
          <w:tcPr>
            <w:tcW w:w="1597" w:type="dxa"/>
            <w:vMerge/>
            <w:tcBorders>
              <w:left w:val="single" w:sz="12" w:space="0" w:color="000000"/>
              <w:bottom w:val="single" w:sz="6" w:space="0" w:color="000000"/>
              <w:right w:val="single" w:sz="6" w:space="0" w:color="000000"/>
            </w:tcBorders>
          </w:tcPr>
          <w:p>
            <w:pPr/>
          </w:p>
        </w:tc>
        <w:tc>
          <w:tcPr>
            <w:tcW w:w="1594"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719</w:t>
            </w:r>
          </w:p>
        </w:tc>
        <w:tc>
          <w:tcPr>
            <w:tcW w:w="1594"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382</w:t>
            </w:r>
          </w:p>
        </w:tc>
        <w:tc>
          <w:tcPr>
            <w:tcW w:w="1594" w:type="dxa"/>
            <w:tcBorders>
              <w:top w:val="single" w:sz="6" w:space="0" w:color="FFFFFF"/>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88.22%</w:t>
            </w:r>
          </w:p>
        </w:tc>
      </w:tr>
      <w:tr>
        <w:trPr>
          <w:trHeight w:val="413" w:hRule="exact"/>
        </w:trPr>
        <w:tc>
          <w:tcPr>
            <w:tcW w:w="1597"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配电终端</w:t>
            </w:r>
          </w:p>
        </w:tc>
        <w:tc>
          <w:tcPr>
            <w:tcW w:w="1594" w:type="dxa"/>
            <w:tcBorders>
              <w:top w:val="single" w:sz="6"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34,342</w:t>
            </w:r>
          </w:p>
        </w:tc>
        <w:tc>
          <w:tcPr>
            <w:tcW w:w="1594"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8,181</w:t>
            </w:r>
          </w:p>
        </w:tc>
        <w:tc>
          <w:tcPr>
            <w:tcW w:w="1594" w:type="dxa"/>
            <w:tcBorders>
              <w:top w:val="single" w:sz="6" w:space="0" w:color="000000"/>
              <w:left w:val="single" w:sz="6" w:space="0" w:color="000000"/>
              <w:bottom w:val="single" w:sz="6" w:space="0" w:color="FFFFFF"/>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319.78%</w:t>
            </w:r>
          </w:p>
        </w:tc>
      </w:tr>
      <w:tr>
        <w:trPr>
          <w:trHeight w:val="412" w:hRule="exact"/>
        </w:trPr>
        <w:tc>
          <w:tcPr>
            <w:tcW w:w="1597" w:type="dxa"/>
            <w:vMerge/>
            <w:tcBorders>
              <w:left w:val="single" w:sz="12" w:space="0" w:color="000000"/>
              <w:right w:val="single" w:sz="6" w:space="0" w:color="000000"/>
            </w:tcBorders>
          </w:tcPr>
          <w:p>
            <w:pPr/>
          </w:p>
        </w:tc>
        <w:tc>
          <w:tcPr>
            <w:tcW w:w="1594" w:type="dxa"/>
            <w:tcBorders>
              <w:top w:val="single" w:sz="6" w:space="0" w:color="FFFFFF"/>
              <w:left w:val="single" w:sz="6" w:space="0" w:color="000000"/>
              <w:bottom w:val="single" w:sz="6" w:space="0" w:color="FFFFFF"/>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34,742</w:t>
            </w:r>
          </w:p>
        </w:tc>
        <w:tc>
          <w:tcPr>
            <w:tcW w:w="1594" w:type="dxa"/>
            <w:tcBorders>
              <w:top w:val="single" w:sz="6" w:space="0" w:color="FFFFFF"/>
              <w:left w:val="single" w:sz="6" w:space="0" w:color="000000"/>
              <w:bottom w:val="single" w:sz="6" w:space="0" w:color="FFFFFF"/>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8,304</w:t>
            </w:r>
          </w:p>
        </w:tc>
        <w:tc>
          <w:tcPr>
            <w:tcW w:w="1594" w:type="dxa"/>
            <w:tcBorders>
              <w:top w:val="single" w:sz="6" w:space="0" w:color="FFFFFF"/>
              <w:left w:val="single" w:sz="6" w:space="0" w:color="000000"/>
              <w:bottom w:val="single" w:sz="6" w:space="0" w:color="FFFFFF"/>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318.38%</w:t>
            </w:r>
          </w:p>
        </w:tc>
      </w:tr>
      <w:tr>
        <w:trPr>
          <w:trHeight w:val="419" w:hRule="exact"/>
        </w:trPr>
        <w:tc>
          <w:tcPr>
            <w:tcW w:w="1597" w:type="dxa"/>
            <w:vMerge/>
            <w:tcBorders>
              <w:left w:val="single" w:sz="12" w:space="0" w:color="000000"/>
              <w:bottom w:val="single" w:sz="12" w:space="0" w:color="000000"/>
              <w:right w:val="single" w:sz="6" w:space="0" w:color="000000"/>
            </w:tcBorders>
          </w:tcPr>
          <w:p>
            <w:pPr/>
          </w:p>
        </w:tc>
        <w:tc>
          <w:tcPr>
            <w:tcW w:w="1594" w:type="dxa"/>
            <w:tcBorders>
              <w:top w:val="single" w:sz="6" w:space="0" w:color="FFFFFF"/>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523</w:t>
            </w:r>
          </w:p>
        </w:tc>
        <w:tc>
          <w:tcPr>
            <w:tcW w:w="1594" w:type="dxa"/>
            <w:tcBorders>
              <w:top w:val="single" w:sz="6" w:space="0" w:color="FFFFFF"/>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123</w:t>
            </w:r>
          </w:p>
        </w:tc>
        <w:tc>
          <w:tcPr>
            <w:tcW w:w="1594" w:type="dxa"/>
            <w:tcBorders>
              <w:top w:val="single" w:sz="6" w:space="0" w:color="FFFFFF"/>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325.20%</w:t>
            </w:r>
          </w:p>
        </w:tc>
      </w:tr>
    </w:tbl>
    <w:p>
      <w:pPr>
        <w:spacing w:line="240" w:lineRule="auto" w:before="1"/>
        <w:rPr>
          <w:rFonts w:ascii="宋体" w:hAnsi="宋体" w:cs="宋体" w:eastAsia="宋体" w:hint="default"/>
          <w:sz w:val="14"/>
          <w:szCs w:val="14"/>
        </w:rPr>
      </w:pPr>
    </w:p>
    <w:p>
      <w:pPr>
        <w:pStyle w:val="BodyText"/>
        <w:spacing w:line="240" w:lineRule="auto" w:before="35"/>
        <w:ind w:left="1134" w:right="1121"/>
        <w:jc w:val="left"/>
      </w:pPr>
      <w:r>
        <w:rPr/>
        <w:t>相关数据同比发生变动</w:t>
      </w:r>
      <w:r>
        <w:rPr>
          <w:spacing w:val="-54"/>
        </w:rPr>
        <w:t> </w:t>
      </w:r>
      <w:r>
        <w:rPr>
          <w:rFonts w:ascii="宋体" w:hAnsi="宋体" w:cs="宋体" w:eastAsia="宋体" w:hint="default"/>
        </w:rPr>
        <w:t>30%</w:t>
      </w:r>
      <w:r>
        <w:rPr/>
        <w:t>以上的原因说明</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①高低压成套</w:t>
      </w:r>
      <w:r>
        <w:rPr>
          <w:rFonts w:ascii="宋体" w:hAnsi="宋体" w:cs="宋体" w:eastAsia="宋体" w:hint="default"/>
        </w:rPr>
        <w:t>2017</w:t>
      </w:r>
      <w:r>
        <w:rPr/>
        <w:t>年产销同比大幅下降，主要是网省公司招标减少所致。。</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②改性材料</w:t>
      </w:r>
      <w:r>
        <w:rPr>
          <w:rFonts w:ascii="宋体" w:hAnsi="宋体" w:cs="宋体" w:eastAsia="宋体" w:hint="default"/>
        </w:rPr>
        <w:t>2017</w:t>
      </w:r>
      <w:r>
        <w:rPr/>
        <w:t>年产销同比下降，主要是客户需求减少所致。</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③电能计量箱</w:t>
      </w:r>
      <w:r>
        <w:rPr>
          <w:rFonts w:ascii="宋体" w:hAnsi="宋体" w:cs="宋体" w:eastAsia="宋体" w:hint="default"/>
        </w:rPr>
        <w:t>2017</w:t>
      </w:r>
      <w:r>
        <w:rPr/>
        <w:t>年产销同比下降，主要是客户需求减少所致。</w:t>
      </w:r>
    </w:p>
    <w:p>
      <w:pPr>
        <w:spacing w:line="240" w:lineRule="auto" w:before="9"/>
        <w:rPr>
          <w:rFonts w:ascii="宋体" w:hAnsi="宋体" w:cs="宋体" w:eastAsia="宋体" w:hint="default"/>
          <w:sz w:val="26"/>
          <w:szCs w:val="26"/>
        </w:rPr>
      </w:pPr>
    </w:p>
    <w:p>
      <w:pPr>
        <w:pStyle w:val="Heading4"/>
        <w:spacing w:line="240" w:lineRule="auto"/>
        <w:ind w:left="1133" w:right="1121"/>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1557" w:right="0"/>
        <w:jc w:val="left"/>
      </w:pP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日，在国家电网公司</w:t>
      </w:r>
      <w:r>
        <w:rPr>
          <w:spacing w:val="-53"/>
        </w:rPr>
        <w:t> </w:t>
      </w:r>
      <w:r>
        <w:rPr>
          <w:rFonts w:ascii="宋体" w:hAnsi="宋体" w:cs="宋体" w:eastAsia="宋体" w:hint="default"/>
        </w:rPr>
        <w:t>2016</w:t>
      </w:r>
      <w:r>
        <w:rPr>
          <w:rFonts w:ascii="宋体" w:hAnsi="宋体" w:cs="宋体" w:eastAsia="宋体" w:hint="default"/>
          <w:spacing w:val="-54"/>
        </w:rPr>
        <w:t> </w:t>
      </w:r>
      <w:r>
        <w:rPr/>
        <w:t>年第三次电能表及用电信息采集设备招标采购（招标编号：</w:t>
      </w:r>
    </w:p>
    <w:p>
      <w:pPr>
        <w:spacing w:line="240" w:lineRule="auto" w:before="10"/>
        <w:rPr>
          <w:rFonts w:ascii="宋体" w:hAnsi="宋体" w:cs="宋体" w:eastAsia="宋体" w:hint="default"/>
          <w:sz w:val="14"/>
          <w:szCs w:val="14"/>
        </w:rPr>
      </w:pPr>
    </w:p>
    <w:p>
      <w:pPr>
        <w:pStyle w:val="BodyText"/>
        <w:spacing w:line="408" w:lineRule="auto" w:before="0"/>
        <w:ind w:right="1014"/>
        <w:jc w:val="left"/>
      </w:pPr>
      <w:r>
        <w:rPr>
          <w:rFonts w:ascii="宋体" w:hAnsi="宋体" w:cs="宋体" w:eastAsia="宋体" w:hint="default"/>
        </w:rPr>
        <w:t>0711-16OTL01122000</w:t>
      </w:r>
      <w:r>
        <w:rPr/>
        <w:t>）中，公司中标金额为</w:t>
      </w:r>
      <w:r>
        <w:rPr>
          <w:spacing w:val="-65"/>
        </w:rPr>
        <w:t> </w:t>
      </w:r>
      <w:r>
        <w:rPr>
          <w:rFonts w:ascii="宋体" w:hAnsi="宋体" w:cs="宋体" w:eastAsia="宋体" w:hint="default"/>
        </w:rPr>
        <w:t>9,691.49</w:t>
      </w:r>
      <w:r>
        <w:rPr>
          <w:rFonts w:ascii="宋体" w:hAnsi="宋体" w:cs="宋体" w:eastAsia="宋体" w:hint="default"/>
          <w:spacing w:val="-66"/>
        </w:rPr>
        <w:t> </w:t>
      </w:r>
      <w:r>
        <w:rPr/>
        <w:t>万元。截至报告期末，中标形成的订单正在执行中， 尚未执行完毕。</w:t>
      </w:r>
    </w:p>
    <w:p>
      <w:pPr>
        <w:pStyle w:val="BodyText"/>
        <w:spacing w:line="240" w:lineRule="auto"/>
        <w:ind w:left="1557" w:right="1121"/>
        <w:jc w:val="left"/>
      </w:pPr>
      <w:r>
        <w:rPr>
          <w:rFonts w:ascii="宋体" w:hAnsi="宋体" w:cs="宋体" w:eastAsia="宋体" w:hint="default"/>
          <w:spacing w:val="5"/>
        </w:rPr>
        <w:t>2017</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24</w:t>
      </w:r>
      <w:r>
        <w:rPr>
          <w:spacing w:val="5"/>
        </w:rPr>
        <w:t>日，在国家电网公司</w:t>
      </w:r>
      <w:r>
        <w:rPr>
          <w:rFonts w:ascii="宋体" w:hAnsi="宋体" w:cs="宋体" w:eastAsia="宋体" w:hint="default"/>
          <w:spacing w:val="5"/>
        </w:rPr>
        <w:t>2017</w:t>
      </w:r>
      <w:r>
        <w:rPr>
          <w:spacing w:val="5"/>
        </w:rPr>
        <w:t>年第一次电能表及用电信息采集设备招标采购（招标编号：</w:t>
      </w:r>
      <w:r>
        <w:rPr/>
      </w:r>
    </w:p>
    <w:p>
      <w:pPr>
        <w:spacing w:line="240" w:lineRule="auto" w:before="10"/>
        <w:rPr>
          <w:rFonts w:ascii="宋体" w:hAnsi="宋体" w:cs="宋体" w:eastAsia="宋体" w:hint="default"/>
          <w:sz w:val="14"/>
          <w:szCs w:val="14"/>
        </w:rPr>
      </w:pPr>
    </w:p>
    <w:p>
      <w:pPr>
        <w:pStyle w:val="BodyText"/>
        <w:spacing w:line="408" w:lineRule="auto" w:before="0"/>
        <w:ind w:left="1134" w:right="1092"/>
        <w:jc w:val="left"/>
      </w:pPr>
      <w:r>
        <w:rPr>
          <w:rFonts w:ascii="宋体" w:hAnsi="宋体" w:cs="宋体" w:eastAsia="宋体" w:hint="default"/>
        </w:rPr>
        <w:t>0711-17OTL03922000</w:t>
      </w:r>
      <w:r>
        <w:rPr/>
        <w:t>）中，公司中标金额为</w:t>
      </w:r>
      <w:r>
        <w:rPr>
          <w:rFonts w:ascii="宋体" w:hAnsi="宋体" w:cs="宋体" w:eastAsia="宋体" w:hint="default"/>
        </w:rPr>
        <w:t>9,292.00</w:t>
      </w:r>
      <w:r>
        <w:rPr/>
        <w:t>万元。截至报告期末，中标形成的订单正在执行中， 尚未执行完毕。</w:t>
      </w:r>
    </w:p>
    <w:p>
      <w:pPr>
        <w:pStyle w:val="BodyText"/>
        <w:spacing w:line="240" w:lineRule="auto"/>
        <w:ind w:left="1557" w:right="1121"/>
        <w:jc w:val="left"/>
      </w:pP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5</w:t>
      </w:r>
      <w:r>
        <w:rPr>
          <w:spacing w:val="5"/>
        </w:rPr>
        <w:t>日，在国家电网公司</w:t>
      </w:r>
      <w:r>
        <w:rPr>
          <w:rFonts w:ascii="宋体" w:hAnsi="宋体" w:cs="宋体" w:eastAsia="宋体" w:hint="default"/>
          <w:spacing w:val="5"/>
        </w:rPr>
        <w:t>2017</w:t>
      </w:r>
      <w:r>
        <w:rPr>
          <w:spacing w:val="5"/>
        </w:rPr>
        <w:t>年第二次电能表及用电信息采集设备招标采购（招标编号：</w:t>
      </w:r>
      <w:r>
        <w:rPr/>
      </w:r>
    </w:p>
    <w:p>
      <w:pPr>
        <w:spacing w:line="240" w:lineRule="auto" w:before="10"/>
        <w:rPr>
          <w:rFonts w:ascii="宋体" w:hAnsi="宋体" w:cs="宋体" w:eastAsia="宋体" w:hint="default"/>
          <w:sz w:val="14"/>
          <w:szCs w:val="14"/>
        </w:rPr>
      </w:pPr>
    </w:p>
    <w:p>
      <w:pPr>
        <w:pStyle w:val="BodyText"/>
        <w:spacing w:line="408" w:lineRule="auto" w:before="0"/>
        <w:ind w:left="1134" w:right="1121"/>
        <w:jc w:val="left"/>
      </w:pPr>
      <w:r>
        <w:rPr>
          <w:rFonts w:ascii="宋体" w:hAnsi="宋体" w:cs="宋体" w:eastAsia="宋体" w:hint="default"/>
        </w:rPr>
        <w:t>0711-17OTL04022000</w:t>
      </w:r>
      <w:r>
        <w:rPr/>
        <w:t>）中，公司中标金额为</w:t>
      </w:r>
      <w:r>
        <w:rPr>
          <w:rFonts w:ascii="宋体" w:hAnsi="宋体" w:cs="宋体" w:eastAsia="宋体" w:hint="default"/>
        </w:rPr>
        <w:t>3,121</w:t>
      </w:r>
      <w:r>
        <w:rPr/>
        <w:t>万元。截至报告期末，中标形成的订单正在执行中，尚</w:t>
      </w:r>
      <w:r>
        <w:rPr>
          <w:spacing w:val="-35"/>
        </w:rPr>
        <w:t> </w:t>
      </w:r>
      <w:r>
        <w:rPr/>
        <w:t>未执行完毕。</w:t>
      </w:r>
    </w:p>
    <w:p>
      <w:pPr>
        <w:spacing w:line="408" w:lineRule="auto" w:before="46"/>
        <w:ind w:left="1134" w:right="8960"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w w:val="99"/>
          <w:sz w:val="21"/>
          <w:szCs w:val="21"/>
        </w:rPr>
        <w:t> </w:t>
      </w:r>
      <w:r>
        <w:rPr>
          <w:rFonts w:ascii="宋体" w:hAnsi="宋体" w:cs="宋体" w:eastAsia="宋体" w:hint="default"/>
          <w:sz w:val="21"/>
          <w:szCs w:val="21"/>
        </w:rPr>
        <w:t>行业分类</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370"/>
        <w:gridCol w:w="1608"/>
        <w:gridCol w:w="1419"/>
        <w:gridCol w:w="1416"/>
        <w:gridCol w:w="1419"/>
        <w:gridCol w:w="1417"/>
        <w:gridCol w:w="923"/>
      </w:tblGrid>
      <w:tr>
        <w:trPr>
          <w:trHeight w:val="414" w:hRule="exact"/>
        </w:trPr>
        <w:tc>
          <w:tcPr>
            <w:tcW w:w="1370"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0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6"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23"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8" w:hRule="exact"/>
        </w:trPr>
        <w:tc>
          <w:tcPr>
            <w:tcW w:w="1370" w:type="dxa"/>
            <w:vMerge/>
            <w:tcBorders>
              <w:left w:val="single" w:sz="12" w:space="0" w:color="000000"/>
              <w:bottom w:val="single" w:sz="6" w:space="0" w:color="000000"/>
              <w:right w:val="single" w:sz="6" w:space="0" w:color="000000"/>
            </w:tcBorders>
            <w:shd w:val="clear" w:color="auto" w:fill="D2D2D2"/>
          </w:tcPr>
          <w:p>
            <w:pPr/>
          </w:p>
        </w:tc>
        <w:tc>
          <w:tcPr>
            <w:tcW w:w="1608" w:type="dxa"/>
            <w:vMerge/>
            <w:tcBorders>
              <w:left w:val="single" w:sz="6" w:space="0" w:color="000000"/>
              <w:bottom w:val="single" w:sz="6" w:space="0" w:color="000000"/>
              <w:right w:val="single" w:sz="6" w:space="0" w:color="000000"/>
            </w:tcBorders>
            <w:shd w:val="clear" w:color="auto" w:fill="D2D2D2"/>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6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3" w:type="dxa"/>
            <w:vMerge/>
            <w:tcBorders>
              <w:left w:val="single" w:sz="6" w:space="0" w:color="000000"/>
              <w:bottom w:val="single" w:sz="6" w:space="0" w:color="000000"/>
              <w:right w:val="single" w:sz="12" w:space="0" w:color="000000"/>
            </w:tcBorders>
            <w:shd w:val="clear" w:color="auto" w:fill="D2D2D2"/>
          </w:tcPr>
          <w:p>
            <w:pPr/>
          </w:p>
        </w:tc>
      </w:tr>
      <w:tr>
        <w:trPr>
          <w:trHeight w:val="415"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0" w:right="0"/>
              <w:jc w:val="center"/>
              <w:rPr>
                <w:rFonts w:ascii="宋体" w:hAnsi="宋体" w:cs="宋体" w:eastAsia="宋体" w:hint="default"/>
                <w:sz w:val="18"/>
                <w:szCs w:val="18"/>
              </w:rPr>
            </w:pPr>
            <w:r>
              <w:rPr>
                <w:rFonts w:ascii="宋体"/>
                <w:sz w:val="18"/>
              </w:rPr>
              <w:t>263,313,541.09</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69.69%</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429,036,496.38</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81.50%</w:t>
            </w:r>
          </w:p>
        </w:tc>
        <w:tc>
          <w:tcPr>
            <w:tcW w:w="9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57" w:right="0"/>
              <w:jc w:val="left"/>
              <w:rPr>
                <w:rFonts w:ascii="宋体" w:hAnsi="宋体" w:cs="宋体" w:eastAsia="宋体" w:hint="default"/>
                <w:sz w:val="18"/>
                <w:szCs w:val="18"/>
              </w:rPr>
            </w:pPr>
            <w:r>
              <w:rPr>
                <w:rFonts w:ascii="宋体"/>
                <w:sz w:val="18"/>
              </w:rPr>
              <w:t>-11.81%</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370"/>
        <w:gridCol w:w="1608"/>
        <w:gridCol w:w="1419"/>
        <w:gridCol w:w="1416"/>
        <w:gridCol w:w="1419"/>
        <w:gridCol w:w="1417"/>
        <w:gridCol w:w="923"/>
      </w:tblGrid>
      <w:tr>
        <w:trPr>
          <w:trHeight w:val="415" w:hRule="exact"/>
        </w:trPr>
        <w:tc>
          <w:tcPr>
            <w:tcW w:w="1370"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0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6"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23"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370" w:type="dxa"/>
            <w:vMerge/>
            <w:tcBorders>
              <w:left w:val="single" w:sz="12" w:space="0" w:color="000000"/>
              <w:bottom w:val="single" w:sz="6" w:space="0" w:color="000000"/>
              <w:right w:val="single" w:sz="6" w:space="0" w:color="000000"/>
            </w:tcBorders>
            <w:shd w:val="clear" w:color="auto" w:fill="D2D2D2"/>
          </w:tcPr>
          <w:p>
            <w:pPr/>
          </w:p>
        </w:tc>
        <w:tc>
          <w:tcPr>
            <w:tcW w:w="1608" w:type="dxa"/>
            <w:vMerge/>
            <w:tcBorders>
              <w:left w:val="single" w:sz="6" w:space="0" w:color="000000"/>
              <w:bottom w:val="single" w:sz="6" w:space="0" w:color="000000"/>
              <w:right w:val="single" w:sz="6" w:space="0" w:color="000000"/>
            </w:tcBorders>
            <w:shd w:val="clear" w:color="auto" w:fill="D2D2D2"/>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14,029,023.59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2" w:right="0"/>
              <w:jc w:val="center"/>
              <w:rPr>
                <w:rFonts w:ascii="宋体" w:hAnsi="宋体" w:cs="宋体" w:eastAsia="宋体" w:hint="default"/>
                <w:sz w:val="18"/>
                <w:szCs w:val="18"/>
              </w:rPr>
            </w:pPr>
            <w:r>
              <w:rPr>
                <w:rFonts w:ascii="宋体"/>
                <w:sz w:val="18"/>
              </w:rPr>
              <w:t>23,844,328.69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4.53%</w:t>
            </w:r>
          </w:p>
        </w:tc>
        <w:tc>
          <w:tcPr>
            <w:tcW w:w="9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-0.82%</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28,326,594.77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92" w:right="0"/>
              <w:jc w:val="center"/>
              <w:rPr>
                <w:rFonts w:ascii="宋体" w:hAnsi="宋体" w:cs="宋体" w:eastAsia="宋体" w:hint="default"/>
                <w:sz w:val="18"/>
                <w:szCs w:val="18"/>
              </w:rPr>
            </w:pPr>
            <w:r>
              <w:rPr>
                <w:rFonts w:ascii="宋体"/>
                <w:sz w:val="18"/>
              </w:rPr>
              <w:t>26,888,781.61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5.11%</w:t>
            </w:r>
          </w:p>
        </w:tc>
        <w:tc>
          <w:tcPr>
            <w:tcW w:w="9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2.39%</w:t>
            </w:r>
          </w:p>
        </w:tc>
      </w:tr>
      <w:tr>
        <w:trPr>
          <w:trHeight w:val="415"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自制商品成本合计</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305,669,159.45</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80.90%</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18"/>
                <w:szCs w:val="18"/>
              </w:rPr>
            </w:pPr>
            <w:r>
              <w:rPr>
                <w:rFonts w:ascii="宋体"/>
                <w:sz w:val="18"/>
              </w:rPr>
              <w:t>479,769,606.68</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91.13%</w:t>
            </w:r>
          </w:p>
        </w:tc>
        <w:tc>
          <w:tcPr>
            <w:tcW w:w="9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-10.23%</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4" w:right="6552"/>
        <w:jc w:val="left"/>
      </w:pPr>
      <w:r>
        <w:rPr/>
        <w:t>√ 是 □ 否 本年度将本公司增资的光一数道纳入合并范围</w:t>
      </w:r>
    </w:p>
    <w:p>
      <w:pPr>
        <w:spacing w:line="240" w:lineRule="auto" w:before="6"/>
        <w:rPr>
          <w:rFonts w:ascii="宋体" w:hAnsi="宋体" w:cs="宋体" w:eastAsia="宋体" w:hint="default"/>
          <w:sz w:val="15"/>
          <w:szCs w:val="15"/>
        </w:rPr>
      </w:pPr>
    </w:p>
    <w:p>
      <w:pPr>
        <w:pStyle w:val="Heading4"/>
        <w:spacing w:line="240" w:lineRule="auto"/>
        <w:ind w:right="1121"/>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9"/>
        <w:rPr>
          <w:rFonts w:ascii="宋体" w:hAnsi="宋体" w:cs="宋体" w:eastAsia="宋体" w:hint="default"/>
          <w:sz w:val="26"/>
          <w:szCs w:val="26"/>
        </w:rPr>
      </w:pPr>
    </w:p>
    <w:p>
      <w:pPr>
        <w:spacing w:line="408" w:lineRule="auto" w:before="0"/>
        <w:ind w:left="1134" w:right="7273"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4386"/>
        <w:gridCol w:w="5183"/>
      </w:tblGrid>
      <w:tr>
        <w:trPr>
          <w:trHeight w:val="415" w:hRule="exact"/>
        </w:trPr>
        <w:tc>
          <w:tcPr>
            <w:tcW w:w="43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w:t>
            </w:r>
          </w:p>
        </w:tc>
        <w:tc>
          <w:tcPr>
            <w:tcW w:w="5183"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140,665,142.58</w:t>
            </w:r>
          </w:p>
        </w:tc>
      </w:tr>
      <w:tr>
        <w:trPr>
          <w:trHeight w:val="407" w:hRule="exact"/>
        </w:trPr>
        <w:tc>
          <w:tcPr>
            <w:tcW w:w="43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8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26.60%</w:t>
            </w:r>
          </w:p>
        </w:tc>
      </w:tr>
      <w:tr>
        <w:trPr>
          <w:trHeight w:val="414" w:hRule="exact"/>
        </w:trPr>
        <w:tc>
          <w:tcPr>
            <w:tcW w:w="43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83"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747" w:footer="1000" w:top="1040" w:bottom="1180" w:left="0" w:right="0"/>
        </w:sectPr>
      </w:pPr>
    </w:p>
    <w:p>
      <w:pPr>
        <w:pStyle w:val="BodyText"/>
        <w:spacing w:line="240" w:lineRule="auto" w:before="35"/>
        <w:ind w:left="1134" w:right="-19"/>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大客户资料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115" w:right="1210"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025" w:space="5796"/>
            <w:col w:w="3089"/>
          </w:cols>
        </w:sectPr>
      </w:pPr>
    </w:p>
    <w:p>
      <w:pPr>
        <w:spacing w:line="240" w:lineRule="auto" w:before="6"/>
        <w:rPr>
          <w:rFonts w:ascii="宋体" w:hAnsi="宋体" w:cs="宋体" w:eastAsia="宋体" w:hint="default"/>
          <w:sz w:val="9"/>
          <w:szCs w:val="9"/>
        </w:rPr>
      </w:pPr>
    </w:p>
    <w:tbl>
      <w:tblPr>
        <w:tblW w:w="0" w:type="auto"/>
        <w:jc w:val="left"/>
        <w:tblInd w:w="1179" w:type="dxa"/>
        <w:tblLayout w:type="fixed"/>
        <w:tblCellMar>
          <w:top w:w="0" w:type="dxa"/>
          <w:left w:w="0" w:type="dxa"/>
          <w:bottom w:w="0" w:type="dxa"/>
          <w:right w:w="0" w:type="dxa"/>
        </w:tblCellMar>
        <w:tblLook w:val="01E0"/>
      </w:tblPr>
      <w:tblGrid>
        <w:gridCol w:w="915"/>
        <w:gridCol w:w="3420"/>
        <w:gridCol w:w="2693"/>
        <w:gridCol w:w="2488"/>
      </w:tblGrid>
      <w:tr>
        <w:trPr>
          <w:trHeight w:val="452" w:hRule="exact"/>
        </w:trPr>
        <w:tc>
          <w:tcPr>
            <w:tcW w:w="9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0"/>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34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销售额</w:t>
            </w:r>
          </w:p>
        </w:tc>
        <w:tc>
          <w:tcPr>
            <w:tcW w:w="24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0"/>
              <w:ind w:left="42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501" w:hRule="exact"/>
        </w:trPr>
        <w:tc>
          <w:tcPr>
            <w:tcW w:w="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8"/>
              <w:ind w:right="6"/>
              <w:jc w:val="center"/>
              <w:rPr>
                <w:rFonts w:ascii="宋体" w:hAnsi="宋体" w:cs="宋体" w:eastAsia="宋体" w:hint="default"/>
                <w:sz w:val="18"/>
                <w:szCs w:val="18"/>
              </w:rPr>
            </w:pPr>
            <w:r>
              <w:rPr>
                <w:rFonts w:ascii="宋体"/>
                <w:sz w:val="18"/>
              </w:rPr>
              <w:t>1</w:t>
            </w:r>
          </w:p>
        </w:tc>
        <w:tc>
          <w:tcPr>
            <w:tcW w:w="3420" w:type="dxa"/>
            <w:tcBorders>
              <w:top w:val="single" w:sz="21" w:space="0" w:color="D2D2D2"/>
              <w:left w:val="single" w:sz="14" w:space="0" w:color="D2D2D2"/>
              <w:bottom w:val="single" w:sz="6"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693" w:type="dxa"/>
            <w:tcBorders>
              <w:top w:val="single" w:sz="21" w:space="0" w:color="D2D2D2"/>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42,969,521.00</w:t>
            </w:r>
          </w:p>
        </w:tc>
        <w:tc>
          <w:tcPr>
            <w:tcW w:w="2488" w:type="dxa"/>
            <w:tcBorders>
              <w:top w:val="single" w:sz="21" w:space="0" w:color="D2D2D2"/>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8.13%</w:t>
            </w:r>
          </w:p>
        </w:tc>
      </w:tr>
      <w:tr>
        <w:trPr>
          <w:trHeight w:val="481" w:hRule="exact"/>
        </w:trPr>
        <w:tc>
          <w:tcPr>
            <w:tcW w:w="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9"/>
              <w:ind w:right="6"/>
              <w:jc w:val="center"/>
              <w:rPr>
                <w:rFonts w:ascii="宋体" w:hAnsi="宋体" w:cs="宋体" w:eastAsia="宋体" w:hint="default"/>
                <w:sz w:val="18"/>
                <w:szCs w:val="18"/>
              </w:rPr>
            </w:pPr>
            <w:r>
              <w:rPr>
                <w:rFonts w:ascii="宋体"/>
                <w:sz w:val="18"/>
              </w:rPr>
              <w:t>2</w:t>
            </w:r>
          </w:p>
        </w:tc>
        <w:tc>
          <w:tcPr>
            <w:tcW w:w="342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32,062,610.20</w:t>
            </w:r>
          </w:p>
        </w:tc>
        <w:tc>
          <w:tcPr>
            <w:tcW w:w="24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6.06%</w:t>
            </w:r>
          </w:p>
        </w:tc>
      </w:tr>
      <w:tr>
        <w:trPr>
          <w:trHeight w:val="482" w:hRule="exact"/>
        </w:trPr>
        <w:tc>
          <w:tcPr>
            <w:tcW w:w="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9"/>
              <w:ind w:right="6"/>
              <w:jc w:val="center"/>
              <w:rPr>
                <w:rFonts w:ascii="宋体" w:hAnsi="宋体" w:cs="宋体" w:eastAsia="宋体" w:hint="default"/>
                <w:sz w:val="18"/>
                <w:szCs w:val="18"/>
              </w:rPr>
            </w:pPr>
            <w:r>
              <w:rPr>
                <w:rFonts w:ascii="宋体"/>
                <w:sz w:val="18"/>
              </w:rPr>
              <w:t>3</w:t>
            </w:r>
          </w:p>
        </w:tc>
        <w:tc>
          <w:tcPr>
            <w:tcW w:w="342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22,271,084.32</w:t>
            </w:r>
          </w:p>
        </w:tc>
        <w:tc>
          <w:tcPr>
            <w:tcW w:w="24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4.21%</w:t>
            </w:r>
          </w:p>
        </w:tc>
      </w:tr>
      <w:tr>
        <w:trPr>
          <w:trHeight w:val="482" w:hRule="exact"/>
        </w:trPr>
        <w:tc>
          <w:tcPr>
            <w:tcW w:w="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9"/>
              <w:ind w:right="6"/>
              <w:jc w:val="center"/>
              <w:rPr>
                <w:rFonts w:ascii="宋体" w:hAnsi="宋体" w:cs="宋体" w:eastAsia="宋体" w:hint="default"/>
                <w:sz w:val="18"/>
                <w:szCs w:val="18"/>
              </w:rPr>
            </w:pPr>
            <w:r>
              <w:rPr>
                <w:rFonts w:ascii="宋体"/>
                <w:sz w:val="18"/>
              </w:rPr>
              <w:t>4</w:t>
            </w:r>
          </w:p>
        </w:tc>
        <w:tc>
          <w:tcPr>
            <w:tcW w:w="342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22,051,282.11</w:t>
            </w:r>
          </w:p>
        </w:tc>
        <w:tc>
          <w:tcPr>
            <w:tcW w:w="24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4.17%</w:t>
            </w:r>
          </w:p>
        </w:tc>
      </w:tr>
      <w:tr>
        <w:trPr>
          <w:trHeight w:val="500" w:hRule="exact"/>
        </w:trPr>
        <w:tc>
          <w:tcPr>
            <w:tcW w:w="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9"/>
              <w:ind w:right="6"/>
              <w:jc w:val="center"/>
              <w:rPr>
                <w:rFonts w:ascii="宋体" w:hAnsi="宋体" w:cs="宋体" w:eastAsia="宋体" w:hint="default"/>
                <w:sz w:val="18"/>
                <w:szCs w:val="18"/>
              </w:rPr>
            </w:pPr>
            <w:r>
              <w:rPr>
                <w:rFonts w:ascii="宋体"/>
                <w:sz w:val="18"/>
              </w:rPr>
              <w:t>5</w:t>
            </w:r>
          </w:p>
        </w:tc>
        <w:tc>
          <w:tcPr>
            <w:tcW w:w="3420" w:type="dxa"/>
            <w:tcBorders>
              <w:top w:val="single" w:sz="6" w:space="0" w:color="000000"/>
              <w:left w:val="single" w:sz="14" w:space="0" w:color="D2D2D2"/>
              <w:bottom w:val="single" w:sz="15" w:space="0" w:color="D2D2D2"/>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8"/>
              <w:jc w:val="right"/>
              <w:rPr>
                <w:rFonts w:ascii="宋体" w:hAnsi="宋体" w:cs="宋体" w:eastAsia="宋体" w:hint="default"/>
                <w:sz w:val="18"/>
                <w:szCs w:val="18"/>
              </w:rPr>
            </w:pPr>
            <w:r>
              <w:rPr>
                <w:rFonts w:ascii="宋体"/>
                <w:sz w:val="18"/>
              </w:rPr>
              <w:t>21,310,644.95</w:t>
            </w:r>
          </w:p>
        </w:tc>
        <w:tc>
          <w:tcPr>
            <w:tcW w:w="24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4.03%</w:t>
            </w:r>
          </w:p>
        </w:tc>
      </w:tr>
      <w:tr>
        <w:trPr>
          <w:trHeight w:val="471" w:hRule="exact"/>
        </w:trPr>
        <w:tc>
          <w:tcPr>
            <w:tcW w:w="91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0"/>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342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sz w:val="18"/>
              </w:rPr>
              <w:t>--</w:t>
            </w:r>
          </w:p>
        </w:tc>
        <w:tc>
          <w:tcPr>
            <w:tcW w:w="269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70"/>
              <w:ind w:right="18"/>
              <w:jc w:val="right"/>
              <w:rPr>
                <w:rFonts w:ascii="宋体" w:hAnsi="宋体" w:cs="宋体" w:eastAsia="宋体" w:hint="default"/>
                <w:sz w:val="18"/>
                <w:szCs w:val="18"/>
              </w:rPr>
            </w:pPr>
            <w:r>
              <w:rPr>
                <w:rFonts w:ascii="宋体"/>
                <w:sz w:val="18"/>
              </w:rPr>
              <w:t>140,665,142.58</w:t>
            </w:r>
          </w:p>
        </w:tc>
        <w:tc>
          <w:tcPr>
            <w:tcW w:w="24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0"/>
              <w:ind w:right="11"/>
              <w:jc w:val="right"/>
              <w:rPr>
                <w:rFonts w:ascii="宋体" w:hAnsi="宋体" w:cs="宋体" w:eastAsia="宋体" w:hint="default"/>
                <w:sz w:val="18"/>
                <w:szCs w:val="18"/>
              </w:rPr>
            </w:pPr>
            <w:r>
              <w:rPr>
                <w:rFonts w:ascii="宋体"/>
                <w:sz w:val="18"/>
              </w:rPr>
              <w:t>26.60%</w:t>
            </w:r>
          </w:p>
        </w:tc>
      </w:tr>
    </w:tbl>
    <w:p>
      <w:pPr>
        <w:pStyle w:val="BodyText"/>
        <w:spacing w:line="240" w:lineRule="auto" w:before="63"/>
        <w:ind w:left="1134" w:right="1121"/>
        <w:jc w:val="left"/>
      </w:pPr>
      <w:r>
        <w:rPr/>
        <w:t>主要客户其他情况说明</w:t>
      </w:r>
    </w:p>
    <w:p>
      <w:pPr>
        <w:spacing w:line="240" w:lineRule="auto" w:before="10"/>
        <w:rPr>
          <w:rFonts w:ascii="宋体" w:hAnsi="宋体" w:cs="宋体" w:eastAsia="宋体" w:hint="default"/>
          <w:sz w:val="14"/>
          <w:szCs w:val="14"/>
        </w:rPr>
      </w:pPr>
    </w:p>
    <w:p>
      <w:pPr>
        <w:pStyle w:val="BodyText"/>
        <w:spacing w:line="408" w:lineRule="auto" w:before="0"/>
        <w:ind w:left="1134" w:right="8862"/>
        <w:jc w:val="left"/>
      </w:pPr>
      <w:r>
        <w:rPr/>
        <w:t>□ 适用 √</w:t>
      </w:r>
      <w:r>
        <w:rPr>
          <w:spacing w:val="-1"/>
        </w:rPr>
        <w:t> </w:t>
      </w:r>
      <w:r>
        <w:rPr/>
        <w:t>不适用</w:t>
      </w:r>
      <w:r>
        <w:rPr/>
        <w:t> 公司主要供应商情况</w:t>
      </w:r>
    </w:p>
    <w:p>
      <w:pPr>
        <w:spacing w:line="229" w:lineRule="exact" w:before="0"/>
        <w:ind w:left="0" w:right="1354"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after="0" w:line="229" w:lineRule="exact"/>
        <w:jc w:val="right"/>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4679"/>
        <w:gridCol w:w="4890"/>
      </w:tblGrid>
      <w:tr>
        <w:trPr>
          <w:trHeight w:val="415" w:hRule="exact"/>
        </w:trPr>
        <w:tc>
          <w:tcPr>
            <w:tcW w:w="46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w:t>
            </w:r>
          </w:p>
        </w:tc>
        <w:tc>
          <w:tcPr>
            <w:tcW w:w="489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129,399,211.18</w:t>
            </w:r>
          </w:p>
        </w:tc>
      </w:tr>
      <w:tr>
        <w:trPr>
          <w:trHeight w:val="407" w:hRule="exact"/>
        </w:trPr>
        <w:tc>
          <w:tcPr>
            <w:tcW w:w="46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38.64%</w:t>
            </w:r>
          </w:p>
        </w:tc>
      </w:tr>
      <w:tr>
        <w:trPr>
          <w:trHeight w:val="414" w:hRule="exact"/>
        </w:trPr>
        <w:tc>
          <w:tcPr>
            <w:tcW w:w="46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0.00%</w:t>
            </w:r>
          </w:p>
        </w:tc>
      </w:tr>
    </w:tbl>
    <w:p>
      <w:pPr>
        <w:spacing w:line="240" w:lineRule="auto" w:before="1"/>
        <w:rPr>
          <w:rFonts w:ascii="宋体" w:hAnsi="宋体" w:cs="宋体" w:eastAsia="宋体" w:hint="default"/>
          <w:sz w:val="14"/>
          <w:szCs w:val="14"/>
        </w:rPr>
      </w:pPr>
    </w:p>
    <w:p>
      <w:pPr>
        <w:pStyle w:val="BodyText"/>
        <w:spacing w:line="240" w:lineRule="auto" w:before="35"/>
        <w:ind w:left="1134" w:right="1121"/>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名供应商资料</w:t>
      </w:r>
    </w:p>
    <w:p>
      <w:pPr>
        <w:spacing w:line="240" w:lineRule="auto" w:before="6"/>
        <w:rPr>
          <w:rFonts w:ascii="宋体" w:hAnsi="宋体" w:cs="宋体" w:eastAsia="宋体" w:hint="default"/>
          <w:sz w:val="10"/>
          <w:szCs w:val="10"/>
        </w:rPr>
      </w:pPr>
    </w:p>
    <w:p>
      <w:pPr>
        <w:spacing w:before="44"/>
        <w:ind w:left="0" w:right="1398"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926"/>
        <w:gridCol w:w="2619"/>
        <w:gridCol w:w="3012"/>
        <w:gridCol w:w="3012"/>
      </w:tblGrid>
      <w:tr>
        <w:trPr>
          <w:trHeight w:val="413" w:hRule="exact"/>
        </w:trPr>
        <w:tc>
          <w:tcPr>
            <w:tcW w:w="92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6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0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采购额</w:t>
            </w:r>
          </w:p>
        </w:tc>
        <w:tc>
          <w:tcPr>
            <w:tcW w:w="301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7"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1</w:t>
            </w:r>
          </w:p>
        </w:tc>
        <w:tc>
          <w:tcPr>
            <w:tcW w:w="2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43,469,306.34</w:t>
            </w:r>
          </w:p>
        </w:tc>
        <w:tc>
          <w:tcPr>
            <w:tcW w:w="3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12.98%</w:t>
            </w:r>
          </w:p>
        </w:tc>
      </w:tr>
      <w:tr>
        <w:trPr>
          <w:trHeight w:val="408"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2</w:t>
            </w:r>
          </w:p>
        </w:tc>
        <w:tc>
          <w:tcPr>
            <w:tcW w:w="2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32,530,741.84</w:t>
            </w:r>
          </w:p>
        </w:tc>
        <w:tc>
          <w:tcPr>
            <w:tcW w:w="3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9.71%</w:t>
            </w:r>
          </w:p>
        </w:tc>
      </w:tr>
      <w:tr>
        <w:trPr>
          <w:trHeight w:val="407"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2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30,165,863.26</w:t>
            </w:r>
          </w:p>
        </w:tc>
        <w:tc>
          <w:tcPr>
            <w:tcW w:w="3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9.01%</w:t>
            </w:r>
          </w:p>
        </w:tc>
      </w:tr>
      <w:tr>
        <w:trPr>
          <w:trHeight w:val="407"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2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12,349,195.92</w:t>
            </w:r>
          </w:p>
        </w:tc>
        <w:tc>
          <w:tcPr>
            <w:tcW w:w="3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3.69%</w:t>
            </w:r>
          </w:p>
        </w:tc>
      </w:tr>
      <w:tr>
        <w:trPr>
          <w:trHeight w:val="407" w:hRule="exact"/>
        </w:trPr>
        <w:tc>
          <w:tcPr>
            <w:tcW w:w="9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26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10,884,103.82</w:t>
            </w:r>
          </w:p>
        </w:tc>
        <w:tc>
          <w:tcPr>
            <w:tcW w:w="30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3.25%</w:t>
            </w:r>
          </w:p>
        </w:tc>
      </w:tr>
      <w:tr>
        <w:trPr>
          <w:trHeight w:val="415" w:hRule="exact"/>
        </w:trPr>
        <w:tc>
          <w:tcPr>
            <w:tcW w:w="92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1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sz w:val="18"/>
              </w:rPr>
              <w:t>--</w:t>
            </w:r>
          </w:p>
        </w:tc>
        <w:tc>
          <w:tcPr>
            <w:tcW w:w="3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129,399,211.18</w:t>
            </w:r>
          </w:p>
        </w:tc>
        <w:tc>
          <w:tcPr>
            <w:tcW w:w="30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38.64%</w:t>
            </w:r>
          </w:p>
        </w:tc>
      </w:tr>
    </w:tbl>
    <w:p>
      <w:pPr>
        <w:spacing w:line="240" w:lineRule="auto" w:before="1"/>
        <w:rPr>
          <w:rFonts w:ascii="宋体" w:hAnsi="宋体" w:cs="宋体" w:eastAsia="宋体" w:hint="default"/>
          <w:sz w:val="14"/>
          <w:szCs w:val="14"/>
        </w:rPr>
      </w:pPr>
    </w:p>
    <w:p>
      <w:pPr>
        <w:pStyle w:val="BodyText"/>
        <w:spacing w:line="240" w:lineRule="auto" w:before="35"/>
        <w:ind w:left="1134" w:right="1121"/>
        <w:jc w:val="left"/>
      </w:pPr>
      <w:r>
        <w:rPr/>
        <w:t>主要供应商其他情况说明</w:t>
      </w:r>
    </w:p>
    <w:p>
      <w:pPr>
        <w:spacing w:line="240" w:lineRule="auto" w:before="10"/>
        <w:rPr>
          <w:rFonts w:ascii="宋体" w:hAnsi="宋体" w:cs="宋体" w:eastAsia="宋体" w:hint="default"/>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1827"/>
        <w:gridCol w:w="1684"/>
        <w:gridCol w:w="1673"/>
        <w:gridCol w:w="1190"/>
        <w:gridCol w:w="3188"/>
      </w:tblGrid>
      <w:tr>
        <w:trPr>
          <w:trHeight w:val="415" w:hRule="exact"/>
        </w:trPr>
        <w:tc>
          <w:tcPr>
            <w:tcW w:w="1827"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8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45,571,542.04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43,936,648.62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3.72%</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8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104,271,668.24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111,651,304.64</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-6.61%</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2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8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9,234,340.30</w:t>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5,929,493.24</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55.74%</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63"/>
              <w:jc w:val="center"/>
              <w:rPr>
                <w:rFonts w:ascii="宋体" w:hAnsi="宋体" w:cs="宋体" w:eastAsia="宋体" w:hint="default"/>
                <w:sz w:val="18"/>
                <w:szCs w:val="18"/>
              </w:rPr>
            </w:pPr>
            <w:r>
              <w:rPr>
                <w:rFonts w:ascii="宋体" w:hAnsi="宋体" w:cs="宋体" w:eastAsia="宋体" w:hint="default"/>
                <w:sz w:val="18"/>
                <w:szCs w:val="18"/>
              </w:rPr>
              <w:t>主要是项目贷款增加导致利息支出增加</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4、研发投入" w:id="36"/>
      <w:bookmarkEnd w:id="36"/>
      <w:r>
        <w:rPr>
          <w:b w:val="0"/>
          <w:bCs w:val="0"/>
        </w:rPr>
      </w:r>
      <w:r>
        <w:rPr>
          <w:rFonts w:ascii="宋体" w:hAnsi="宋体" w:cs="宋体" w:eastAsia="宋体" w:hint="default"/>
        </w:rPr>
        <w:t>4</w:t>
      </w:r>
      <w:r>
        <w:rPr/>
        <w:t>、研发投入</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54" w:right="1121" w:hanging="420"/>
        <w:jc w:val="left"/>
      </w:pPr>
      <w:r>
        <w:rPr/>
        <w:t>√ 适用 □</w:t>
      </w:r>
      <w:r>
        <w:rPr>
          <w:spacing w:val="-1"/>
        </w:rPr>
        <w:t> </w:t>
      </w:r>
      <w:r>
        <w:rPr/>
        <w:t>不适用</w:t>
      </w:r>
      <w:r>
        <w:rPr/>
        <w:t> </w:t>
      </w:r>
      <w:r>
        <w:rPr>
          <w:spacing w:val="-1"/>
        </w:rPr>
        <w:t>报告期内，公司紧跟电力行业发展趋势，对新一代用电信息采集系统、智能配电台区自动化、能效监</w:t>
      </w:r>
    </w:p>
    <w:p>
      <w:pPr>
        <w:pStyle w:val="BodyText"/>
        <w:spacing w:line="240" w:lineRule="auto"/>
        <w:ind w:right="0"/>
        <w:jc w:val="left"/>
      </w:pPr>
      <w:r>
        <w:rPr>
          <w:spacing w:val="-3"/>
        </w:rPr>
        <w:t>测平台等方面加大研发投入，</w:t>
      </w:r>
      <w:r>
        <w:rPr>
          <w:rFonts w:ascii="宋体" w:hAnsi="宋体" w:cs="宋体" w:eastAsia="宋体" w:hint="default"/>
          <w:spacing w:val="-3"/>
        </w:rPr>
        <w:t>2017</w:t>
      </w:r>
      <w:r>
        <w:rPr>
          <w:spacing w:val="-3"/>
        </w:rPr>
        <w:t>年研发投入</w:t>
      </w:r>
      <w:r>
        <w:rPr>
          <w:rFonts w:ascii="宋体" w:hAnsi="宋体" w:cs="宋体" w:eastAsia="宋体" w:hint="default"/>
          <w:spacing w:val="-3"/>
        </w:rPr>
        <w:t>4,720.69</w:t>
      </w:r>
      <w:r>
        <w:rPr>
          <w:spacing w:val="-3"/>
        </w:rPr>
        <w:t>万元，较上年同期</w:t>
      </w:r>
      <w:r>
        <w:rPr>
          <w:rFonts w:ascii="宋体" w:hAnsi="宋体" w:cs="宋体" w:eastAsia="宋体" w:hint="default"/>
          <w:spacing w:val="-3"/>
        </w:rPr>
        <w:t>4,396.01</w:t>
      </w:r>
      <w:r>
        <w:rPr>
          <w:spacing w:val="-3"/>
        </w:rPr>
        <w:t>万元增加了</w:t>
      </w:r>
      <w:r>
        <w:rPr>
          <w:rFonts w:ascii="宋体" w:hAnsi="宋体" w:cs="宋体" w:eastAsia="宋体" w:hint="default"/>
          <w:spacing w:val="-3"/>
        </w:rPr>
        <w:t>324.69</w:t>
      </w:r>
      <w:r>
        <w:rPr>
          <w:spacing w:val="-3"/>
        </w:rPr>
        <w:t>万元。</w:t>
      </w:r>
    </w:p>
    <w:p>
      <w:pPr>
        <w:spacing w:line="240" w:lineRule="auto" w:before="9"/>
        <w:rPr>
          <w:rFonts w:ascii="宋体" w:hAnsi="宋体" w:cs="宋体" w:eastAsia="宋体" w:hint="default"/>
          <w:sz w:val="26"/>
          <w:szCs w:val="26"/>
        </w:rPr>
      </w:pPr>
    </w:p>
    <w:p>
      <w:pPr>
        <w:pStyle w:val="BodyText"/>
        <w:spacing w:line="240" w:lineRule="auto" w:before="0"/>
        <w:ind w:left="1134" w:right="1121"/>
        <w:jc w:val="left"/>
      </w:pPr>
      <w:r>
        <w:rPr/>
        <w:t>近三年公司研发投入金额及占营业收入的比例</w:t>
      </w:r>
    </w:p>
    <w:p>
      <w:pPr>
        <w:spacing w:before="140"/>
        <w:ind w:left="0" w:right="1368"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0"/>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3245"/>
        <w:gridCol w:w="2112"/>
        <w:gridCol w:w="2103"/>
        <w:gridCol w:w="2102"/>
      </w:tblGrid>
      <w:tr>
        <w:trPr>
          <w:trHeight w:val="415" w:hRule="exact"/>
        </w:trPr>
        <w:tc>
          <w:tcPr>
            <w:tcW w:w="324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21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234</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231</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176</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24.76%</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18.60%</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16.94%</w:t>
            </w:r>
          </w:p>
        </w:tc>
      </w:tr>
      <w:tr>
        <w:trPr>
          <w:trHeight w:val="408"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研发投入金额</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47,206,919.08</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43,960,059.07</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44,002,117.97</w:t>
            </w:r>
          </w:p>
        </w:tc>
      </w:tr>
      <w:tr>
        <w:trPr>
          <w:trHeight w:val="415" w:hRule="exact"/>
        </w:trPr>
        <w:tc>
          <w:tcPr>
            <w:tcW w:w="32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1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8.74%</w:t>
            </w:r>
          </w:p>
        </w:tc>
        <w:tc>
          <w:tcPr>
            <w:tcW w:w="21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5.40%</w:t>
            </w:r>
          </w:p>
        </w:tc>
        <w:tc>
          <w:tcPr>
            <w:tcW w:w="21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6.22%</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263"/>
        <w:gridCol w:w="2102"/>
        <w:gridCol w:w="2103"/>
        <w:gridCol w:w="2102"/>
      </w:tblGrid>
      <w:tr>
        <w:trPr>
          <w:trHeight w:val="415" w:hRule="exact"/>
        </w:trPr>
        <w:tc>
          <w:tcPr>
            <w:tcW w:w="326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研发支出资本化的金额</w:t>
            </w:r>
          </w:p>
        </w:tc>
        <w:tc>
          <w:tcPr>
            <w:tcW w:w="21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1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1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15" w:hRule="exact"/>
        </w:trPr>
        <w:tc>
          <w:tcPr>
            <w:tcW w:w="326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1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0.00%</w:t>
            </w:r>
          </w:p>
        </w:tc>
        <w:tc>
          <w:tcPr>
            <w:tcW w:w="21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bl>
    <w:p>
      <w:pPr>
        <w:pStyle w:val="BodyText"/>
        <w:spacing w:line="240" w:lineRule="auto" w:before="63"/>
        <w:ind w:left="1134" w:right="1121"/>
        <w:jc w:val="left"/>
      </w:pPr>
      <w:r>
        <w:rPr/>
        <w:t>研发投入总额占营业收入的比重较上年发生显著变化的原因</w:t>
      </w:r>
    </w:p>
    <w:p>
      <w:pPr>
        <w:spacing w:line="240" w:lineRule="auto" w:before="10"/>
        <w:rPr>
          <w:rFonts w:ascii="宋体" w:hAnsi="宋体" w:cs="宋体" w:eastAsia="宋体" w:hint="default"/>
          <w:sz w:val="14"/>
          <w:szCs w:val="14"/>
        </w:rPr>
      </w:pPr>
    </w:p>
    <w:p>
      <w:pPr>
        <w:pStyle w:val="BodyText"/>
        <w:spacing w:line="408" w:lineRule="auto" w:before="0"/>
        <w:ind w:left="1134" w:right="6132"/>
        <w:jc w:val="left"/>
      </w:pPr>
      <w:r>
        <w:rPr/>
        <w:t>□ 适用 √</w:t>
      </w:r>
      <w:r>
        <w:rPr>
          <w:spacing w:val="-1"/>
        </w:rPr>
        <w:t> </w:t>
      </w:r>
      <w:r>
        <w:rPr/>
        <w:t>不适用</w:t>
      </w:r>
      <w:r>
        <w:rPr/>
        <w:t> 研发投入资本化率大幅变动的原因及其合理性说明</w:t>
      </w:r>
    </w:p>
    <w:p>
      <w:pPr>
        <w:pStyle w:val="BodyText"/>
        <w:spacing w:line="240" w:lineRule="auto"/>
        <w:ind w:left="1134" w:right="1121"/>
        <w:jc w:val="left"/>
      </w:pPr>
      <w:r>
        <w:rPr/>
        <w:t>□ 适用 √</w:t>
      </w:r>
      <w:r>
        <w:rPr>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121"/>
        <w:jc w:val="left"/>
        <w:rPr>
          <w:b w:val="0"/>
          <w:bCs w:val="0"/>
        </w:rPr>
      </w:pPr>
      <w:bookmarkStart w:name="5、现金流" w:id="37"/>
      <w:bookmarkEnd w:id="37"/>
      <w:r>
        <w:rPr>
          <w:b w:val="0"/>
          <w:bCs w:val="0"/>
        </w:rPr>
      </w:r>
      <w:r>
        <w:rPr>
          <w:rFonts w:ascii="宋体" w:hAnsi="宋体" w:cs="宋体" w:eastAsia="宋体" w:hint="default"/>
        </w:rPr>
        <w:t>5</w:t>
      </w:r>
      <w:r>
        <w:rPr/>
        <w:t>、现金流</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3245"/>
        <w:gridCol w:w="2112"/>
        <w:gridCol w:w="2103"/>
        <w:gridCol w:w="2102"/>
      </w:tblGrid>
      <w:tr>
        <w:trPr>
          <w:trHeight w:val="415" w:hRule="exact"/>
        </w:trPr>
        <w:tc>
          <w:tcPr>
            <w:tcW w:w="32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1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735,971,880.27</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907,918,256.72</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-18.94%</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746,582,809.95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752,697,037.19</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-0.81%</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-10,610,929.68</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155,221,219.53</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-106.84%</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98,955,133.56</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198,810.00</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49,673.72%</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224,294,402.61</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112,292,661.57</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99.74%</w:t>
            </w:r>
          </w:p>
        </w:tc>
      </w:tr>
      <w:tr>
        <w:trPr>
          <w:trHeight w:val="408"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-125,339,269.05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-112,093,851.57</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11.82%</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413,397,961.60</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262,835,479.22</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57.28%</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378,732,684.84</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208,222,909.98</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81.89%</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34,665,276.76</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54,612,569.24</w:t>
            </w:r>
          </w:p>
        </w:tc>
        <w:tc>
          <w:tcPr>
            <w:tcW w:w="2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-36.53%</w:t>
            </w:r>
          </w:p>
        </w:tc>
      </w:tr>
      <w:tr>
        <w:trPr>
          <w:trHeight w:val="415" w:hRule="exact"/>
        </w:trPr>
        <w:tc>
          <w:tcPr>
            <w:tcW w:w="32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-101,284,921.97</w:t>
            </w:r>
          </w:p>
        </w:tc>
        <w:tc>
          <w:tcPr>
            <w:tcW w:w="21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97,739,937.20</w:t>
            </w:r>
          </w:p>
        </w:tc>
        <w:tc>
          <w:tcPr>
            <w:tcW w:w="21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-203.63%</w:t>
            </w:r>
          </w:p>
        </w:tc>
      </w:tr>
    </w:tbl>
    <w:p>
      <w:pPr>
        <w:pStyle w:val="BodyText"/>
        <w:spacing w:line="240" w:lineRule="auto" w:before="63"/>
        <w:ind w:left="1134" w:right="1121"/>
        <w:jc w:val="left"/>
      </w:pPr>
      <w:r>
        <w:rPr/>
        <w:t>相关数据同比发生重大变动的主要影响因素说明</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before="0"/>
        <w:ind w:right="1022" w:firstLine="420"/>
        <w:jc w:val="left"/>
      </w:pPr>
      <w:r>
        <w:rPr/>
        <w:t>本报告期经营活动现金净流量较上年同期减少</w:t>
      </w:r>
      <w:r>
        <w:rPr>
          <w:spacing w:val="-23"/>
        </w:rPr>
        <w:t> </w:t>
      </w:r>
      <w:r>
        <w:rPr>
          <w:rFonts w:ascii="宋体" w:hAnsi="宋体" w:cs="宋体" w:eastAsia="宋体" w:hint="default"/>
        </w:rPr>
        <w:t>106.84%</w:t>
      </w:r>
      <w:r>
        <w:rPr/>
        <w:t>，主要是一方面电力板块业务萎缩，销售收入 大幅度降低，导致销售商品提供劳务收到的现金大幅度降低，另一方面前期开出的应付票据到期，支付货 </w:t>
      </w:r>
      <w:r>
        <w:rPr>
          <w:spacing w:val="-4"/>
        </w:rPr>
        <w:t>款所致；投资活动现金净流出较上年同期增加</w:t>
      </w:r>
      <w:r>
        <w:rPr>
          <w:spacing w:val="-14"/>
        </w:rPr>
        <w:t> </w:t>
      </w:r>
      <w:r>
        <w:rPr>
          <w:rFonts w:ascii="宋体" w:hAnsi="宋体" w:cs="宋体" w:eastAsia="宋体" w:hint="default"/>
          <w:spacing w:val="-5"/>
        </w:rPr>
        <w:t>11.82%</w:t>
      </w:r>
      <w:r>
        <w:rPr>
          <w:spacing w:val="-5"/>
        </w:rPr>
        <w:t>，主要是本报告期内增资中云文化大数据，其厚电气，</w:t>
      </w:r>
      <w:r>
        <w:rPr>
          <w:spacing w:val="-97"/>
        </w:rPr>
        <w:t> </w:t>
      </w:r>
      <w:r>
        <w:rPr>
          <w:spacing w:val="-97"/>
        </w:rPr>
      </w:r>
      <w:r>
        <w:rPr/>
        <w:t>光一文投所致；筹资活动现金净流入较上年同期减少</w:t>
      </w:r>
      <w:r>
        <w:rPr>
          <w:spacing w:val="-77"/>
        </w:rPr>
        <w:t> </w:t>
      </w:r>
      <w:r>
        <w:rPr>
          <w:rFonts w:ascii="宋体" w:hAnsi="宋体" w:cs="宋体" w:eastAsia="宋体" w:hint="default"/>
        </w:rPr>
        <w:t>36.53%</w:t>
      </w:r>
      <w:r>
        <w:rPr/>
        <w:t>，主要是作为比较期间的上年同期收到了股权 激励款项所致。</w:t>
      </w:r>
    </w:p>
    <w:p>
      <w:pPr>
        <w:pStyle w:val="BodyText"/>
        <w:spacing w:line="240" w:lineRule="auto"/>
        <w:ind w:right="1121"/>
        <w:jc w:val="left"/>
      </w:pPr>
      <w:r>
        <w:rPr/>
        <w:t>报告期内公司经营活动产生的现金净流量与本年度净利润存在重大差异的原因说明</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21"/>
        <w:jc w:val="left"/>
        <w:rPr>
          <w:b w:val="0"/>
          <w:bCs w:val="0"/>
        </w:rPr>
      </w:pPr>
      <w:bookmarkStart w:name="三、非主营业务情况" w:id="38"/>
      <w:bookmarkEnd w:id="38"/>
      <w:r>
        <w:rPr>
          <w:b w:val="0"/>
          <w:bCs w:val="0"/>
        </w:rPr>
      </w:r>
      <w:r>
        <w:rPr/>
        <w:t>三、非主营业务情况</w:t>
      </w:r>
      <w:r>
        <w:rPr>
          <w:b w:val="0"/>
          <w:bCs w:val="0"/>
        </w:rPr>
      </w:r>
    </w:p>
    <w:p>
      <w:pPr>
        <w:pStyle w:val="BodyText"/>
        <w:spacing w:line="240" w:lineRule="auto" w:before="177"/>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10"/>
        <w:rPr>
          <w:rFonts w:ascii="宋体" w:hAnsi="宋体" w:cs="宋体" w:eastAsia="宋体" w:hint="default"/>
          <w:sz w:val="26"/>
          <w:szCs w:val="26"/>
        </w:rPr>
      </w:pPr>
    </w:p>
    <w:p>
      <w:pPr>
        <w:spacing w:before="44"/>
        <w:ind w:left="0" w:right="12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517"/>
        <w:gridCol w:w="1916"/>
        <w:gridCol w:w="1623"/>
        <w:gridCol w:w="2877"/>
        <w:gridCol w:w="1629"/>
      </w:tblGrid>
      <w:tr>
        <w:trPr>
          <w:trHeight w:val="334" w:hRule="exact"/>
        </w:trPr>
        <w:tc>
          <w:tcPr>
            <w:tcW w:w="1517"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89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8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4" w:hRule="exact"/>
        </w:trPr>
        <w:tc>
          <w:tcPr>
            <w:tcW w:w="1517" w:type="dxa"/>
            <w:tcBorders>
              <w:top w:val="single" w:sz="6" w:space="0" w:color="000000"/>
              <w:left w:val="single" w:sz="12" w:space="0" w:color="000000"/>
              <w:bottom w:val="nil" w:sz="6" w:space="0" w:color="auto"/>
              <w:right w:val="single" w:sz="6" w:space="0" w:color="000000"/>
            </w:tcBorders>
            <w:shd w:val="clear" w:color="auto" w:fill="D2D2D2"/>
          </w:tcPr>
          <w:p>
            <w:pPr/>
          </w:p>
        </w:tc>
        <w:tc>
          <w:tcPr>
            <w:tcW w:w="1916" w:type="dxa"/>
            <w:vMerge w:val="restart"/>
            <w:tcBorders>
              <w:top w:val="single" w:sz="6" w:space="0" w:color="000000"/>
              <w:left w:val="single" w:sz="8" w:space="0" w:color="D2D2D2"/>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8" w:right="0"/>
              <w:jc w:val="left"/>
              <w:rPr>
                <w:rFonts w:ascii="宋体" w:hAnsi="宋体" w:cs="宋体" w:eastAsia="宋体" w:hint="default"/>
                <w:sz w:val="18"/>
                <w:szCs w:val="18"/>
              </w:rPr>
            </w:pPr>
            <w:r>
              <w:rPr>
                <w:rFonts w:ascii="宋体"/>
                <w:sz w:val="18"/>
              </w:rPr>
              <w:t>-1,509,764.86</w:t>
            </w:r>
          </w:p>
        </w:tc>
        <w:tc>
          <w:tcPr>
            <w:tcW w:w="162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0.39%</w:t>
            </w:r>
          </w:p>
        </w:tc>
        <w:tc>
          <w:tcPr>
            <w:tcW w:w="2877" w:type="dxa"/>
            <w:vMerge w:val="restart"/>
            <w:tcBorders>
              <w:top w:val="single" w:sz="6" w:space="0" w:color="000000"/>
              <w:left w:val="single" w:sz="6" w:space="0" w:color="000000"/>
              <w:right w:val="single" w:sz="8" w:space="0" w:color="FFFFFF"/>
            </w:tcBorders>
          </w:tcPr>
          <w:p>
            <w:pPr>
              <w:pStyle w:val="TableParagraph"/>
              <w:spacing w:line="316" w:lineRule="auto" w:before="11"/>
              <w:ind w:left="21" w:right="-43"/>
              <w:jc w:val="left"/>
              <w:rPr>
                <w:rFonts w:ascii="宋体" w:hAnsi="宋体" w:cs="宋体" w:eastAsia="宋体" w:hint="default"/>
                <w:sz w:val="18"/>
                <w:szCs w:val="18"/>
              </w:rPr>
            </w:pPr>
            <w:r>
              <w:rPr>
                <w:rFonts w:ascii="宋体" w:hAnsi="宋体" w:cs="宋体" w:eastAsia="宋体" w:hint="default"/>
                <w:sz w:val="18"/>
                <w:szCs w:val="18"/>
              </w:rPr>
              <w:t>主要是对参股公司采用权益法核算， 确认本期归属上市公司的损益所致</w:t>
            </w:r>
          </w:p>
        </w:tc>
        <w:tc>
          <w:tcPr>
            <w:tcW w:w="1629" w:type="dxa"/>
            <w:vMerge w:val="restart"/>
            <w:tcBorders>
              <w:top w:val="single" w:sz="6" w:space="0" w:color="000000"/>
              <w:left w:val="single" w:sz="8" w:space="0" w:color="FFFFFF"/>
              <w:right w:val="single" w:sz="12" w:space="0" w:color="000000"/>
            </w:tcBorders>
          </w:tcPr>
          <w:p>
            <w:pPr>
              <w:pStyle w:val="TableParagraph"/>
              <w:spacing w:line="156" w:lineRule="exact"/>
              <w:ind w:left="-3" w:right="-52"/>
              <w:jc w:val="left"/>
              <w:rPr>
                <w:rFonts w:ascii="宋体" w:hAnsi="宋体" w:cs="宋体" w:eastAsia="宋体" w:hint="default"/>
                <w:sz w:val="15"/>
                <w:szCs w:val="15"/>
              </w:rPr>
            </w:pPr>
            <w:r>
              <w:rPr>
                <w:rFonts w:ascii="宋体" w:hAnsi="宋体" w:cs="宋体" w:eastAsia="宋体" w:hint="default"/>
                <w:position w:val="-2"/>
                <w:sz w:val="15"/>
                <w:szCs w:val="15"/>
              </w:rPr>
              <w:pict>
                <v:group style="width:80.4pt;height:7.8pt;mso-position-horizontal-relative:char;mso-position-vertical-relative:line" coordorigin="0,0" coordsize="1608,156">
                  <v:group style="position:absolute;left:0;top:0;width:1608;height:156" coordorigin="0,0" coordsize="1608,156">
                    <v:shape style="position:absolute;left:0;top:0;width:1608;height:156" coordorigin="0,0" coordsize="1608,156" path="m0,156l1608,156,1608,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517"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8" w:space="0" w:color="D2D2D2"/>
              <w:right w:val="single" w:sz="6" w:space="0" w:color="000000"/>
            </w:tcBorders>
          </w:tcPr>
          <w:p>
            <w:pPr/>
          </w:p>
        </w:tc>
        <w:tc>
          <w:tcPr>
            <w:tcW w:w="1623" w:type="dxa"/>
            <w:vMerge/>
            <w:tcBorders>
              <w:left w:val="single" w:sz="6" w:space="0" w:color="000000"/>
              <w:right w:val="single" w:sz="6" w:space="0" w:color="000000"/>
            </w:tcBorders>
          </w:tcPr>
          <w:p>
            <w:pPr/>
          </w:p>
        </w:tc>
        <w:tc>
          <w:tcPr>
            <w:tcW w:w="2877" w:type="dxa"/>
            <w:vMerge/>
            <w:tcBorders>
              <w:left w:val="single" w:sz="6" w:space="0" w:color="000000"/>
              <w:right w:val="single" w:sz="8" w:space="0" w:color="FFFFFF"/>
            </w:tcBorders>
          </w:tcPr>
          <w:p>
            <w:pPr/>
          </w:p>
        </w:tc>
        <w:tc>
          <w:tcPr>
            <w:tcW w:w="1629" w:type="dxa"/>
            <w:vMerge/>
            <w:tcBorders>
              <w:left w:val="single" w:sz="8" w:space="0" w:color="FFFFFF"/>
              <w:right w:val="single" w:sz="12" w:space="0" w:color="000000"/>
            </w:tcBorders>
          </w:tcPr>
          <w:p>
            <w:pPr/>
          </w:p>
        </w:tc>
      </w:tr>
      <w:tr>
        <w:trPr>
          <w:trHeight w:val="163" w:hRule="exact"/>
        </w:trPr>
        <w:tc>
          <w:tcPr>
            <w:tcW w:w="1517"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6" w:type="dxa"/>
            <w:vMerge/>
            <w:tcBorders>
              <w:left w:val="single" w:sz="8" w:space="0" w:color="D2D2D2"/>
              <w:bottom w:val="single" w:sz="6" w:space="0" w:color="000000"/>
              <w:right w:val="single" w:sz="6" w:space="0" w:color="000000"/>
            </w:tcBorders>
          </w:tcPr>
          <w:p>
            <w:pPr/>
          </w:p>
        </w:tc>
        <w:tc>
          <w:tcPr>
            <w:tcW w:w="1623" w:type="dxa"/>
            <w:vMerge/>
            <w:tcBorders>
              <w:left w:val="single" w:sz="6" w:space="0" w:color="000000"/>
              <w:bottom w:val="single" w:sz="6" w:space="0" w:color="000000"/>
              <w:right w:val="single" w:sz="6" w:space="0" w:color="000000"/>
            </w:tcBorders>
          </w:tcPr>
          <w:p>
            <w:pPr/>
          </w:p>
        </w:tc>
        <w:tc>
          <w:tcPr>
            <w:tcW w:w="2877" w:type="dxa"/>
            <w:vMerge/>
            <w:tcBorders>
              <w:left w:val="single" w:sz="6" w:space="0" w:color="000000"/>
              <w:bottom w:val="single" w:sz="6" w:space="0" w:color="000000"/>
              <w:right w:val="single" w:sz="8" w:space="0" w:color="FFFFFF"/>
            </w:tcBorders>
          </w:tcPr>
          <w:p>
            <w:pPr/>
          </w:p>
        </w:tc>
        <w:tc>
          <w:tcPr>
            <w:tcW w:w="1629" w:type="dxa"/>
            <w:vMerge/>
            <w:tcBorders>
              <w:left w:val="single" w:sz="8" w:space="0" w:color="FFFFFF"/>
              <w:bottom w:val="single" w:sz="6" w:space="0" w:color="000000"/>
              <w:right w:val="single" w:sz="12" w:space="0" w:color="000000"/>
            </w:tcBorders>
          </w:tcPr>
          <w:p>
            <w:pPr/>
          </w:p>
        </w:tc>
      </w:tr>
      <w:tr>
        <w:trPr>
          <w:trHeight w:val="327" w:hRule="exact"/>
        </w:trPr>
        <w:tc>
          <w:tcPr>
            <w:tcW w:w="151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13"/>
              <w:jc w:val="center"/>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6" w:space="0" w:color="000000"/>
              <w:left w:val="single" w:sz="14" w:space="0" w:color="D2D2D2"/>
              <w:bottom w:val="single" w:sz="6" w:space="0" w:color="000000"/>
              <w:right w:val="single" w:sz="6" w:space="0" w:color="000000"/>
            </w:tcBorders>
          </w:tcPr>
          <w:p>
            <w:pP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0.00%</w:t>
            </w:r>
          </w:p>
        </w:tc>
        <w:tc>
          <w:tcPr>
            <w:tcW w:w="2877" w:type="dxa"/>
            <w:tcBorders>
              <w:top w:val="single" w:sz="6" w:space="0" w:color="000000"/>
              <w:left w:val="single" w:sz="6" w:space="0" w:color="000000"/>
              <w:bottom w:val="single" w:sz="6" w:space="0" w:color="000000"/>
              <w:right w:val="single" w:sz="6" w:space="0" w:color="000000"/>
            </w:tcBorders>
          </w:tcPr>
          <w:p>
            <w:pPr/>
          </w:p>
        </w:tc>
        <w:tc>
          <w:tcPr>
            <w:tcW w:w="1629" w:type="dxa"/>
            <w:tcBorders>
              <w:top w:val="single" w:sz="6" w:space="0" w:color="000000"/>
              <w:left w:val="single" w:sz="6" w:space="0" w:color="000000"/>
              <w:bottom w:val="single" w:sz="6" w:space="0" w:color="000000"/>
              <w:right w:val="single" w:sz="12" w:space="0" w:color="000000"/>
            </w:tcBorders>
          </w:tcPr>
          <w:p>
            <w:pPr/>
          </w:p>
        </w:tc>
      </w:tr>
      <w:tr>
        <w:trPr>
          <w:trHeight w:val="320" w:hRule="exact"/>
        </w:trPr>
        <w:tc>
          <w:tcPr>
            <w:tcW w:w="1517" w:type="dxa"/>
            <w:tcBorders>
              <w:top w:val="single" w:sz="6" w:space="0" w:color="000000"/>
              <w:left w:val="single" w:sz="12" w:space="0" w:color="000000"/>
              <w:bottom w:val="nil" w:sz="6" w:space="0" w:color="auto"/>
              <w:right w:val="single" w:sz="6" w:space="0" w:color="000000"/>
            </w:tcBorders>
            <w:shd w:val="clear" w:color="auto" w:fill="D2D2D2"/>
          </w:tcPr>
          <w:p>
            <w:pPr/>
          </w:p>
        </w:tc>
        <w:tc>
          <w:tcPr>
            <w:tcW w:w="1916" w:type="dxa"/>
            <w:vMerge w:val="restart"/>
            <w:tcBorders>
              <w:top w:val="single" w:sz="6" w:space="0" w:color="000000"/>
              <w:left w:val="single" w:sz="8" w:space="0" w:color="D2D2D2"/>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8" w:right="0"/>
              <w:jc w:val="left"/>
              <w:rPr>
                <w:rFonts w:ascii="宋体" w:hAnsi="宋体" w:cs="宋体" w:eastAsia="宋体" w:hint="default"/>
                <w:sz w:val="18"/>
                <w:szCs w:val="18"/>
              </w:rPr>
            </w:pPr>
            <w:r>
              <w:rPr>
                <w:rFonts w:ascii="宋体"/>
                <w:sz w:val="18"/>
              </w:rPr>
              <w:t>400,038,543.41</w:t>
            </w:r>
          </w:p>
        </w:tc>
        <w:tc>
          <w:tcPr>
            <w:tcW w:w="162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7" w:right="0"/>
              <w:jc w:val="left"/>
              <w:rPr>
                <w:rFonts w:ascii="宋体" w:hAnsi="宋体" w:cs="宋体" w:eastAsia="宋体" w:hint="default"/>
                <w:sz w:val="18"/>
                <w:szCs w:val="18"/>
              </w:rPr>
            </w:pPr>
            <w:r>
              <w:rPr>
                <w:rFonts w:ascii="宋体"/>
                <w:sz w:val="18"/>
              </w:rPr>
              <w:t>-102.31%</w:t>
            </w:r>
          </w:p>
        </w:tc>
        <w:tc>
          <w:tcPr>
            <w:tcW w:w="2877" w:type="dxa"/>
            <w:vMerge w:val="restart"/>
            <w:tcBorders>
              <w:top w:val="single" w:sz="6" w:space="0" w:color="000000"/>
              <w:left w:val="single" w:sz="6" w:space="0" w:color="000000"/>
              <w:right w:val="single" w:sz="6" w:space="0" w:color="000000"/>
            </w:tcBorders>
          </w:tcPr>
          <w:p>
            <w:pPr>
              <w:pStyle w:val="TableParagraph"/>
              <w:spacing w:line="316" w:lineRule="auto" w:before="11"/>
              <w:ind w:left="21" w:right="18"/>
              <w:jc w:val="left"/>
              <w:rPr>
                <w:rFonts w:ascii="宋体" w:hAnsi="宋体" w:cs="宋体" w:eastAsia="宋体" w:hint="default"/>
                <w:sz w:val="18"/>
                <w:szCs w:val="18"/>
              </w:rPr>
            </w:pPr>
            <w:r>
              <w:rPr>
                <w:rFonts w:ascii="宋体" w:hAnsi="宋体" w:cs="宋体" w:eastAsia="宋体" w:hint="default"/>
                <w:spacing w:val="-4"/>
                <w:sz w:val="18"/>
                <w:szCs w:val="18"/>
              </w:rPr>
              <w:t>根据评估报告、商誉减值测试计提子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公司商誉减值和根据公司会计政策 计提坏账准备所致</w:t>
            </w:r>
          </w:p>
        </w:tc>
        <w:tc>
          <w:tcPr>
            <w:tcW w:w="1629" w:type="dxa"/>
            <w:vMerge w:val="restart"/>
            <w:tcBorders>
              <w:top w:val="single" w:sz="6" w:space="0" w:color="000000"/>
              <w:left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517"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8" w:space="0" w:color="D2D2D2"/>
              <w:right w:val="single" w:sz="6" w:space="0" w:color="000000"/>
            </w:tcBorders>
          </w:tcPr>
          <w:p>
            <w:pPr/>
          </w:p>
        </w:tc>
        <w:tc>
          <w:tcPr>
            <w:tcW w:w="1623" w:type="dxa"/>
            <w:vMerge/>
            <w:tcBorders>
              <w:left w:val="single" w:sz="6" w:space="0" w:color="000000"/>
              <w:right w:val="single" w:sz="6" w:space="0" w:color="000000"/>
            </w:tcBorders>
          </w:tcPr>
          <w:p>
            <w:pPr/>
          </w:p>
        </w:tc>
        <w:tc>
          <w:tcPr>
            <w:tcW w:w="2877" w:type="dxa"/>
            <w:vMerge/>
            <w:tcBorders>
              <w:left w:val="single" w:sz="6" w:space="0" w:color="000000"/>
              <w:right w:val="single" w:sz="6" w:space="0" w:color="000000"/>
            </w:tcBorders>
          </w:tcPr>
          <w:p>
            <w:pPr/>
          </w:p>
        </w:tc>
        <w:tc>
          <w:tcPr>
            <w:tcW w:w="1629" w:type="dxa"/>
            <w:vMerge/>
            <w:tcBorders>
              <w:left w:val="single" w:sz="6" w:space="0" w:color="000000"/>
              <w:right w:val="single" w:sz="12" w:space="0" w:color="000000"/>
            </w:tcBorders>
          </w:tcPr>
          <w:p>
            <w:pPr/>
          </w:p>
        </w:tc>
      </w:tr>
      <w:tr>
        <w:trPr>
          <w:trHeight w:val="327" w:hRule="exact"/>
        </w:trPr>
        <w:tc>
          <w:tcPr>
            <w:tcW w:w="1517"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916" w:type="dxa"/>
            <w:vMerge/>
            <w:tcBorders>
              <w:left w:val="single" w:sz="8" w:space="0" w:color="D2D2D2"/>
              <w:bottom w:val="single" w:sz="12" w:space="0" w:color="000000"/>
              <w:right w:val="single" w:sz="6" w:space="0" w:color="000000"/>
            </w:tcBorders>
          </w:tcPr>
          <w:p>
            <w:pPr/>
          </w:p>
        </w:tc>
        <w:tc>
          <w:tcPr>
            <w:tcW w:w="1623" w:type="dxa"/>
            <w:vMerge/>
            <w:tcBorders>
              <w:left w:val="single" w:sz="6" w:space="0" w:color="000000"/>
              <w:bottom w:val="single" w:sz="12" w:space="0" w:color="000000"/>
              <w:right w:val="single" w:sz="6" w:space="0" w:color="000000"/>
            </w:tcBorders>
          </w:tcPr>
          <w:p>
            <w:pPr/>
          </w:p>
        </w:tc>
        <w:tc>
          <w:tcPr>
            <w:tcW w:w="2877" w:type="dxa"/>
            <w:vMerge/>
            <w:tcBorders>
              <w:left w:val="single" w:sz="6" w:space="0" w:color="000000"/>
              <w:bottom w:val="single" w:sz="12" w:space="0" w:color="000000"/>
              <w:right w:val="single" w:sz="6" w:space="0" w:color="000000"/>
            </w:tcBorders>
          </w:tcPr>
          <w:p>
            <w:pPr/>
          </w:p>
        </w:tc>
        <w:tc>
          <w:tcPr>
            <w:tcW w:w="1629" w:type="dxa"/>
            <w:vMerge/>
            <w:tcBorders>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1000" w:top="1040" w:bottom="1180" w:left="0" w:right="0"/>
        </w:sectPr>
      </w:pPr>
    </w:p>
    <w:p>
      <w:pPr>
        <w:pStyle w:val="Heading4"/>
        <w:spacing w:line="240" w:lineRule="auto" w:before="35"/>
        <w:ind w:left="1133" w:right="0"/>
        <w:jc w:val="left"/>
        <w:rPr>
          <w:b w:val="0"/>
          <w:bCs w:val="0"/>
        </w:rPr>
      </w:pPr>
      <w:bookmarkStart w:name="1、资产构成重大变动情况" w:id="40"/>
      <w:bookmarkEnd w:id="40"/>
      <w:r>
        <w:rPr>
          <w:b w:val="0"/>
          <w:bCs w:val="0"/>
        </w:rPr>
      </w:r>
      <w:r>
        <w:rPr>
          <w:rFonts w:ascii="宋体" w:hAnsi="宋体" w:cs="宋体" w:eastAsia="宋体" w:hint="default"/>
          <w:w w:val="95"/>
        </w:rPr>
        <w:t>1</w:t>
      </w:r>
      <w:r>
        <w:rPr>
          <w:w w:val="95"/>
        </w:rPr>
        <w:t>、资产构成重大变动情况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558" w:space="5362"/>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352"/>
        <w:gridCol w:w="1478"/>
        <w:gridCol w:w="1560"/>
        <w:gridCol w:w="1559"/>
        <w:gridCol w:w="1276"/>
        <w:gridCol w:w="1134"/>
        <w:gridCol w:w="1204"/>
      </w:tblGrid>
      <w:tr>
        <w:trPr>
          <w:trHeight w:val="218"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038"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835"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13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04"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
        </w:tc>
        <w:tc>
          <w:tcPr>
            <w:tcW w:w="3038" w:type="dxa"/>
            <w:gridSpan w:val="2"/>
            <w:vMerge/>
            <w:tcBorders>
              <w:left w:val="single" w:sz="6" w:space="0" w:color="000000"/>
              <w:bottom w:val="single" w:sz="6" w:space="0" w:color="000000"/>
              <w:right w:val="single" w:sz="6" w:space="0" w:color="000000"/>
            </w:tcBorders>
            <w:shd w:val="clear" w:color="auto" w:fill="D2D2D2"/>
          </w:tcPr>
          <w:p>
            <w:pPr/>
          </w:p>
        </w:tc>
        <w:tc>
          <w:tcPr>
            <w:tcW w:w="2835" w:type="dxa"/>
            <w:gridSpan w:val="2"/>
            <w:vMerge/>
            <w:tcBorders>
              <w:left w:val="single" w:sz="6" w:space="0" w:color="000000"/>
              <w:bottom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204"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4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6" w:space="0" w:color="000000"/>
              <w:bottom w:val="nil" w:sz="6" w:space="0" w:color="auto"/>
              <w:right w:val="single" w:sz="6" w:space="0" w:color="000000"/>
            </w:tcBorders>
            <w:shd w:val="clear" w:color="auto" w:fill="D2D2D2"/>
          </w:tcPr>
          <w:p>
            <w:pPr/>
          </w:p>
        </w:tc>
        <w:tc>
          <w:tcPr>
            <w:tcW w:w="1204" w:type="dxa"/>
            <w:vMerge/>
            <w:tcBorders>
              <w:left w:val="single" w:sz="6" w:space="0" w:color="000000"/>
              <w:bottom w:val="nil" w:sz="6" w:space="0" w:color="auto"/>
              <w:right w:val="single" w:sz="12" w:space="0" w:color="000000"/>
            </w:tcBorders>
            <w:shd w:val="clear" w:color="auto" w:fill="D2D2D2"/>
          </w:tcPr>
          <w:p>
            <w:pPr/>
          </w:p>
        </w:tc>
      </w:tr>
      <w:tr>
        <w:trPr>
          <w:trHeight w:val="210"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78" w:type="dxa"/>
            <w:vMerge/>
            <w:tcBorders>
              <w:left w:val="single" w:sz="6" w:space="0" w:color="000000"/>
              <w:bottom w:val="single" w:sz="6" w:space="0" w:color="000000"/>
              <w:right w:val="single" w:sz="6" w:space="0" w:color="000000"/>
            </w:tcBorders>
            <w:shd w:val="clear" w:color="auto" w:fill="D2D2D2"/>
          </w:tcPr>
          <w:p>
            <w:pPr/>
          </w:p>
        </w:tc>
        <w:tc>
          <w:tcPr>
            <w:tcW w:w="1560"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4"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200,655,286.23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10.94%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298,370,565.67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-2.22%</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589,216,788.68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32.13%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746,446,065.94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32.93%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-0.80%</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存货</w:t>
            </w:r>
          </w:p>
        </w:tc>
        <w:tc>
          <w:tcPr>
            <w:tcW w:w="14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107,405,499.65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5.86%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97,017,490.63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1.58%</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4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4,595,302.30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9,529,616.31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-0.17%</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4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133,108,525.69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7.26%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42,365,046.86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5.39%</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4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440,198,059.54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24.00%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210,338,730.25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14.72%</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81,041,968.94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229,009,050.68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-5.68%</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120,003,850.00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6.54%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76,000,000.00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3.19%</w:t>
            </w:r>
          </w:p>
        </w:tc>
        <w:tc>
          <w:tcPr>
            <w:tcW w:w="1204"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4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100,407,029.20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5.47%</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62,155,336.29</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2.74%</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2.73%</w:t>
            </w:r>
          </w:p>
        </w:tc>
        <w:tc>
          <w:tcPr>
            <w:tcW w:w="1204"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1"/>
        <w:jc w:val="left"/>
        <w:rPr>
          <w:b w:val="0"/>
          <w:bCs w:val="0"/>
        </w:rPr>
      </w:pPr>
      <w:bookmarkStart w:name="2、以公允价值计量的资产和负债" w:id="41"/>
      <w:bookmarkEnd w:id="41"/>
      <w:r>
        <w:rPr>
          <w:b w:val="0"/>
          <w:bCs w:val="0"/>
        </w:rPr>
      </w:r>
      <w:r>
        <w:rPr>
          <w:rFonts w:ascii="宋体" w:hAnsi="宋体" w:cs="宋体" w:eastAsia="宋体" w:hint="default"/>
        </w:rPr>
        <w:t>2</w:t>
      </w:r>
      <w:r>
        <w:rPr/>
        <w:t>、以公允价值计量的资产和负债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727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截至报告期末的资产权利受限情况" w:id="42"/>
      <w:bookmarkEnd w:id="42"/>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pStyle w:val="BodyText"/>
        <w:spacing w:line="408" w:lineRule="auto"/>
        <w:ind w:left="1134" w:right="1131" w:firstLine="420"/>
        <w:jc w:val="both"/>
      </w:pPr>
      <w:r>
        <w:rPr>
          <w:spacing w:val="-1"/>
        </w:rPr>
        <w:t>截止</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日，公司货币资金、应收票据、固定资产、无形资产、在建工程的部分资产存在权</w:t>
      </w:r>
      <w:r>
        <w:rPr/>
        <w:t> </w:t>
      </w:r>
      <w:r>
        <w:rPr>
          <w:spacing w:val="-1"/>
        </w:rPr>
        <w:t>利受限制的情况，其中受限的货币资金为银行承兑汇票保证金和履约保函保证金；受限的固定资产为索瑞</w:t>
      </w:r>
      <w:r>
        <w:rPr>
          <w:spacing w:val="-81"/>
        </w:rPr>
        <w:t> </w:t>
      </w:r>
      <w:r>
        <w:rPr>
          <w:spacing w:val="-81"/>
        </w:rPr>
      </w:r>
      <w:r>
        <w:rPr>
          <w:spacing w:val="-1"/>
        </w:rPr>
        <w:t>电气以部分机器设备抵押给湖北银行公安支行借款；受限的无形资产为索瑞电气以武汉睿博和荆州山源的</w:t>
      </w:r>
      <w:r>
        <w:rPr>
          <w:spacing w:val="-81"/>
        </w:rPr>
        <w:t> </w:t>
      </w:r>
      <w:r>
        <w:rPr>
          <w:spacing w:val="-81"/>
        </w:rPr>
      </w:r>
      <w:r>
        <w:rPr>
          <w:spacing w:val="-1"/>
        </w:rPr>
        <w:t>土地使用权分别抵押给招行武汉雄楚支行、湖北银行公安支行借款；受限的在建工程为索瑞电气以部分山</w:t>
      </w:r>
      <w:r>
        <w:rPr>
          <w:spacing w:val="-81"/>
        </w:rPr>
        <w:t> </w:t>
      </w:r>
      <w:r>
        <w:rPr>
          <w:spacing w:val="-81"/>
        </w:rPr>
      </w:r>
      <w:r>
        <w:rPr/>
        <w:t>源科技厂房抵押给湖北银行公安支行借款。</w:t>
      </w:r>
    </w:p>
    <w:p>
      <w:pPr>
        <w:spacing w:after="0" w:line="408" w:lineRule="auto"/>
        <w:jc w:val="both"/>
        <w:sectPr>
          <w:type w:val="continuous"/>
          <w:pgSz w:w="11910" w:h="16840"/>
          <w:pgMar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left="1133" w:right="1121"/>
        <w:jc w:val="left"/>
        <w:rPr>
          <w:b w:val="0"/>
          <w:bCs w:val="0"/>
        </w:rPr>
      </w:pPr>
      <w:bookmarkStart w:name="五、投资状况分析" w:id="43"/>
      <w:bookmarkEnd w:id="43"/>
      <w:r>
        <w:rPr>
          <w:b w:val="0"/>
          <w:bCs w:val="0"/>
        </w:rPr>
      </w:r>
      <w:r>
        <w:rPr/>
        <w:t>五、投资状况分析</w:t>
      </w:r>
      <w:r>
        <w:rPr>
          <w:b w:val="0"/>
          <w:bCs w:val="0"/>
        </w:rPr>
      </w:r>
    </w:p>
    <w:p>
      <w:pPr>
        <w:pStyle w:val="Heading4"/>
        <w:spacing w:line="240" w:lineRule="auto" w:before="177"/>
        <w:ind w:left="1133" w:right="1121"/>
        <w:jc w:val="left"/>
        <w:rPr>
          <w:b w:val="0"/>
          <w:bCs w:val="0"/>
        </w:rPr>
      </w:pPr>
      <w:bookmarkStart w:name="1、总体情况" w:id="44"/>
      <w:bookmarkEnd w:id="44"/>
      <w:r>
        <w:rPr>
          <w:b w:val="0"/>
          <w:bCs w:val="0"/>
        </w:rPr>
      </w:r>
      <w:r>
        <w:rPr>
          <w:rFonts w:ascii="宋体" w:hAnsi="宋体" w:cs="宋体" w:eastAsia="宋体" w:hint="default"/>
        </w:rPr>
        <w:t>1</w:t>
      </w:r>
      <w:r>
        <w:rPr/>
        <w:t>、总体情况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before="14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039" w:right="0"/>
              <w:jc w:val="left"/>
              <w:rPr>
                <w:rFonts w:ascii="宋体" w:hAnsi="宋体" w:cs="宋体" w:eastAsia="宋体" w:hint="default"/>
                <w:sz w:val="18"/>
                <w:szCs w:val="18"/>
              </w:rPr>
            </w:pPr>
            <w:r>
              <w:rPr>
                <w:rFonts w:ascii="宋体" w:hAnsi="宋体" w:cs="宋体" w:eastAsia="宋体" w:hint="default"/>
                <w:sz w:val="18"/>
                <w:szCs w:val="18"/>
              </w:rPr>
              <w:t>报告期投资额</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886" w:right="0"/>
              <w:jc w:val="left"/>
              <w:rPr>
                <w:rFonts w:ascii="宋体" w:hAnsi="宋体" w:cs="宋体" w:eastAsia="宋体" w:hint="default"/>
                <w:sz w:val="18"/>
                <w:szCs w:val="18"/>
              </w:rPr>
            </w:pPr>
            <w:r>
              <w:rPr>
                <w:rFonts w:ascii="宋体"/>
                <w:sz w:val="18"/>
              </w:rPr>
              <w:t>224,294,402.61</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895" w:right="0"/>
              <w:jc w:val="left"/>
              <w:rPr>
                <w:rFonts w:ascii="宋体" w:hAnsi="宋体" w:cs="宋体" w:eastAsia="宋体" w:hint="default"/>
                <w:sz w:val="18"/>
                <w:szCs w:val="18"/>
              </w:rPr>
            </w:pPr>
            <w:r>
              <w:rPr>
                <w:rFonts w:ascii="宋体"/>
                <w:sz w:val="18"/>
              </w:rPr>
              <w:t>112,292,661.57</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99.74%</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2、报告期内获取的重大的股权投资情况" w:id="45"/>
      <w:bookmarkEnd w:id="45"/>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613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报告期内正在进行的重大的非股权投资情况" w:id="46"/>
      <w:bookmarkEnd w:id="46"/>
      <w:r>
        <w:rPr>
          <w:rFonts w:ascii="宋体" w:hAnsi="宋体" w:cs="宋体" w:eastAsia="宋体" w:hint="default"/>
          <w:sz w:val="21"/>
          <w:szCs w:val="21"/>
        </w:rPr>
      </w:r>
      <w:r>
        <w:rPr>
          <w:rFonts w:ascii="宋体" w:hAnsi="宋体" w:cs="宋体" w:eastAsia="宋体" w:hint="default"/>
          <w:b/>
          <w:bCs/>
          <w:w w:val="95"/>
          <w:sz w:val="21"/>
          <w:szCs w:val="21"/>
        </w:rPr>
        <w:t>3</w:t>
      </w:r>
      <w:r>
        <w:rPr>
          <w:rFonts w:ascii="宋体" w:hAnsi="宋体" w:cs="宋体" w:eastAsia="宋体" w:hint="default"/>
          <w:b/>
          <w:bCs/>
          <w:w w:val="95"/>
          <w:sz w:val="21"/>
          <w:szCs w:val="21"/>
        </w:rPr>
        <w:t>、报告期内正在进行的重大的非股权投资情况</w:t>
      </w:r>
      <w:r>
        <w:rPr>
          <w:rFonts w:ascii="宋体" w:hAnsi="宋体" w:cs="宋体" w:eastAsia="宋体" w:hint="default"/>
          <w:sz w:val="21"/>
          <w:szCs w:val="21"/>
        </w:rPr>
      </w:r>
    </w:p>
    <w:p>
      <w:pPr>
        <w:spacing w:line="408" w:lineRule="auto" w:before="46"/>
        <w:ind w:left="1134" w:right="79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以公允价值计量的金融资产" w:id="47"/>
      <w:bookmarkEnd w:id="47"/>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408" w:lineRule="auto" w:before="46"/>
        <w:ind w:left="113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募集资金使用情况" w:id="48"/>
      <w:bookmarkEnd w:id="48"/>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pStyle w:val="BodyText"/>
        <w:spacing w:line="240" w:lineRule="auto"/>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1）募集资金总体使用情况" w:id="49"/>
      <w:bookmarkEnd w:id="49"/>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5"/>
          <w:szCs w:val="5"/>
        </w:rPr>
      </w:pPr>
    </w:p>
    <w:tbl>
      <w:tblPr>
        <w:tblW w:w="0" w:type="auto"/>
        <w:jc w:val="left"/>
        <w:tblInd w:w="834" w:type="dxa"/>
        <w:tblLayout w:type="fixed"/>
        <w:tblCellMar>
          <w:top w:w="0" w:type="dxa"/>
          <w:left w:w="0" w:type="dxa"/>
          <w:bottom w:w="0" w:type="dxa"/>
          <w:right w:w="0" w:type="dxa"/>
        </w:tblCellMar>
        <w:tblLook w:val="01E0"/>
      </w:tblPr>
      <w:tblGrid>
        <w:gridCol w:w="1151"/>
        <w:gridCol w:w="870"/>
        <w:gridCol w:w="870"/>
        <w:gridCol w:w="870"/>
        <w:gridCol w:w="870"/>
        <w:gridCol w:w="869"/>
        <w:gridCol w:w="870"/>
        <w:gridCol w:w="870"/>
        <w:gridCol w:w="870"/>
        <w:gridCol w:w="870"/>
        <w:gridCol w:w="868"/>
      </w:tblGrid>
      <w:tr>
        <w:trPr>
          <w:trHeight w:val="1349" w:hRule="exact"/>
        </w:trPr>
        <w:tc>
          <w:tcPr>
            <w:tcW w:w="11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7" w:right="66"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6" w:right="66"/>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7" w:right="66"/>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6"/>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5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20" w:hRule="exact"/>
        </w:trPr>
        <w:tc>
          <w:tcPr>
            <w:tcW w:w="11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13"/>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35,429.12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7,180.24</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33,464.89</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1,964.23</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13"/>
              <w:jc w:val="left"/>
              <w:rPr>
                <w:rFonts w:ascii="宋体" w:hAnsi="宋体" w:cs="宋体" w:eastAsia="宋体" w:hint="default"/>
                <w:sz w:val="18"/>
                <w:szCs w:val="18"/>
              </w:rPr>
            </w:pPr>
            <w:r>
              <w:rPr>
                <w:rFonts w:ascii="宋体" w:hAnsi="宋体" w:cs="宋体" w:eastAsia="宋体" w:hint="default"/>
                <w:sz w:val="18"/>
                <w:szCs w:val="18"/>
              </w:rPr>
              <w:t>剩余存放 于专户</w:t>
            </w:r>
          </w:p>
        </w:tc>
        <w:tc>
          <w:tcPr>
            <w:tcW w:w="8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w:t>
            </w:r>
          </w:p>
        </w:tc>
      </w:tr>
      <w:tr>
        <w:trPr>
          <w:trHeight w:val="407" w:hRule="exact"/>
        </w:trPr>
        <w:tc>
          <w:tcPr>
            <w:tcW w:w="11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sz w:val="18"/>
              </w:rPr>
              <w:t>35,429.12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7,180.24</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33,464.89</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0.00%</w:t>
            </w:r>
          </w:p>
        </w:tc>
        <w:tc>
          <w:tcPr>
            <w:tcW w:w="870" w:type="dxa"/>
            <w:tcBorders>
              <w:top w:val="single" w:sz="6" w:space="0" w:color="000000"/>
              <w:left w:val="single" w:sz="6" w:space="0" w:color="000000"/>
              <w:bottom w:val="single" w:sz="6" w:space="0" w:color="000000"/>
              <w:right w:val="single" w:sz="8" w:space="0" w:color="D2D2D2"/>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1,964.23</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6" w:hRule="exact"/>
        </w:trPr>
        <w:tc>
          <w:tcPr>
            <w:tcW w:w="9848"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91" w:hRule="exact"/>
        </w:trPr>
        <w:tc>
          <w:tcPr>
            <w:tcW w:w="9848" w:type="dxa"/>
            <w:gridSpan w:val="11"/>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8"/>
                <w:sz w:val="18"/>
                <w:szCs w:val="18"/>
              </w:rPr>
              <w:t> </w:t>
            </w:r>
            <w:r>
              <w:rPr>
                <w:rFonts w:ascii="宋体" w:hAnsi="宋体" w:cs="宋体" w:eastAsia="宋体" w:hint="default"/>
                <w:sz w:val="18"/>
                <w:szCs w:val="18"/>
              </w:rPr>
              <w:t>年度，公司共使用募集资金</w:t>
            </w:r>
            <w:r>
              <w:rPr>
                <w:rFonts w:ascii="宋体" w:hAnsi="宋体" w:cs="宋体" w:eastAsia="宋体" w:hint="default"/>
                <w:spacing w:val="-68"/>
                <w:sz w:val="18"/>
                <w:szCs w:val="18"/>
              </w:rPr>
              <w:t> </w:t>
            </w:r>
            <w:r>
              <w:rPr>
                <w:rFonts w:ascii="宋体" w:hAnsi="宋体" w:cs="宋体" w:eastAsia="宋体" w:hint="default"/>
                <w:sz w:val="18"/>
                <w:szCs w:val="18"/>
              </w:rPr>
              <w:t>8,009.09</w:t>
            </w:r>
            <w:r>
              <w:rPr>
                <w:rFonts w:ascii="宋体" w:hAnsi="宋体" w:cs="宋体" w:eastAsia="宋体" w:hint="default"/>
                <w:spacing w:val="-67"/>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含利息</w:t>
            </w:r>
            <w:r>
              <w:rPr>
                <w:rFonts w:ascii="宋体" w:hAnsi="宋体" w:cs="宋体" w:eastAsia="宋体" w:hint="default"/>
                <w:sz w:val="18"/>
                <w:szCs w:val="18"/>
              </w:rPr>
              <w:t>)</w:t>
            </w:r>
            <w:r>
              <w:rPr>
                <w:rFonts w:ascii="宋体" w:hAnsi="宋体" w:cs="宋体" w:eastAsia="宋体" w:hint="default"/>
                <w:sz w:val="18"/>
                <w:szCs w:val="18"/>
              </w:rPr>
              <w:t>，其中：“电力用户用电信息采集系统产能扩大建设项目”投入</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4,091.55</w:t>
            </w:r>
            <w:r>
              <w:rPr>
                <w:rFonts w:ascii="宋体" w:hAnsi="宋体" w:cs="宋体" w:eastAsia="宋体" w:hint="default"/>
                <w:spacing w:val="-37"/>
                <w:sz w:val="18"/>
                <w:szCs w:val="18"/>
              </w:rPr>
              <w:t> </w:t>
            </w:r>
            <w:r>
              <w:rPr>
                <w:rFonts w:ascii="宋体" w:hAnsi="宋体" w:cs="宋体" w:eastAsia="宋体" w:hint="default"/>
                <w:sz w:val="18"/>
                <w:szCs w:val="18"/>
              </w:rPr>
              <w:t>万元；“研发中心建设项目”投入</w:t>
            </w:r>
            <w:r>
              <w:rPr>
                <w:rFonts w:ascii="宋体" w:hAnsi="宋体" w:cs="宋体" w:eastAsia="宋体" w:hint="default"/>
                <w:spacing w:val="-37"/>
                <w:sz w:val="18"/>
                <w:szCs w:val="18"/>
              </w:rPr>
              <w:t> </w:t>
            </w:r>
            <w:r>
              <w:rPr>
                <w:rFonts w:ascii="宋体" w:hAnsi="宋体" w:cs="宋体" w:eastAsia="宋体" w:hint="default"/>
                <w:sz w:val="18"/>
                <w:szCs w:val="18"/>
              </w:rPr>
              <w:t>18.91</w:t>
            </w:r>
            <w:r>
              <w:rPr>
                <w:rFonts w:ascii="宋体" w:hAnsi="宋体" w:cs="宋体" w:eastAsia="宋体" w:hint="default"/>
                <w:spacing w:val="-37"/>
                <w:sz w:val="18"/>
                <w:szCs w:val="18"/>
              </w:rPr>
              <w:t> </w:t>
            </w:r>
            <w:r>
              <w:rPr>
                <w:rFonts w:ascii="宋体" w:hAnsi="宋体" w:cs="宋体" w:eastAsia="宋体" w:hint="default"/>
                <w:sz w:val="18"/>
                <w:szCs w:val="18"/>
              </w:rPr>
              <w:t>万元；“电力用户用电信息采集系统产能扩大建设项目”结项后永久补充</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流动资金</w:t>
            </w:r>
            <w:r>
              <w:rPr>
                <w:rFonts w:ascii="宋体" w:hAnsi="宋体" w:cs="宋体" w:eastAsia="宋体" w:hint="default"/>
                <w:spacing w:val="-46"/>
                <w:sz w:val="18"/>
                <w:szCs w:val="18"/>
              </w:rPr>
              <w:t> </w:t>
            </w:r>
            <w:r>
              <w:rPr>
                <w:rFonts w:ascii="宋体" w:hAnsi="宋体" w:cs="宋体" w:eastAsia="宋体" w:hint="default"/>
                <w:sz w:val="18"/>
                <w:szCs w:val="18"/>
              </w:rPr>
              <w:t>3,898.63</w:t>
            </w:r>
            <w:r>
              <w:rPr>
                <w:rFonts w:ascii="宋体" w:hAnsi="宋体" w:cs="宋体" w:eastAsia="宋体" w:hint="default"/>
                <w:spacing w:val="-46"/>
                <w:sz w:val="18"/>
                <w:szCs w:val="18"/>
              </w:rPr>
              <w:t> </w:t>
            </w:r>
            <w:r>
              <w:rPr>
                <w:rFonts w:ascii="宋体" w:hAnsi="宋体" w:cs="宋体" w:eastAsia="宋体" w:hint="default"/>
                <w:sz w:val="18"/>
                <w:szCs w:val="18"/>
              </w:rPr>
              <w:t>万元（其中：本金</w:t>
            </w:r>
            <w:r>
              <w:rPr>
                <w:rFonts w:ascii="宋体" w:hAnsi="宋体" w:cs="宋体" w:eastAsia="宋体" w:hint="default"/>
                <w:spacing w:val="-46"/>
                <w:sz w:val="18"/>
                <w:szCs w:val="18"/>
              </w:rPr>
              <w:t> </w:t>
            </w:r>
            <w:r>
              <w:rPr>
                <w:rFonts w:ascii="宋体" w:hAnsi="宋体" w:cs="宋体" w:eastAsia="宋体" w:hint="default"/>
                <w:sz w:val="18"/>
                <w:szCs w:val="18"/>
              </w:rPr>
              <w:t>3,069.78</w:t>
            </w:r>
            <w:r>
              <w:rPr>
                <w:rFonts w:ascii="宋体" w:hAnsi="宋体" w:cs="宋体" w:eastAsia="宋体" w:hint="default"/>
                <w:spacing w:val="-46"/>
                <w:sz w:val="18"/>
                <w:szCs w:val="18"/>
              </w:rPr>
              <w:t> </w:t>
            </w:r>
            <w:r>
              <w:rPr>
                <w:rFonts w:ascii="宋体" w:hAnsi="宋体" w:cs="宋体" w:eastAsia="宋体" w:hint="default"/>
                <w:sz w:val="18"/>
                <w:szCs w:val="18"/>
              </w:rPr>
              <w:t>万元、利息</w:t>
            </w:r>
            <w:r>
              <w:rPr>
                <w:rFonts w:ascii="宋体" w:hAnsi="宋体" w:cs="宋体" w:eastAsia="宋体" w:hint="default"/>
                <w:spacing w:val="-46"/>
                <w:sz w:val="18"/>
                <w:szCs w:val="18"/>
              </w:rPr>
              <w:t> </w:t>
            </w:r>
            <w:r>
              <w:rPr>
                <w:rFonts w:ascii="宋体" w:hAnsi="宋体" w:cs="宋体" w:eastAsia="宋体" w:hint="default"/>
                <w:spacing w:val="1"/>
                <w:sz w:val="18"/>
                <w:szCs w:val="18"/>
              </w:rPr>
              <w:t>8</w:t>
            </w:r>
            <w:r>
              <w:rPr>
                <w:rFonts w:ascii="宋体" w:hAnsi="宋体" w:cs="宋体" w:eastAsia="宋体" w:hint="default"/>
                <w:sz w:val="18"/>
                <w:szCs w:val="18"/>
              </w:rPr>
              <w:t>28.85</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5"/>
              <w:ind w:left="37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日，公司累计共使用募集资金</w:t>
            </w:r>
            <w:r>
              <w:rPr>
                <w:rFonts w:ascii="宋体" w:hAnsi="宋体" w:cs="宋体" w:eastAsia="宋体" w:hint="default"/>
                <w:spacing w:val="-49"/>
                <w:sz w:val="18"/>
                <w:szCs w:val="18"/>
              </w:rPr>
              <w:t> </w:t>
            </w:r>
            <w:r>
              <w:rPr>
                <w:rFonts w:ascii="宋体" w:hAnsi="宋体" w:cs="宋体" w:eastAsia="宋体" w:hint="default"/>
                <w:sz w:val="18"/>
                <w:szCs w:val="18"/>
              </w:rPr>
              <w:t>34,810.87</w:t>
            </w:r>
            <w:r>
              <w:rPr>
                <w:rFonts w:ascii="宋体" w:hAnsi="宋体" w:cs="宋体" w:eastAsia="宋体" w:hint="default"/>
                <w:spacing w:val="-49"/>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含利息</w:t>
            </w:r>
            <w:r>
              <w:rPr>
                <w:rFonts w:ascii="宋体" w:hAnsi="宋体" w:cs="宋体" w:eastAsia="宋体" w:hint="default"/>
                <w:sz w:val="18"/>
                <w:szCs w:val="18"/>
              </w:rPr>
              <w:t>)</w:t>
            </w:r>
            <w:r>
              <w:rPr>
                <w:rFonts w:ascii="宋体" w:hAnsi="宋体" w:cs="宋体" w:eastAsia="宋体" w:hint="default"/>
                <w:sz w:val="18"/>
                <w:szCs w:val="18"/>
              </w:rPr>
              <w:t>，其中：“电力用户用电信息采集系统产能</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扩大建设项目”累计投入</w:t>
            </w:r>
            <w:r>
              <w:rPr>
                <w:rFonts w:ascii="宋体" w:hAnsi="宋体" w:cs="宋体" w:eastAsia="宋体" w:hint="default"/>
                <w:spacing w:val="-22"/>
                <w:sz w:val="18"/>
                <w:szCs w:val="18"/>
              </w:rPr>
              <w:t> </w:t>
            </w:r>
            <w:r>
              <w:rPr>
                <w:rFonts w:ascii="宋体" w:hAnsi="宋体" w:cs="宋体" w:eastAsia="宋体" w:hint="default"/>
                <w:sz w:val="18"/>
                <w:szCs w:val="18"/>
              </w:rPr>
              <w:t>12,158.91</w:t>
            </w:r>
            <w:r>
              <w:rPr>
                <w:rFonts w:ascii="宋体" w:hAnsi="宋体" w:cs="宋体" w:eastAsia="宋体" w:hint="default"/>
                <w:spacing w:val="-22"/>
                <w:sz w:val="18"/>
                <w:szCs w:val="18"/>
              </w:rPr>
              <w:t> </w:t>
            </w:r>
            <w:r>
              <w:rPr>
                <w:rFonts w:ascii="宋体" w:hAnsi="宋体" w:cs="宋体" w:eastAsia="宋体" w:hint="default"/>
                <w:sz w:val="18"/>
                <w:szCs w:val="18"/>
              </w:rPr>
              <w:t>万元，该项目结余募集资金永久性补充流动资金</w:t>
            </w:r>
            <w:r>
              <w:rPr>
                <w:rFonts w:ascii="宋体" w:hAnsi="宋体" w:cs="宋体" w:eastAsia="宋体" w:hint="default"/>
                <w:spacing w:val="-22"/>
                <w:sz w:val="18"/>
                <w:szCs w:val="18"/>
              </w:rPr>
              <w:t> </w:t>
            </w:r>
            <w:r>
              <w:rPr>
                <w:rFonts w:ascii="宋体" w:hAnsi="宋体" w:cs="宋体" w:eastAsia="宋体" w:hint="default"/>
                <w:sz w:val="18"/>
                <w:szCs w:val="18"/>
              </w:rPr>
              <w:t>3,898.63</w:t>
            </w:r>
            <w:r>
              <w:rPr>
                <w:rFonts w:ascii="宋体" w:hAnsi="宋体" w:cs="宋体" w:eastAsia="宋体" w:hint="default"/>
                <w:spacing w:val="-22"/>
                <w:sz w:val="18"/>
                <w:szCs w:val="18"/>
              </w:rPr>
              <w:t> </w:t>
            </w:r>
            <w:r>
              <w:rPr>
                <w:rFonts w:ascii="宋体" w:hAnsi="宋体" w:cs="宋体" w:eastAsia="宋体" w:hint="default"/>
                <w:sz w:val="18"/>
                <w:szCs w:val="18"/>
              </w:rPr>
              <w:t>万元（其中：本金</w:t>
            </w:r>
            <w:r>
              <w:rPr>
                <w:rFonts w:ascii="宋体" w:hAnsi="宋体" w:cs="宋体" w:eastAsia="宋体" w:hint="default"/>
                <w:spacing w:val="-22"/>
                <w:sz w:val="18"/>
                <w:szCs w:val="18"/>
              </w:rPr>
              <w:t> </w:t>
            </w:r>
            <w:r>
              <w:rPr>
                <w:rFonts w:ascii="宋体" w:hAnsi="宋体" w:cs="宋体" w:eastAsia="宋体" w:hint="default"/>
                <w:sz w:val="18"/>
                <w:szCs w:val="18"/>
              </w:rPr>
              <w:t>3,069.78</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4"/>
                <w:sz w:val="18"/>
                <w:szCs w:val="18"/>
              </w:rPr>
              <w:t>、</w:t>
            </w:r>
            <w:r>
              <w:rPr>
                <w:rFonts w:ascii="宋体" w:hAnsi="宋体" w:cs="宋体" w:eastAsia="宋体" w:hint="default"/>
                <w:sz w:val="18"/>
                <w:szCs w:val="18"/>
              </w:rPr>
              <w:t>利息</w:t>
            </w:r>
            <w:r>
              <w:rPr>
                <w:rFonts w:ascii="宋体" w:hAnsi="宋体" w:cs="宋体" w:eastAsia="宋体" w:hint="default"/>
                <w:spacing w:val="-46"/>
                <w:sz w:val="18"/>
                <w:szCs w:val="18"/>
              </w:rPr>
              <w:t> </w:t>
            </w:r>
            <w:r>
              <w:rPr>
                <w:rFonts w:ascii="宋体" w:hAnsi="宋体" w:cs="宋体" w:eastAsia="宋体" w:hint="default"/>
                <w:sz w:val="18"/>
                <w:szCs w:val="18"/>
              </w:rPr>
              <w:t>828.85</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“研发中心建设项目”累计投入</w:t>
            </w:r>
            <w:r>
              <w:rPr>
                <w:rFonts w:ascii="宋体" w:hAnsi="宋体" w:cs="宋体" w:eastAsia="宋体" w:hint="default"/>
                <w:spacing w:val="-46"/>
                <w:sz w:val="18"/>
                <w:szCs w:val="18"/>
              </w:rPr>
              <w:t> </w:t>
            </w:r>
            <w:r>
              <w:rPr>
                <w:rFonts w:ascii="宋体" w:hAnsi="宋体" w:cs="宋体" w:eastAsia="宋体" w:hint="default"/>
                <w:sz w:val="18"/>
                <w:szCs w:val="18"/>
              </w:rPr>
              <w:t>3,207.08</w:t>
            </w:r>
            <w:r>
              <w:rPr>
                <w:rFonts w:ascii="宋体" w:hAnsi="宋体" w:cs="宋体" w:eastAsia="宋体" w:hint="default"/>
                <w:spacing w:val="-46"/>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w:t>
            </w:r>
            <w:r>
              <w:rPr>
                <w:rFonts w:ascii="宋体" w:hAnsi="宋体" w:cs="宋体" w:eastAsia="宋体" w:hint="default"/>
                <w:spacing w:val="-4"/>
                <w:sz w:val="18"/>
                <w:szCs w:val="18"/>
              </w:rPr>
              <w:t>；</w:t>
            </w:r>
            <w:r>
              <w:rPr>
                <w:rFonts w:ascii="宋体" w:hAnsi="宋体" w:cs="宋体" w:eastAsia="宋体" w:hint="default"/>
                <w:sz w:val="18"/>
                <w:szCs w:val="18"/>
              </w:rPr>
              <w:t>超募资金使用</w:t>
            </w:r>
            <w:r>
              <w:rPr>
                <w:rFonts w:ascii="宋体" w:hAnsi="宋体" w:cs="宋体" w:eastAsia="宋体" w:hint="default"/>
                <w:spacing w:val="-46"/>
                <w:sz w:val="18"/>
                <w:szCs w:val="18"/>
              </w:rPr>
              <w:t> </w:t>
            </w:r>
            <w:r>
              <w:rPr>
                <w:rFonts w:ascii="宋体" w:hAnsi="宋体" w:cs="宋体" w:eastAsia="宋体" w:hint="default"/>
                <w:sz w:val="18"/>
                <w:szCs w:val="18"/>
              </w:rPr>
              <w:t>15,546.25</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4"/>
                <w:sz w:val="18"/>
                <w:szCs w:val="18"/>
              </w:rPr>
              <w:t>元</w:t>
            </w:r>
            <w:r>
              <w:rPr>
                <w:rFonts w:ascii="宋体" w:hAnsi="宋体" w:cs="宋体" w:eastAsia="宋体" w:hint="default"/>
                <w:sz w:val="18"/>
                <w:szCs w:val="18"/>
              </w:rPr>
              <w:t>（其中</w:t>
            </w:r>
            <w:r>
              <w:rPr>
                <w:rFonts w:ascii="宋体" w:hAnsi="宋体" w:cs="宋体" w:eastAsia="宋体" w:hint="default"/>
                <w:spacing w:val="-4"/>
                <w:sz w:val="18"/>
                <w:szCs w:val="18"/>
              </w:rPr>
              <w:t>：</w:t>
            </w:r>
            <w:r>
              <w:rPr>
                <w:rFonts w:ascii="宋体" w:hAnsi="宋体" w:cs="宋体" w:eastAsia="宋体" w:hint="default"/>
                <w:sz w:val="18"/>
                <w:szCs w:val="18"/>
              </w:rPr>
              <w:t>永久补充</w:t>
            </w:r>
          </w:p>
          <w:p>
            <w:pPr>
              <w:pStyle w:val="TableParagraph"/>
              <w:spacing w:line="240" w:lineRule="auto" w:before="78"/>
              <w:ind w:left="14" w:right="0"/>
              <w:jc w:val="left"/>
              <w:rPr>
                <w:rFonts w:ascii="宋体" w:hAnsi="宋体" w:cs="宋体" w:eastAsia="宋体" w:hint="default"/>
                <w:sz w:val="18"/>
                <w:szCs w:val="18"/>
              </w:rPr>
            </w:pPr>
            <w:r>
              <w:rPr>
                <w:rFonts w:ascii="宋体" w:hAnsi="宋体" w:cs="宋体" w:eastAsia="宋体" w:hint="default"/>
                <w:sz w:val="18"/>
                <w:szCs w:val="18"/>
              </w:rPr>
              <w:t>流动资金</w:t>
            </w:r>
            <w:r>
              <w:rPr>
                <w:rFonts w:ascii="宋体" w:hAnsi="宋体" w:cs="宋体" w:eastAsia="宋体" w:hint="default"/>
                <w:spacing w:val="-46"/>
                <w:sz w:val="18"/>
                <w:szCs w:val="18"/>
              </w:rPr>
              <w:t> </w:t>
            </w:r>
            <w:r>
              <w:rPr>
                <w:rFonts w:ascii="宋体" w:hAnsi="宋体" w:cs="宋体" w:eastAsia="宋体" w:hint="default"/>
                <w:sz w:val="18"/>
                <w:szCs w:val="18"/>
              </w:rPr>
              <w:t>8,250.00</w:t>
            </w:r>
            <w:r>
              <w:rPr>
                <w:rFonts w:ascii="宋体" w:hAnsi="宋体" w:cs="宋体" w:eastAsia="宋体" w:hint="default"/>
                <w:spacing w:val="-46"/>
                <w:sz w:val="18"/>
                <w:szCs w:val="18"/>
              </w:rPr>
              <w:t> </w:t>
            </w:r>
            <w:r>
              <w:rPr>
                <w:rFonts w:ascii="宋体" w:hAnsi="宋体" w:cs="宋体" w:eastAsia="宋体" w:hint="default"/>
                <w:sz w:val="18"/>
                <w:szCs w:val="18"/>
              </w:rPr>
              <w:t>万元；收购索瑞电气股权</w:t>
            </w:r>
            <w:r>
              <w:rPr>
                <w:rFonts w:ascii="宋体" w:hAnsi="宋体" w:cs="宋体" w:eastAsia="宋体" w:hint="default"/>
                <w:spacing w:val="-46"/>
                <w:sz w:val="18"/>
                <w:szCs w:val="18"/>
              </w:rPr>
              <w:t> </w:t>
            </w:r>
            <w:r>
              <w:rPr>
                <w:rFonts w:ascii="宋体" w:hAnsi="宋体" w:cs="宋体" w:eastAsia="宋体" w:hint="default"/>
                <w:sz w:val="18"/>
                <w:szCs w:val="18"/>
              </w:rPr>
              <w:t>7,296.25</w:t>
            </w:r>
            <w:r>
              <w:rPr>
                <w:rFonts w:ascii="宋体" w:hAnsi="宋体" w:cs="宋体" w:eastAsia="宋体" w:hint="default"/>
                <w:spacing w:val="-46"/>
                <w:sz w:val="18"/>
                <w:szCs w:val="18"/>
              </w:rPr>
              <w:t> </w:t>
            </w:r>
            <w:r>
              <w:rPr>
                <w:rFonts w:ascii="宋体" w:hAnsi="宋体" w:cs="宋体" w:eastAsia="宋体" w:hint="default"/>
                <w:sz w:val="18"/>
                <w:szCs w:val="18"/>
              </w:rPr>
              <w:t>万元，其中本金</w:t>
            </w:r>
            <w:r>
              <w:rPr>
                <w:rFonts w:ascii="宋体" w:hAnsi="宋体" w:cs="宋体" w:eastAsia="宋体" w:hint="default"/>
                <w:spacing w:val="-46"/>
                <w:sz w:val="18"/>
                <w:szCs w:val="18"/>
              </w:rPr>
              <w:t> </w:t>
            </w:r>
            <w:r>
              <w:rPr>
                <w:rFonts w:ascii="宋体" w:hAnsi="宋体" w:cs="宋体" w:eastAsia="宋体" w:hint="default"/>
                <w:sz w:val="18"/>
                <w:szCs w:val="18"/>
              </w:rPr>
              <w:t>6,779.12</w:t>
            </w:r>
            <w:r>
              <w:rPr>
                <w:rFonts w:ascii="宋体" w:hAnsi="宋体" w:cs="宋体" w:eastAsia="宋体" w:hint="default"/>
                <w:spacing w:val="-46"/>
                <w:sz w:val="18"/>
                <w:szCs w:val="18"/>
              </w:rPr>
              <w:t> </w:t>
            </w:r>
            <w:r>
              <w:rPr>
                <w:rFonts w:ascii="宋体" w:hAnsi="宋体" w:cs="宋体" w:eastAsia="宋体" w:hint="default"/>
                <w:sz w:val="18"/>
                <w:szCs w:val="18"/>
              </w:rPr>
              <w:t>万元，利息</w:t>
            </w:r>
            <w:r>
              <w:rPr>
                <w:rFonts w:ascii="宋体" w:hAnsi="宋体" w:cs="宋体" w:eastAsia="宋体" w:hint="default"/>
                <w:spacing w:val="-46"/>
                <w:sz w:val="18"/>
                <w:szCs w:val="18"/>
              </w:rPr>
              <w:t> </w:t>
            </w:r>
            <w:r>
              <w:rPr>
                <w:rFonts w:ascii="宋体" w:hAnsi="宋体" w:cs="宋体" w:eastAsia="宋体" w:hint="default"/>
                <w:sz w:val="18"/>
                <w:szCs w:val="18"/>
              </w:rPr>
              <w:t>517.13</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5"/>
              <w:ind w:left="450"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日，公司募集资金专户实际余额为</w:t>
            </w:r>
            <w:r>
              <w:rPr>
                <w:rFonts w:ascii="宋体" w:hAnsi="宋体" w:cs="宋体" w:eastAsia="宋体" w:hint="default"/>
                <w:spacing w:val="-46"/>
                <w:sz w:val="18"/>
                <w:szCs w:val="18"/>
              </w:rPr>
              <w:t> </w:t>
            </w:r>
            <w:r>
              <w:rPr>
                <w:rFonts w:ascii="宋体" w:hAnsi="宋体" w:cs="宋体" w:eastAsia="宋体" w:hint="default"/>
                <w:sz w:val="18"/>
                <w:szCs w:val="18"/>
              </w:rPr>
              <w:t>2,262.50</w:t>
            </w:r>
            <w:r>
              <w:rPr>
                <w:rFonts w:ascii="宋体" w:hAnsi="宋体" w:cs="宋体" w:eastAsia="宋体" w:hint="default"/>
                <w:spacing w:val="-46"/>
                <w:sz w:val="18"/>
                <w:szCs w:val="18"/>
              </w:rPr>
              <w:t> </w:t>
            </w:r>
            <w:r>
              <w:rPr>
                <w:rFonts w:ascii="宋体" w:hAnsi="宋体" w:cs="宋体" w:eastAsia="宋体" w:hint="default"/>
                <w:sz w:val="18"/>
                <w:szCs w:val="18"/>
              </w:rPr>
              <w:t>万元，其中：募集资金实际余额为</w:t>
            </w:r>
            <w:r>
              <w:rPr>
                <w:rFonts w:ascii="宋体" w:hAnsi="宋体" w:cs="宋体" w:eastAsia="宋体" w:hint="default"/>
                <w:spacing w:val="-46"/>
                <w:sz w:val="18"/>
                <w:szCs w:val="18"/>
              </w:rPr>
              <w:t> </w:t>
            </w:r>
            <w:r>
              <w:rPr>
                <w:rFonts w:ascii="宋体" w:hAnsi="宋体" w:cs="宋体" w:eastAsia="宋体" w:hint="default"/>
                <w:sz w:val="18"/>
                <w:szCs w:val="18"/>
              </w:rPr>
              <w:t>1,964.23</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pacing w:val="-46"/>
                <w:sz w:val="18"/>
                <w:szCs w:val="18"/>
              </w:rPr>
              <w:t> </w:t>
            </w:r>
            <w:r>
              <w:rPr>
                <w:rFonts w:ascii="宋体" w:hAnsi="宋体" w:cs="宋体" w:eastAsia="宋体" w:hint="default"/>
                <w:sz w:val="18"/>
                <w:szCs w:val="18"/>
              </w:rPr>
              <w:t>298.27</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2）募集资金承诺项目情况" w:id="50"/>
      <w:bookmarkEnd w:id="50"/>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0" w:right="1139" w:firstLine="0"/>
        <w:jc w:val="right"/>
        <w:rPr>
          <w:rFonts w:ascii="宋体" w:hAnsi="宋体" w:cs="宋体" w:eastAsia="宋体" w:hint="default"/>
          <w:sz w:val="18"/>
          <w:szCs w:val="18"/>
        </w:rPr>
      </w:pPr>
      <w:r>
        <w:rPr/>
        <w:pict>
          <v:shape style="position:absolute;margin-left:41.700001pt;margin-top:-397.468292pt;width:494.95pt;height:616.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4"/>
                    <w:gridCol w:w="198"/>
                    <w:gridCol w:w="648"/>
                    <w:gridCol w:w="1064"/>
                    <w:gridCol w:w="780"/>
                    <w:gridCol w:w="779"/>
                    <w:gridCol w:w="924"/>
                    <w:gridCol w:w="713"/>
                    <w:gridCol w:w="848"/>
                    <w:gridCol w:w="854"/>
                    <w:gridCol w:w="563"/>
                    <w:gridCol w:w="143"/>
                    <w:gridCol w:w="636"/>
                  </w:tblGrid>
                  <w:tr>
                    <w:trPr>
                      <w:trHeight w:val="1662" w:hRule="exact"/>
                    </w:trPr>
                    <w:tc>
                      <w:tcPr>
                        <w:tcW w:w="170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77" w:right="33"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846"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7" w:right="52"/>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6" w:right="7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7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1"/>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7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2"/>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2" w:right="35"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2" w:right="35"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8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5" w:right="57"/>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7" w:right="6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5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78"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7" w:hRule="exact"/>
                    </w:trPr>
                    <w:tc>
                      <w:tcPr>
                        <w:tcW w:w="9853" w:type="dxa"/>
                        <w:gridSpan w:val="1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32"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4" w:right="45"/>
                          <w:jc w:val="both"/>
                          <w:rPr>
                            <w:rFonts w:ascii="宋体" w:hAnsi="宋体" w:cs="宋体" w:eastAsia="宋体" w:hint="default"/>
                            <w:sz w:val="18"/>
                            <w:szCs w:val="18"/>
                          </w:rPr>
                        </w:pPr>
                        <w:r>
                          <w:rPr>
                            <w:rFonts w:ascii="宋体" w:hAnsi="宋体" w:cs="宋体" w:eastAsia="宋体" w:hint="default"/>
                            <w:sz w:val="18"/>
                            <w:szCs w:val="18"/>
                          </w:rPr>
                          <w:t>电力用户用电信息采 集系统产能扩大建设 项目</w:t>
                        </w:r>
                      </w:p>
                    </w:tc>
                    <w:tc>
                      <w:tcPr>
                        <w:tcW w:w="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15,300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15,300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4,091.55</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12,158.91</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0" w:right="0"/>
                          <w:jc w:val="center"/>
                          <w:rPr>
                            <w:rFonts w:ascii="宋体" w:hAnsi="宋体" w:cs="宋体" w:eastAsia="宋体" w:hint="default"/>
                            <w:sz w:val="18"/>
                            <w:szCs w:val="18"/>
                          </w:rPr>
                        </w:pPr>
                        <w:r>
                          <w:rPr>
                            <w:rFonts w:ascii="宋体"/>
                            <w:sz w:val="18"/>
                          </w:rPr>
                          <w:t>79.47%</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441.49</w:t>
                        </w:r>
                      </w:p>
                    </w:tc>
                    <w:tc>
                      <w:tcPr>
                        <w:tcW w:w="7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5,100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5,100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18.91</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3,207.08</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sz w:val="18"/>
                          </w:rPr>
                          <w:t>62.88%</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4" w:type="dxa"/>
                        <w:tcBorders>
                          <w:top w:val="single" w:sz="6" w:space="0" w:color="000000"/>
                          <w:left w:val="single" w:sz="6" w:space="0" w:color="000000"/>
                          <w:bottom w:val="single" w:sz="6" w:space="0" w:color="000000"/>
                          <w:right w:val="single" w:sz="6" w:space="0" w:color="000000"/>
                        </w:tcBorders>
                      </w:tcPr>
                      <w:p>
                        <w:pPr/>
                      </w:p>
                    </w:tc>
                    <w:tc>
                      <w:tcPr>
                        <w:tcW w:w="7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43"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4" w:right="45"/>
                          <w:jc w:val="both"/>
                          <w:rPr>
                            <w:rFonts w:ascii="宋体" w:hAnsi="宋体" w:cs="宋体" w:eastAsia="宋体" w:hint="default"/>
                            <w:sz w:val="18"/>
                            <w:szCs w:val="18"/>
                          </w:rPr>
                        </w:pPr>
                        <w:r>
                          <w:rPr>
                            <w:rFonts w:ascii="宋体" w:hAnsi="宋体" w:cs="宋体" w:eastAsia="宋体" w:hint="default"/>
                            <w:sz w:val="18"/>
                            <w:szCs w:val="18"/>
                          </w:rPr>
                          <w:t>电力用户用电信息采 集系统产能扩大建设 项目结项永久补充流 动资金</w:t>
                        </w:r>
                      </w:p>
                    </w:tc>
                    <w:tc>
                      <w:tcPr>
                        <w:tcW w:w="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3,898.63</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3,898.63</w:t>
                        </w:r>
                      </w:p>
                    </w:tc>
                    <w:tc>
                      <w:tcPr>
                        <w:tcW w:w="713"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7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4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106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20,400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20,400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8,009.09</w:t>
                        </w:r>
                      </w:p>
                    </w:tc>
                    <w:tc>
                      <w:tcPr>
                        <w:tcW w:w="92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19,264.62</w:t>
                        </w:r>
                      </w:p>
                    </w:tc>
                    <w:tc>
                      <w:tcPr>
                        <w:tcW w:w="7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4" w:type="dxa"/>
                        <w:tcBorders>
                          <w:top w:val="single" w:sz="6" w:space="0" w:color="000000"/>
                          <w:left w:val="single" w:sz="14" w:space="0" w:color="D2D2D2"/>
                          <w:bottom w:val="single" w:sz="6" w:space="0" w:color="000000"/>
                          <w:right w:val="single" w:sz="14"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441.49</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63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r>
                    <w:trPr>
                      <w:trHeight w:val="407" w:hRule="exact"/>
                    </w:trPr>
                    <w:tc>
                      <w:tcPr>
                        <w:tcW w:w="9853" w:type="dxa"/>
                        <w:gridSpan w:val="1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收购索瑞电气股权</w:t>
                        </w:r>
                      </w:p>
                    </w:tc>
                    <w:tc>
                      <w:tcPr>
                        <w:tcW w:w="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7,296.25</w:t>
                        </w:r>
                      </w:p>
                    </w:tc>
                    <w:tc>
                      <w:tcPr>
                        <w:tcW w:w="713"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3,311.08</w:t>
                        </w:r>
                      </w:p>
                    </w:tc>
                    <w:tc>
                      <w:tcPr>
                        <w:tcW w:w="7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pacing w:val="-8"/>
                            <w:sz w:val="18"/>
                            <w:szCs w:val="18"/>
                          </w:rPr>
                          <w:t>补充流动资金（如有</w:t>
                        </w:r>
                      </w:p>
                    </w:tc>
                    <w:tc>
                      <w:tcPr>
                        <w:tcW w:w="198" w:type="dxa"/>
                        <w:tcBorders>
                          <w:top w:val="single" w:sz="6" w:space="0" w:color="000000"/>
                          <w:left w:val="single" w:sz="6" w:space="0" w:color="000000"/>
                          <w:bottom w:val="single" w:sz="6" w:space="0" w:color="000000"/>
                          <w:right w:val="nil" w:sz="6" w:space="0" w:color="auto"/>
                        </w:tcBorders>
                        <w:shd w:val="clear" w:color="auto" w:fill="D2D2D2"/>
                      </w:tcPr>
                      <w:p>
                        <w:pPr>
                          <w:pStyle w:val="TableParagraph"/>
                          <w:spacing w:line="240" w:lineRule="auto" w:before="52"/>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648"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sz w:val="18"/>
                          </w:rPr>
                          <w:t>--</w:t>
                        </w:r>
                      </w:p>
                    </w:tc>
                    <w:tc>
                      <w:tcPr>
                        <w:tcW w:w="1064" w:type="dxa"/>
                        <w:tcBorders>
                          <w:top w:val="single" w:sz="6" w:space="0" w:color="000000"/>
                          <w:left w:val="single" w:sz="14" w:space="0" w:color="D2D2D2"/>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8,250</w:t>
                        </w:r>
                      </w:p>
                    </w:tc>
                    <w:tc>
                      <w:tcPr>
                        <w:tcW w:w="713" w:type="dxa"/>
                        <w:tcBorders>
                          <w:top w:val="single" w:sz="6" w:space="0" w:color="000000"/>
                          <w:left w:val="single" w:sz="6" w:space="0" w:color="000000"/>
                          <w:bottom w:val="single" w:sz="6" w:space="0" w:color="000000"/>
                          <w:right w:val="single" w:sz="9" w:space="0" w:color="D2D2D2"/>
                        </w:tcBorders>
                      </w:tcPr>
                      <w:p>
                        <w:pPr/>
                      </w:p>
                    </w:tc>
                    <w:tc>
                      <w:tcPr>
                        <w:tcW w:w="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sz w:val="18"/>
                          </w:rPr>
                          <w:t>--</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sz w:val="18"/>
                          </w:rPr>
                          <w:t>--</w:t>
                        </w:r>
                      </w:p>
                    </w:tc>
                    <w:tc>
                      <w:tcPr>
                        <w:tcW w:w="63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r>
                    <w:trPr>
                      <w:trHeight w:val="407" w:hRule="exact"/>
                    </w:trPr>
                    <w:tc>
                      <w:tcPr>
                        <w:tcW w:w="17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4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1064" w:type="dxa"/>
                        <w:tcBorders>
                          <w:top w:val="single" w:sz="6" w:space="0" w:color="000000"/>
                          <w:left w:val="single" w:sz="14" w:space="0" w:color="D2D2D2"/>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15,546.25</w:t>
                        </w:r>
                      </w:p>
                    </w:tc>
                    <w:tc>
                      <w:tcPr>
                        <w:tcW w:w="7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4" w:type="dxa"/>
                        <w:tcBorders>
                          <w:top w:val="single" w:sz="6" w:space="0" w:color="000000"/>
                          <w:left w:val="single" w:sz="14" w:space="0" w:color="D2D2D2"/>
                          <w:bottom w:val="single" w:sz="6" w:space="0" w:color="000000"/>
                          <w:right w:val="single" w:sz="14"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3,311.08</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63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r>
                    <w:trPr>
                      <w:trHeight w:val="407" w:hRule="exact"/>
                    </w:trPr>
                    <w:tc>
                      <w:tcPr>
                        <w:tcW w:w="170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106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20,400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20,400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8,009.09</w:t>
                        </w:r>
                      </w:p>
                    </w:tc>
                    <w:tc>
                      <w:tcPr>
                        <w:tcW w:w="924"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34,810.87</w:t>
                        </w:r>
                      </w:p>
                    </w:tc>
                    <w:tc>
                      <w:tcPr>
                        <w:tcW w:w="7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4" w:type="dxa"/>
                        <w:tcBorders>
                          <w:top w:val="single" w:sz="6" w:space="0" w:color="000000"/>
                          <w:left w:val="single" w:sz="14" w:space="0" w:color="D2D2D2"/>
                          <w:bottom w:val="single" w:sz="6" w:space="0" w:color="000000"/>
                          <w:right w:val="single" w:sz="14" w:space="0" w:color="D2D2D2"/>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3,752.57</w:t>
                        </w:r>
                      </w:p>
                    </w:tc>
                    <w:tc>
                      <w:tcPr>
                        <w:tcW w:w="70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63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r>
                    <w:trPr>
                      <w:trHeight w:val="1840" w:hRule="exact"/>
                    </w:trPr>
                    <w:tc>
                      <w:tcPr>
                        <w:tcW w:w="1704" w:type="dxa"/>
                        <w:tcBorders>
                          <w:top w:val="single" w:sz="6" w:space="0" w:color="000000"/>
                          <w:left w:val="single" w:sz="12" w:space="0" w:color="000000"/>
                          <w:bottom w:val="nil" w:sz="6" w:space="0" w:color="auto"/>
                          <w:right w:val="single" w:sz="6" w:space="0" w:color="000000"/>
                        </w:tcBorders>
                        <w:shd w:val="clear" w:color="auto" w:fill="D2D2D2"/>
                      </w:tcPr>
                      <w:p>
                        <w:pPr/>
                      </w:p>
                    </w:tc>
                    <w:tc>
                      <w:tcPr>
                        <w:tcW w:w="8149" w:type="dxa"/>
                        <w:gridSpan w:val="12"/>
                        <w:vMerge w:val="restart"/>
                        <w:tcBorders>
                          <w:top w:val="single" w:sz="6" w:space="0" w:color="000000"/>
                          <w:left w:val="single" w:sz="9" w:space="0" w:color="D2D2D2"/>
                          <w:right w:val="single" w:sz="12" w:space="0" w:color="000000"/>
                        </w:tcBorders>
                      </w:tcPr>
                      <w:p>
                        <w:pPr>
                          <w:pStyle w:val="TableParagraph"/>
                          <w:spacing w:line="316" w:lineRule="auto" w:before="10"/>
                          <w:ind w:left="16" w:right="13" w:firstLine="360"/>
                          <w:jc w:val="both"/>
                          <w:rPr>
                            <w:rFonts w:ascii="宋体" w:hAnsi="宋体" w:cs="宋体" w:eastAsia="宋体" w:hint="default"/>
                            <w:sz w:val="18"/>
                            <w:szCs w:val="18"/>
                          </w:rPr>
                        </w:pPr>
                        <w:r>
                          <w:rPr>
                            <w:rFonts w:ascii="宋体" w:hAnsi="宋体" w:cs="宋体" w:eastAsia="宋体" w:hint="default"/>
                            <w:sz w:val="18"/>
                            <w:szCs w:val="18"/>
                          </w:rPr>
                          <w:t>①电力用户用电信息采集系统产能扩大建设项目：由于公司变更了募集资金投资项目实施地点，详 见公司</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pacing w:val="-4"/>
                            <w:sz w:val="18"/>
                            <w:szCs w:val="18"/>
                          </w:rPr>
                          <w:t>日披露的《关于变更部分募集资金投资项目实施地点的公告》（公告编码（</w:t>
                        </w:r>
                        <w:r>
                          <w:rPr>
                            <w:rFonts w:ascii="宋体" w:hAnsi="宋体" w:cs="宋体" w:eastAsia="宋体" w:hint="default"/>
                            <w:spacing w:val="-4"/>
                            <w:sz w:val="18"/>
                            <w:szCs w:val="18"/>
                          </w:rPr>
                          <w:t>2013</w:t>
                        </w:r>
                      </w:p>
                      <w:p>
                        <w:pPr>
                          <w:pStyle w:val="TableParagraph"/>
                          <w:spacing w:line="316" w:lineRule="auto" w:before="19"/>
                          <w:ind w:left="16" w:right="11"/>
                          <w:jc w:val="both"/>
                          <w:rPr>
                            <w:rFonts w:ascii="宋体" w:hAnsi="宋体" w:cs="宋体" w:eastAsia="宋体" w:hint="default"/>
                            <w:sz w:val="18"/>
                            <w:szCs w:val="18"/>
                          </w:rPr>
                        </w:pPr>
                        <w:r>
                          <w:rPr>
                            <w:rFonts w:ascii="宋体" w:hAnsi="宋体" w:cs="宋体" w:eastAsia="宋体" w:hint="default"/>
                            <w:sz w:val="18"/>
                            <w:szCs w:val="18"/>
                          </w:rPr>
                          <w:t>0111-</w:t>
                        </w:r>
                        <w:r>
                          <w:rPr>
                            <w:rFonts w:ascii="宋体" w:hAnsi="宋体" w:cs="宋体" w:eastAsia="宋体" w:hint="default"/>
                            <w:spacing w:val="-37"/>
                            <w:sz w:val="18"/>
                            <w:szCs w:val="18"/>
                          </w:rPr>
                          <w:t> </w:t>
                        </w:r>
                        <w:r>
                          <w:rPr>
                            <w:rFonts w:ascii="宋体" w:hAnsi="宋体" w:cs="宋体" w:eastAsia="宋体" w:hint="default"/>
                            <w:sz w:val="18"/>
                            <w:szCs w:val="18"/>
                          </w:rPr>
                          <w:t>003</w:t>
                        </w:r>
                        <w:r>
                          <w:rPr>
                            <w:rFonts w:ascii="宋体" w:hAnsi="宋体" w:cs="宋体" w:eastAsia="宋体" w:hint="default"/>
                            <w:spacing w:val="-38"/>
                            <w:sz w:val="18"/>
                            <w:szCs w:val="18"/>
                          </w:rPr>
                          <w:t> </w:t>
                        </w:r>
                        <w:r>
                          <w:rPr>
                            <w:rFonts w:ascii="宋体" w:hAnsi="宋体" w:cs="宋体" w:eastAsia="宋体" w:hint="default"/>
                            <w:spacing w:val="-3"/>
                            <w:sz w:val="18"/>
                            <w:szCs w:val="18"/>
                          </w:rPr>
                          <w:t>号），与之相关的规划许可审批、施工图审批、消防审批及项目施工许可审批等环节都相应调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整并重新办理，需时较长。另外，公司所在城市于</w:t>
                        </w:r>
                        <w:r>
                          <w:rPr>
                            <w:rFonts w:ascii="宋体" w:hAnsi="宋体" w:cs="宋体" w:eastAsia="宋体" w:hint="default"/>
                            <w:spacing w:val="-32"/>
                            <w:sz w:val="18"/>
                            <w:szCs w:val="18"/>
                          </w:rPr>
                          <w:t> </w:t>
                        </w:r>
                        <w:r>
                          <w:rPr>
                            <w:rFonts w:ascii="宋体" w:hAnsi="宋体" w:cs="宋体" w:eastAsia="宋体" w:hint="default"/>
                            <w:sz w:val="18"/>
                            <w:szCs w:val="18"/>
                          </w:rPr>
                          <w:t>2013</w:t>
                        </w:r>
                        <w:r>
                          <w:rPr>
                            <w:rFonts w:ascii="宋体" w:hAnsi="宋体" w:cs="宋体" w:eastAsia="宋体" w:hint="default"/>
                            <w:spacing w:val="-32"/>
                            <w:sz w:val="18"/>
                            <w:szCs w:val="18"/>
                          </w:rPr>
                          <w:t> </w:t>
                        </w:r>
                        <w:r>
                          <w:rPr>
                            <w:rFonts w:ascii="宋体" w:hAnsi="宋体" w:cs="宋体" w:eastAsia="宋体" w:hint="default"/>
                            <w:sz w:val="18"/>
                            <w:szCs w:val="18"/>
                          </w:rPr>
                          <w:t>年承办亚青会，</w:t>
                        </w:r>
                        <w:r>
                          <w:rPr>
                            <w:rFonts w:ascii="宋体" w:hAnsi="宋体" w:cs="宋体" w:eastAsia="宋体" w:hint="default"/>
                            <w:sz w:val="18"/>
                            <w:szCs w:val="18"/>
                          </w:rPr>
                          <w:t>2014</w:t>
                        </w:r>
                        <w:r>
                          <w:rPr>
                            <w:rFonts w:ascii="宋体" w:hAnsi="宋体" w:cs="宋体" w:eastAsia="宋体" w:hint="default"/>
                            <w:spacing w:val="-33"/>
                            <w:sz w:val="18"/>
                            <w:szCs w:val="18"/>
                          </w:rPr>
                          <w:t> </w:t>
                        </w:r>
                        <w:r>
                          <w:rPr>
                            <w:rFonts w:ascii="宋体" w:hAnsi="宋体" w:cs="宋体" w:eastAsia="宋体" w:hint="default"/>
                            <w:sz w:val="18"/>
                            <w:szCs w:val="18"/>
                          </w:rPr>
                          <w:t>年承办青奥会，服从政府 </w:t>
                        </w:r>
                        <w:r>
                          <w:rPr>
                            <w:rFonts w:ascii="宋体" w:hAnsi="宋体" w:cs="宋体" w:eastAsia="宋体" w:hint="default"/>
                            <w:spacing w:val="3"/>
                            <w:sz w:val="18"/>
                            <w:szCs w:val="18"/>
                          </w:rPr>
                          <w:t>部门在此期间对基建项目的管理要求也对项目的基建工期有一定影响，公司考虑到上述因素，公司在</w:t>
                        </w:r>
                      </w:p>
                      <w:p>
                        <w:pPr>
                          <w:pStyle w:val="TableParagraph"/>
                          <w:spacing w:line="316" w:lineRule="auto" w:before="19"/>
                          <w:ind w:left="16" w:right="1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年度半年度报告》中将“电力用户用电信息采集系统产能扩大建设项目”达到预定可使用状态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日期由</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19"/>
                          <w:ind w:left="16" w:right="9" w:firstLine="360"/>
                          <w:jc w:val="both"/>
                          <w:rPr>
                            <w:rFonts w:ascii="宋体" w:hAnsi="宋体" w:cs="宋体" w:eastAsia="宋体" w:hint="default"/>
                            <w:sz w:val="18"/>
                            <w:szCs w:val="18"/>
                          </w:rPr>
                        </w:pPr>
                        <w:r>
                          <w:rPr>
                            <w:rFonts w:ascii="宋体" w:hAnsi="宋体" w:cs="宋体" w:eastAsia="宋体" w:hint="default"/>
                            <w:sz w:val="18"/>
                            <w:szCs w:val="18"/>
                          </w:rPr>
                          <w:t>由于亚青会的召开及青奥会前期的市政工作，募投项目 </w:t>
                        </w:r>
                        <w:r>
                          <w:rPr>
                            <w:rFonts w:ascii="宋体" w:hAnsi="宋体" w:cs="宋体" w:eastAsia="宋体" w:hint="default"/>
                            <w:sz w:val="18"/>
                            <w:szCs w:val="18"/>
                          </w:rPr>
                          <w:t>2013</w:t>
                        </w:r>
                        <w:r>
                          <w:rPr>
                            <w:rFonts w:ascii="宋体" w:hAnsi="宋体" w:cs="宋体" w:eastAsia="宋体" w:hint="default"/>
                            <w:spacing w:val="-6"/>
                            <w:sz w:val="18"/>
                            <w:szCs w:val="18"/>
                          </w:rPr>
                          <w:t> </w:t>
                        </w:r>
                        <w:r>
                          <w:rPr>
                            <w:rFonts w:ascii="宋体" w:hAnsi="宋体" w:cs="宋体" w:eastAsia="宋体" w:hint="default"/>
                            <w:sz w:val="18"/>
                            <w:szCs w:val="18"/>
                          </w:rPr>
                          <w:t>年下半年的基建进度受到的影响比预 期要大，此外为响应党的十八大关于绿色、科技、节能、减排的号召，综合考虑募投项目未来运行及管 理的科学性和便利性，以及灵活利用生产设备，充分发挥生产效率的需要，公司对电力用户用电信息采 集系统产能扩大建设项目在厂房内部结构和布局上重新进行规划设计。为避免完工后二次改造产生额外 成本，公司决定在厂房建设阶段即进行方案设计和实施，将其建设成节能减排、绿色科技厂房。考虑到 上述因素，公司将“电力用户用电信息采集系统产能扩大建设项目”达到预定可使用状态日期由</w:t>
                        </w:r>
                        <w:r>
                          <w:rPr>
                            <w:rFonts w:ascii="宋体" w:hAnsi="宋体" w:cs="宋体" w:eastAsia="宋体" w:hint="default"/>
                            <w:spacing w:val="76"/>
                            <w:sz w:val="18"/>
                            <w:szCs w:val="18"/>
                          </w:rPr>
                          <w:t> </w:t>
                        </w:r>
                        <w:r>
                          <w:rPr>
                            <w:rFonts w:ascii="宋体" w:hAnsi="宋体" w:cs="宋体" w:eastAsia="宋体" w:hint="default"/>
                            <w:sz w:val="18"/>
                            <w:szCs w:val="18"/>
                          </w:rPr>
                          <w:t>2014</w:t>
                        </w:r>
                      </w:p>
                      <w:p>
                        <w:pPr>
                          <w:pStyle w:val="TableParagraph"/>
                          <w:spacing w:line="240" w:lineRule="auto" w:before="19"/>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left="376" w:right="0"/>
                          <w:jc w:val="left"/>
                          <w:rPr>
                            <w:rFonts w:ascii="宋体" w:hAnsi="宋体" w:cs="宋体" w:eastAsia="宋体" w:hint="default"/>
                            <w:sz w:val="18"/>
                            <w:szCs w:val="18"/>
                          </w:rPr>
                        </w:pPr>
                        <w:r>
                          <w:rPr>
                            <w:rFonts w:ascii="宋体" w:hAnsi="宋体" w:cs="宋体" w:eastAsia="宋体" w:hint="default"/>
                            <w:spacing w:val="-2"/>
                            <w:sz w:val="18"/>
                            <w:szCs w:val="18"/>
                          </w:rPr>
                          <w:t>公司在《</w:t>
                        </w:r>
                        <w:r>
                          <w:rPr>
                            <w:rFonts w:ascii="宋体" w:hAnsi="宋体" w:cs="宋体" w:eastAsia="宋体" w:hint="default"/>
                            <w:spacing w:val="-2"/>
                            <w:sz w:val="18"/>
                            <w:szCs w:val="18"/>
                          </w:rPr>
                          <w:t>2014</w:t>
                        </w:r>
                        <w:r>
                          <w:rPr>
                            <w:rFonts w:ascii="宋体" w:hAnsi="宋体" w:cs="宋体" w:eastAsia="宋体" w:hint="default"/>
                            <w:spacing w:val="-12"/>
                            <w:sz w:val="18"/>
                            <w:szCs w:val="18"/>
                          </w:rPr>
                          <w:t> </w:t>
                        </w:r>
                        <w:r>
                          <w:rPr>
                            <w:rFonts w:ascii="宋体" w:hAnsi="宋体" w:cs="宋体" w:eastAsia="宋体" w:hint="default"/>
                            <w:spacing w:val="-2"/>
                            <w:sz w:val="18"/>
                            <w:szCs w:val="18"/>
                          </w:rPr>
                          <w:t>年度报告》中，电力用户用电信息采集系统产能扩大建设项目的厂房已建设完毕，按</w:t>
                        </w:r>
                      </w:p>
                    </w:tc>
                  </w:tr>
                  <w:tr>
                    <w:trPr>
                      <w:trHeight w:val="1016" w:hRule="exact"/>
                    </w:trPr>
                    <w:tc>
                      <w:tcPr>
                        <w:tcW w:w="170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51"/>
                          <w:ind w:left="14" w:right="4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149" w:type="dxa"/>
                        <w:gridSpan w:val="12"/>
                        <w:vMerge/>
                        <w:tcBorders>
                          <w:left w:val="single" w:sz="9" w:space="0" w:color="D2D2D2"/>
                          <w:right w:val="single" w:sz="12" w:space="0" w:color="000000"/>
                        </w:tcBorders>
                      </w:tcPr>
                      <w:p>
                        <w:pPr/>
                      </w:p>
                    </w:tc>
                  </w:tr>
                  <w:tr>
                    <w:trPr>
                      <w:trHeight w:val="1847" w:hRule="exact"/>
                    </w:trPr>
                    <w:tc>
                      <w:tcPr>
                        <w:tcW w:w="1704" w:type="dxa"/>
                        <w:tcBorders>
                          <w:top w:val="nil" w:sz="6" w:space="0" w:color="auto"/>
                          <w:left w:val="single" w:sz="12" w:space="0" w:color="000000"/>
                          <w:bottom w:val="single" w:sz="12" w:space="0" w:color="000000"/>
                          <w:right w:val="single" w:sz="6" w:space="0" w:color="000000"/>
                        </w:tcBorders>
                        <w:shd w:val="clear" w:color="auto" w:fill="D2D2D2"/>
                      </w:tcPr>
                      <w:p>
                        <w:pPr/>
                      </w:p>
                    </w:tc>
                    <w:tc>
                      <w:tcPr>
                        <w:tcW w:w="8149" w:type="dxa"/>
                        <w:gridSpan w:val="12"/>
                        <w:vMerge/>
                        <w:tcBorders>
                          <w:left w:val="single" w:sz="9" w:space="0" w:color="D2D2D2"/>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r>
        <w:rPr/>
        <w:pict>
          <v:shape style="position:absolute;margin-left:41.73pt;margin-top:71.999985pt;width:494.9pt;height:684.1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3"/>
                    <w:gridCol w:w="8149"/>
                  </w:tblGrid>
                  <w:tr>
                    <w:trPr>
                      <w:trHeight w:val="7199" w:hRule="exact"/>
                    </w:trPr>
                    <w:tc>
                      <w:tcPr>
                        <w:tcW w:w="170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8149"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10"/>
                          <w:ind w:left="20" w:right="4"/>
                          <w:jc w:val="both"/>
                          <w:rPr>
                            <w:rFonts w:ascii="宋体" w:hAnsi="宋体" w:cs="宋体" w:eastAsia="宋体" w:hint="default"/>
                            <w:sz w:val="18"/>
                            <w:szCs w:val="18"/>
                          </w:rPr>
                        </w:pPr>
                        <w:r>
                          <w:rPr>
                            <w:rFonts w:ascii="宋体" w:hAnsi="宋体" w:cs="宋体" w:eastAsia="宋体" w:hint="default"/>
                            <w:sz w:val="18"/>
                            <w:szCs w:val="18"/>
                          </w:rPr>
                          <w:t>照柔性产能确定的生产设备合同已陆续签署。由于该项目厂房与公司综合楼在同一地块一起投入建设， 综合楼建设体量比厂房大，故在建设进度上慢于厂房，在规划供电、排水、交通、后勤保障等方面综合 楼与厂房需要同步考虑，从经济效益角度考虑，厂房与综合楼同时启用经济效益最优，运行成本较低， 综合楼预计 </w:t>
                        </w:r>
                        <w:r>
                          <w:rPr>
                            <w:rFonts w:ascii="宋体" w:hAnsi="宋体" w:cs="宋体" w:eastAsia="宋体" w:hint="default"/>
                            <w:sz w:val="18"/>
                            <w:szCs w:val="18"/>
                          </w:rPr>
                          <w:t>2016</w:t>
                        </w:r>
                        <w:r>
                          <w:rPr>
                            <w:rFonts w:ascii="宋体" w:hAnsi="宋体" w:cs="宋体" w:eastAsia="宋体" w:hint="default"/>
                            <w:spacing w:val="-8"/>
                            <w:sz w:val="18"/>
                            <w:szCs w:val="18"/>
                          </w:rPr>
                          <w:t> </w:t>
                        </w:r>
                        <w:r>
                          <w:rPr>
                            <w:rFonts w:ascii="宋体" w:hAnsi="宋体" w:cs="宋体" w:eastAsia="宋体" w:hint="default"/>
                            <w:sz w:val="18"/>
                            <w:szCs w:val="18"/>
                          </w:rPr>
                          <w:t>年年初交付使用，考虑到上述因素，公司将“电力用户用电信息采集系统产能扩大建</w:t>
                        </w:r>
                      </w:p>
                      <w:p>
                        <w:pPr>
                          <w:pStyle w:val="TableParagraph"/>
                          <w:spacing w:line="316" w:lineRule="auto" w:before="19"/>
                          <w:ind w:left="380" w:right="1536" w:hanging="360"/>
                          <w:jc w:val="left"/>
                          <w:rPr>
                            <w:rFonts w:ascii="宋体" w:hAnsi="宋体" w:cs="宋体" w:eastAsia="宋体" w:hint="default"/>
                            <w:sz w:val="18"/>
                            <w:szCs w:val="18"/>
                          </w:rPr>
                        </w:pPr>
                        <w:r>
                          <w:rPr>
                            <w:rFonts w:ascii="宋体" w:hAnsi="宋体" w:cs="宋体" w:eastAsia="宋体" w:hint="default"/>
                            <w:sz w:val="18"/>
                            <w:szCs w:val="18"/>
                          </w:rPr>
                          <w:t>设项目”达到预定可使用状态日期由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 截止目前，电力用户用电信息采集系统产能扩大建设项目已建成并投入使用。</w:t>
                        </w:r>
                      </w:p>
                      <w:p>
                        <w:pPr>
                          <w:pStyle w:val="TableParagraph"/>
                          <w:spacing w:line="316" w:lineRule="auto" w:before="19"/>
                          <w:ind w:left="20" w:right="11" w:firstLine="450"/>
                          <w:jc w:val="both"/>
                          <w:rPr>
                            <w:rFonts w:ascii="宋体" w:hAnsi="宋体" w:cs="宋体" w:eastAsia="宋体" w:hint="default"/>
                            <w:sz w:val="18"/>
                            <w:szCs w:val="18"/>
                          </w:rPr>
                        </w:pPr>
                        <w:r>
                          <w:rPr>
                            <w:rFonts w:ascii="宋体" w:hAnsi="宋体" w:cs="宋体" w:eastAsia="宋体" w:hint="default"/>
                            <w:sz w:val="18"/>
                            <w:szCs w:val="18"/>
                          </w:rPr>
                          <w:t>②研发中心建设项目：因同受上述“电力用户用电信息采集系统产能扩大建设项目”延期因素影 响，公司在《</w:t>
                        </w: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z w:val="18"/>
                            <w:szCs w:val="18"/>
                          </w:rPr>
                          <w:t>年度半年度报告》中将“研发中心建设项目”达到预定可使用状态日期由</w:t>
                        </w:r>
                        <w:r>
                          <w:rPr>
                            <w:rFonts w:ascii="宋体" w:hAnsi="宋体" w:cs="宋体" w:eastAsia="宋体" w:hint="default"/>
                            <w:spacing w:val="-24"/>
                            <w:sz w:val="18"/>
                            <w:szCs w:val="18"/>
                          </w:rPr>
                          <w:t> </w:t>
                        </w: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9</w:t>
                        </w:r>
                      </w:p>
                      <w:p>
                        <w:pPr>
                          <w:pStyle w:val="TableParagraph"/>
                          <w:spacing w:line="240" w:lineRule="auto" w:before="19"/>
                          <w:ind w:left="20"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5"/>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20" w:right="11" w:firstLine="360"/>
                          <w:jc w:val="both"/>
                          <w:rPr>
                            <w:rFonts w:ascii="宋体" w:hAnsi="宋体" w:cs="宋体" w:eastAsia="宋体" w:hint="default"/>
                            <w:sz w:val="18"/>
                            <w:szCs w:val="18"/>
                          </w:rPr>
                        </w:pPr>
                        <w:r>
                          <w:rPr>
                            <w:rFonts w:ascii="宋体" w:hAnsi="宋体" w:cs="宋体" w:eastAsia="宋体" w:hint="default"/>
                            <w:sz w:val="18"/>
                            <w:szCs w:val="18"/>
                          </w:rPr>
                          <w:t>公司所在城市 </w:t>
                        </w:r>
                        <w:r>
                          <w:rPr>
                            <w:rFonts w:ascii="宋体" w:hAnsi="宋体" w:cs="宋体" w:eastAsia="宋体" w:hint="default"/>
                            <w:sz w:val="18"/>
                            <w:szCs w:val="18"/>
                          </w:rPr>
                          <w:t>2014</w:t>
                        </w:r>
                        <w:r>
                          <w:rPr>
                            <w:rFonts w:ascii="宋体" w:hAnsi="宋体" w:cs="宋体" w:eastAsia="宋体" w:hint="default"/>
                            <w:spacing w:val="-8"/>
                            <w:sz w:val="18"/>
                            <w:szCs w:val="18"/>
                          </w:rPr>
                          <w:t> </w:t>
                        </w:r>
                        <w:r>
                          <w:rPr>
                            <w:rFonts w:ascii="宋体" w:hAnsi="宋体" w:cs="宋体" w:eastAsia="宋体" w:hint="default"/>
                            <w:sz w:val="18"/>
                            <w:szCs w:val="18"/>
                          </w:rPr>
                          <w:t>年将承办青奥会，为服从政府部门对城市重要干道基建项目的管理，致使项目 的基建完工时间有所推迟。研发中心项目所在综合楼目前已完成主体封顶，尚有内外墙体砌筑、外立面 幕墙装饰施工、设备采购安装调试、水电气等各专业管线布置、内部装修、工程项目验收、备案等工作 须进行，考虑到上述因素，公司将“研发中心建设项目”达到预定可使用状态日期由</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316" w:lineRule="auto" w:before="19"/>
                          <w:ind w:left="20" w:right="10"/>
                          <w:jc w:val="both"/>
                          <w:rPr>
                            <w:rFonts w:ascii="宋体" w:hAnsi="宋体" w:cs="宋体" w:eastAsia="宋体" w:hint="default"/>
                            <w:sz w:val="18"/>
                            <w:szCs w:val="18"/>
                          </w:rPr>
                        </w:pPr>
                        <w:r>
                          <w:rPr>
                            <w:rFonts w:ascii="宋体" w:hAnsi="宋体" w:cs="宋体" w:eastAsia="宋体" w:hint="default"/>
                            <w:sz w:val="18"/>
                            <w:szCs w:val="18"/>
                          </w:rPr>
                          <w:t>调整至</w:t>
                        </w:r>
                        <w:r>
                          <w:rPr>
                            <w:rFonts w:ascii="宋体" w:hAnsi="宋体" w:cs="宋体" w:eastAsia="宋体" w:hint="default"/>
                            <w:spacing w:val="-40"/>
                            <w:sz w:val="18"/>
                            <w:szCs w:val="18"/>
                          </w:rPr>
                          <w:t> </w:t>
                        </w: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30</w:t>
                        </w:r>
                        <w:r>
                          <w:rPr>
                            <w:rFonts w:ascii="宋体" w:hAnsi="宋体" w:cs="宋体" w:eastAsia="宋体" w:hint="default"/>
                            <w:spacing w:val="-40"/>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公司在《</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年度报告》中，研发中心建设项目所在综合楼土建工程、水 电安装及消防工程基本结束，外墙玻璃、石材幕墙全部完成，尚待进行室内装修、空调设备安装、室外 管网、道路及景观工程施工等方面的工作，考虑到上述工程工作量，公司将“研发中心建设项目”达到 预定可使用状态日期由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19"/>
                          <w:ind w:left="20" w:right="11" w:firstLine="360"/>
                          <w:jc w:val="both"/>
                          <w:rPr>
                            <w:rFonts w:ascii="宋体" w:hAnsi="宋体" w:cs="宋体" w:eastAsia="宋体" w:hint="default"/>
                            <w:sz w:val="18"/>
                            <w:szCs w:val="18"/>
                          </w:rPr>
                        </w:pPr>
                        <w:r>
                          <w:rPr>
                            <w:rFonts w:ascii="宋体" w:hAnsi="宋体" w:cs="宋体" w:eastAsia="宋体" w:hint="default"/>
                            <w:spacing w:val="-2"/>
                            <w:sz w:val="18"/>
                            <w:szCs w:val="18"/>
                          </w:rPr>
                          <w:t>公司在《</w:t>
                        </w:r>
                        <w:r>
                          <w:rPr>
                            <w:rFonts w:ascii="宋体" w:hAnsi="宋体" w:cs="宋体" w:eastAsia="宋体" w:hint="default"/>
                            <w:spacing w:val="-2"/>
                            <w:sz w:val="18"/>
                            <w:szCs w:val="18"/>
                          </w:rPr>
                          <w:t>2015</w:t>
                        </w:r>
                        <w:r>
                          <w:rPr>
                            <w:rFonts w:ascii="宋体" w:hAnsi="宋体" w:cs="宋体" w:eastAsia="宋体" w:hint="default"/>
                            <w:spacing w:val="-26"/>
                            <w:sz w:val="18"/>
                            <w:szCs w:val="18"/>
                          </w:rPr>
                          <w:t> </w:t>
                        </w:r>
                        <w:r>
                          <w:rPr>
                            <w:rFonts w:ascii="宋体" w:hAnsi="宋体" w:cs="宋体" w:eastAsia="宋体" w:hint="default"/>
                            <w:spacing w:val="-2"/>
                            <w:sz w:val="18"/>
                            <w:szCs w:val="18"/>
                          </w:rPr>
                          <w:t>年度报告》中考虑到研发中心建设项目所在综合楼办公装修、楼层规划、采购设备等</w:t>
                        </w:r>
                        <w:r>
                          <w:rPr>
                            <w:rFonts w:ascii="宋体" w:hAnsi="宋体" w:cs="宋体" w:eastAsia="宋体" w:hint="default"/>
                            <w:sz w:val="18"/>
                            <w:szCs w:val="18"/>
                          </w:rPr>
                          <w:t> </w:t>
                        </w:r>
                        <w:r>
                          <w:rPr>
                            <w:rFonts w:ascii="宋体" w:hAnsi="宋体" w:cs="宋体" w:eastAsia="宋体" w:hint="default"/>
                            <w:spacing w:val="-4"/>
                            <w:sz w:val="18"/>
                            <w:szCs w:val="18"/>
                          </w:rPr>
                          <w:t>工作量，公司将“研发中心建设项目”达到预定可使用状态日期由</w:t>
                        </w:r>
                        <w:r>
                          <w:rPr>
                            <w:rFonts w:ascii="宋体" w:hAnsi="宋体" w:cs="宋体" w:eastAsia="宋体" w:hint="default"/>
                            <w:spacing w:val="-60"/>
                            <w:sz w:val="18"/>
                            <w:szCs w:val="18"/>
                          </w:rPr>
                          <w:t> </w:t>
                        </w:r>
                        <w:r>
                          <w:rPr>
                            <w:rFonts w:ascii="宋体" w:hAnsi="宋体" w:cs="宋体" w:eastAsia="宋体" w:hint="default"/>
                            <w:sz w:val="18"/>
                            <w:szCs w:val="18"/>
                          </w:rPr>
                          <w:t>2016</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31</w:t>
                        </w:r>
                        <w:r>
                          <w:rPr>
                            <w:rFonts w:ascii="宋体" w:hAnsi="宋体" w:cs="宋体" w:eastAsia="宋体" w:hint="default"/>
                            <w:spacing w:val="-60"/>
                            <w:sz w:val="18"/>
                            <w:szCs w:val="18"/>
                          </w:rPr>
                          <w:t> </w:t>
                        </w:r>
                        <w:r>
                          <w:rPr>
                            <w:rFonts w:ascii="宋体" w:hAnsi="宋体" w:cs="宋体" w:eastAsia="宋体" w:hint="default"/>
                            <w:sz w:val="18"/>
                            <w:szCs w:val="18"/>
                          </w:rPr>
                          <w:t>日调整至</w:t>
                        </w:r>
                        <w:r>
                          <w:rPr>
                            <w:rFonts w:ascii="宋体" w:hAnsi="宋体" w:cs="宋体" w:eastAsia="宋体" w:hint="default"/>
                            <w:spacing w:val="-60"/>
                            <w:sz w:val="18"/>
                            <w:szCs w:val="18"/>
                          </w:rPr>
                          <w:t> </w:t>
                        </w:r>
                        <w:r>
                          <w:rPr>
                            <w:rFonts w:ascii="宋体" w:hAnsi="宋体" w:cs="宋体" w:eastAsia="宋体" w:hint="default"/>
                            <w:sz w:val="18"/>
                            <w:szCs w:val="18"/>
                          </w:rPr>
                          <w:t>2016</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12</w:t>
                        </w:r>
                        <w:r>
                          <w:rPr>
                            <w:rFonts w:ascii="宋体" w:hAnsi="宋体" w:cs="宋体" w:eastAsia="宋体" w:hint="default"/>
                            <w:spacing w:val="8"/>
                            <w:sz w:val="18"/>
                            <w:szCs w:val="18"/>
                          </w:rPr>
                          <w:t> </w:t>
                        </w:r>
                        <w:r>
                          <w:rPr>
                            <w:rFonts w:ascii="宋体" w:hAnsi="宋体" w:cs="宋体" w:eastAsia="宋体" w:hint="default"/>
                            <w:sz w:val="18"/>
                            <w:szCs w:val="18"/>
                          </w:rPr>
                          <w:t>月</w:t>
                        </w:r>
                      </w:p>
                      <w:p>
                        <w:pPr>
                          <w:pStyle w:val="TableParagraph"/>
                          <w:spacing w:line="240" w:lineRule="auto" w:before="19"/>
                          <w:ind w:left="20" w:right="0"/>
                          <w:jc w:val="both"/>
                          <w:rPr>
                            <w:rFonts w:ascii="宋体" w:hAnsi="宋体" w:cs="宋体" w:eastAsia="宋体" w:hint="default"/>
                            <w:sz w:val="18"/>
                            <w:szCs w:val="18"/>
                          </w:rPr>
                        </w:pPr>
                        <w:r>
                          <w:rPr>
                            <w:rFonts w:ascii="宋体" w:hAnsi="宋体" w:cs="宋体" w:eastAsia="宋体" w:hint="default"/>
                            <w:sz w:val="18"/>
                            <w:szCs w:val="18"/>
                          </w:rPr>
                          <w:t>31 </w:t>
                        </w:r>
                        <w:r>
                          <w:rPr>
                            <w:rFonts w:ascii="宋体" w:hAnsi="宋体" w:cs="宋体" w:eastAsia="宋体" w:hint="default"/>
                            <w:spacing w:val="-4"/>
                            <w:sz w:val="18"/>
                            <w:szCs w:val="18"/>
                          </w:rPr>
                          <w:t>日。由于综合楼装修工作尚未结束，公司拟将“研发中心建设项目”达到预定可使用状态日期由</w:t>
                        </w:r>
                        <w:r>
                          <w:rPr>
                            <w:rFonts w:ascii="宋体" w:hAnsi="宋体" w:cs="宋体" w:eastAsia="宋体" w:hint="default"/>
                            <w:spacing w:val="-20"/>
                            <w:sz w:val="18"/>
                            <w:szCs w:val="18"/>
                          </w:rPr>
                          <w:t> </w:t>
                        </w:r>
                        <w:r>
                          <w:rPr>
                            <w:rFonts w:ascii="宋体" w:hAnsi="宋体" w:cs="宋体" w:eastAsia="宋体" w:hint="default"/>
                            <w:sz w:val="18"/>
                            <w:szCs w:val="18"/>
                          </w:rPr>
                          <w:t>2016</w:t>
                        </w:r>
                      </w:p>
                      <w:p>
                        <w:pPr>
                          <w:pStyle w:val="TableParagraph"/>
                          <w:spacing w:line="316" w:lineRule="auto" w:before="76"/>
                          <w:ind w:left="20" w:right="1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日调整至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z w:val="18"/>
                            <w:szCs w:val="18"/>
                          </w:rPr>
                          <w:t>日。在此期间公司研发部门在现有办公场地正常开展技术研发工 作，研发中心建设项目进度延期不会影响公司正常研发工作的开展。</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截止目前，研发中心建设项目已建成并投入使用。</w:t>
                        </w:r>
                      </w:p>
                    </w:tc>
                  </w:tr>
                  <w:tr>
                    <w:trPr>
                      <w:trHeight w:val="1343"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3" w:right="4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10" w:firstLine="360"/>
                          <w:jc w:val="both"/>
                          <w:rPr>
                            <w:rFonts w:ascii="宋体" w:hAnsi="宋体" w:cs="宋体" w:eastAsia="宋体" w:hint="default"/>
                            <w:sz w:val="18"/>
                            <w:szCs w:val="18"/>
                          </w:rPr>
                        </w:pPr>
                        <w:r>
                          <w:rPr>
                            <w:rFonts w:ascii="宋体" w:hAnsi="宋体" w:cs="宋体" w:eastAsia="宋体" w:hint="default"/>
                            <w:sz w:val="18"/>
                            <w:szCs w:val="18"/>
                          </w:rPr>
                          <w:t>为降低公司对外投资风险、保护公司及股东的合法权益免受损失，维护上市公司和非关联股东特别 是中小股东的利益，经公司第二届董事会第十一次会议及 </w:t>
                        </w:r>
                        <w:r>
                          <w:rPr>
                            <w:rFonts w:ascii="宋体" w:hAnsi="宋体" w:cs="宋体" w:eastAsia="宋体" w:hint="default"/>
                            <w:sz w:val="18"/>
                            <w:szCs w:val="18"/>
                          </w:rPr>
                          <w:t>2014</w:t>
                        </w:r>
                        <w:r>
                          <w:rPr>
                            <w:rFonts w:ascii="宋体" w:hAnsi="宋体" w:cs="宋体" w:eastAsia="宋体" w:hint="default"/>
                            <w:spacing w:val="-8"/>
                            <w:sz w:val="18"/>
                            <w:szCs w:val="18"/>
                          </w:rPr>
                          <w:t> </w:t>
                        </w:r>
                        <w:r>
                          <w:rPr>
                            <w:rFonts w:ascii="宋体" w:hAnsi="宋体" w:cs="宋体" w:eastAsia="宋体" w:hint="default"/>
                            <w:sz w:val="18"/>
                            <w:szCs w:val="18"/>
                          </w:rPr>
                          <w:t>年第二次临时股东大会审议通过，公司 将所持有的南京宇能</w:t>
                        </w:r>
                        <w:r>
                          <w:rPr>
                            <w:rFonts w:ascii="宋体" w:hAnsi="宋体" w:cs="宋体" w:eastAsia="宋体" w:hint="default"/>
                            <w:spacing w:val="-6"/>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的股权、全部债权及相应权利整体转让给公司控股股东光一投资，上述股权投 资款项</w:t>
                        </w:r>
                        <w:r>
                          <w:rPr>
                            <w:rFonts w:ascii="宋体" w:hAnsi="宋体" w:cs="宋体" w:eastAsia="宋体" w:hint="default"/>
                            <w:spacing w:val="-46"/>
                            <w:sz w:val="18"/>
                            <w:szCs w:val="18"/>
                          </w:rPr>
                          <w:t> </w:t>
                        </w:r>
                        <w:r>
                          <w:rPr>
                            <w:rFonts w:ascii="宋体" w:hAnsi="宋体" w:cs="宋体" w:eastAsia="宋体" w:hint="default"/>
                            <w:sz w:val="18"/>
                            <w:szCs w:val="18"/>
                          </w:rPr>
                          <w:t>2,250</w:t>
                        </w:r>
                        <w:r>
                          <w:rPr>
                            <w:rFonts w:ascii="宋体" w:hAnsi="宋体" w:cs="宋体" w:eastAsia="宋体" w:hint="default"/>
                            <w:spacing w:val="-45"/>
                            <w:sz w:val="18"/>
                            <w:szCs w:val="18"/>
                          </w:rPr>
                          <w:t> </w:t>
                        </w:r>
                        <w:r>
                          <w:rPr>
                            <w:rFonts w:ascii="宋体" w:hAnsi="宋体" w:cs="宋体" w:eastAsia="宋体" w:hint="default"/>
                            <w:sz w:val="18"/>
                            <w:szCs w:val="18"/>
                          </w:rPr>
                          <w:t>万元公司已收回并存放于超募资金专用账户，南京宇能不再是公司控股子公司。</w:t>
                        </w:r>
                      </w:p>
                    </w:tc>
                  </w:tr>
                  <w:tr>
                    <w:trPr>
                      <w:trHeight w:val="407" w:hRule="exact"/>
                    </w:trPr>
                    <w:tc>
                      <w:tcPr>
                        <w:tcW w:w="170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3" w:right="45"/>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704"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814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1"/>
                          <w:ind w:left="20" w:right="11" w:firstLine="36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4"/>
                            <w:sz w:val="18"/>
                            <w:szCs w:val="18"/>
                          </w:rPr>
                          <w:t> </w:t>
                        </w:r>
                        <w:r>
                          <w:rPr>
                            <w:rFonts w:ascii="宋体" w:hAnsi="宋体" w:cs="宋体" w:eastAsia="宋体" w:hint="default"/>
                            <w:spacing w:val="-5"/>
                            <w:sz w:val="18"/>
                            <w:szCs w:val="18"/>
                          </w:rPr>
                          <w:t>日，公司首次公开发行股票募集资金净额为</w:t>
                        </w:r>
                        <w:r>
                          <w:rPr>
                            <w:rFonts w:ascii="宋体" w:hAnsi="宋体" w:cs="宋体" w:eastAsia="宋体" w:hint="default"/>
                            <w:spacing w:val="-53"/>
                            <w:sz w:val="18"/>
                            <w:szCs w:val="18"/>
                          </w:rPr>
                          <w:t> </w:t>
                        </w:r>
                        <w:r>
                          <w:rPr>
                            <w:rFonts w:ascii="宋体" w:hAnsi="宋体" w:cs="宋体" w:eastAsia="宋体" w:hint="default"/>
                            <w:spacing w:val="-1"/>
                            <w:sz w:val="18"/>
                            <w:szCs w:val="18"/>
                          </w:rPr>
                          <w:t>35,429.12</w:t>
                        </w:r>
                        <w:r>
                          <w:rPr>
                            <w:rFonts w:ascii="宋体" w:hAnsi="宋体" w:cs="宋体" w:eastAsia="宋体" w:hint="default"/>
                            <w:spacing w:val="-53"/>
                            <w:sz w:val="18"/>
                            <w:szCs w:val="18"/>
                          </w:rPr>
                          <w:t> </w:t>
                        </w:r>
                        <w:r>
                          <w:rPr>
                            <w:rFonts w:ascii="宋体" w:hAnsi="宋体" w:cs="宋体" w:eastAsia="宋体" w:hint="default"/>
                            <w:spacing w:val="-11"/>
                            <w:sz w:val="18"/>
                            <w:szCs w:val="18"/>
                          </w:rPr>
                          <w:t>万元，其中超募资金</w:t>
                        </w:r>
                        <w:r>
                          <w:rPr>
                            <w:rFonts w:ascii="宋体" w:hAnsi="宋体" w:cs="宋体" w:eastAsia="宋体" w:hint="default"/>
                            <w:spacing w:val="-54"/>
                            <w:sz w:val="18"/>
                            <w:szCs w:val="18"/>
                          </w:rPr>
                          <w:t> </w:t>
                        </w:r>
                        <w:r>
                          <w:rPr>
                            <w:rFonts w:ascii="宋体" w:hAnsi="宋体" w:cs="宋体" w:eastAsia="宋体" w:hint="default"/>
                            <w:spacing w:val="-1"/>
                            <w:sz w:val="18"/>
                            <w:szCs w:val="18"/>
                          </w:rPr>
                          <w:t>15,029.12</w:t>
                        </w:r>
                        <w:r>
                          <w:rPr>
                            <w:rFonts w:ascii="宋体" w:hAnsi="宋体" w:cs="宋体" w:eastAsia="宋体" w:hint="default"/>
                            <w:sz w:val="18"/>
                            <w:szCs w:val="18"/>
                          </w:rPr>
                          <w:t> </w:t>
                        </w:r>
                        <w:r>
                          <w:rPr>
                            <w:rFonts w:ascii="宋体" w:hAnsi="宋体" w:cs="宋体" w:eastAsia="宋体" w:hint="default"/>
                            <w:sz w:val="18"/>
                            <w:szCs w:val="18"/>
                          </w:rPr>
                          <w:t>万元。</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披露</w:t>
                        </w:r>
                        <w:r>
                          <w:rPr>
                            <w:rFonts w:ascii="宋体" w:hAnsi="宋体" w:cs="宋体" w:eastAsia="宋体" w:hint="default"/>
                            <w:spacing w:val="-17"/>
                            <w:sz w:val="18"/>
                            <w:szCs w:val="18"/>
                          </w:rPr>
                          <w:t>了</w:t>
                        </w:r>
                        <w:r>
                          <w:rPr>
                            <w:rFonts w:ascii="宋体" w:hAnsi="宋体" w:cs="宋体" w:eastAsia="宋体" w:hint="default"/>
                            <w:sz w:val="18"/>
                            <w:szCs w:val="18"/>
                          </w:rPr>
                          <w:t>《关于使用部分超募资金永久补充流动资金的公告</w:t>
                        </w:r>
                        <w:r>
                          <w:rPr>
                            <w:rFonts w:ascii="宋体" w:hAnsi="宋体" w:cs="宋体" w:eastAsia="宋体" w:hint="default"/>
                            <w:spacing w:val="-107"/>
                            <w:sz w:val="18"/>
                            <w:szCs w:val="18"/>
                          </w:rPr>
                          <w:t>》</w:t>
                        </w:r>
                        <w:r>
                          <w:rPr>
                            <w:rFonts w:ascii="宋体" w:hAnsi="宋体" w:cs="宋体" w:eastAsia="宋体" w:hint="default"/>
                            <w:sz w:val="18"/>
                            <w:szCs w:val="18"/>
                          </w:rPr>
                          <w:t>（公告编号</w:t>
                        </w:r>
                      </w:p>
                      <w:p>
                        <w:pPr>
                          <w:pStyle w:val="TableParagraph"/>
                          <w:spacing w:line="316" w:lineRule="auto" w:before="76"/>
                          <w:ind w:left="20" w:right="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2012</w:t>
                        </w:r>
                        <w:r>
                          <w:rPr>
                            <w:rFonts w:ascii="宋体" w:hAnsi="宋体" w:cs="宋体" w:eastAsia="宋体" w:hint="default"/>
                            <w:spacing w:val="-4"/>
                            <w:sz w:val="18"/>
                            <w:szCs w:val="18"/>
                          </w:rPr>
                          <w:t>）</w:t>
                        </w:r>
                        <w:r>
                          <w:rPr>
                            <w:rFonts w:ascii="宋体" w:hAnsi="宋体" w:cs="宋体" w:eastAsia="宋体" w:hint="default"/>
                            <w:spacing w:val="-4"/>
                            <w:sz w:val="18"/>
                            <w:szCs w:val="18"/>
                          </w:rPr>
                          <w:t>1030-010</w:t>
                        </w:r>
                        <w:r>
                          <w:rPr>
                            <w:rFonts w:ascii="宋体" w:hAnsi="宋体" w:cs="宋体" w:eastAsia="宋体" w:hint="default"/>
                            <w:spacing w:val="-4"/>
                            <w:sz w:val="18"/>
                            <w:szCs w:val="18"/>
                          </w:rPr>
                          <w:t>），公司使用超募资金</w:t>
                        </w:r>
                        <w:r>
                          <w:rPr>
                            <w:rFonts w:ascii="宋体" w:hAnsi="宋体" w:cs="宋体" w:eastAsia="宋体" w:hint="default"/>
                            <w:sz w:val="18"/>
                            <w:szCs w:val="18"/>
                          </w:rPr>
                          <w:t> </w:t>
                        </w:r>
                        <w:r>
                          <w:rPr>
                            <w:rFonts w:ascii="宋体" w:hAnsi="宋体" w:cs="宋体" w:eastAsia="宋体" w:hint="default"/>
                            <w:sz w:val="18"/>
                            <w:szCs w:val="18"/>
                          </w:rPr>
                          <w:t>3,000</w:t>
                        </w:r>
                        <w:r>
                          <w:rPr>
                            <w:rFonts w:ascii="宋体" w:hAnsi="宋体" w:cs="宋体" w:eastAsia="宋体" w:hint="default"/>
                            <w:spacing w:val="-3"/>
                            <w:sz w:val="18"/>
                            <w:szCs w:val="18"/>
                          </w:rPr>
                          <w:t> </w:t>
                        </w:r>
                        <w:r>
                          <w:rPr>
                            <w:rFonts w:ascii="宋体" w:hAnsi="宋体" w:cs="宋体" w:eastAsia="宋体" w:hint="default"/>
                            <w:sz w:val="18"/>
                            <w:szCs w:val="18"/>
                          </w:rPr>
                          <w:t>万元用于永久补充流动资金，公司承诺在永久补充流动 资金后十二个月内不进行证券投资、委托理财、衍生品投资、创业投资等高风险投资。上述款项公司已 划转完成。</w:t>
                        </w:r>
                      </w:p>
                      <w:p>
                        <w:pPr>
                          <w:pStyle w:val="TableParagraph"/>
                          <w:spacing w:line="316" w:lineRule="auto" w:before="19"/>
                          <w:ind w:left="20" w:right="11" w:firstLine="360"/>
                          <w:jc w:val="both"/>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2013</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日，公司披露了《关于使用部分超募资金和自有资金向南京宇能仪表有限公司增 </w:t>
                        </w:r>
                        <w:r>
                          <w:rPr>
                            <w:rFonts w:ascii="宋体" w:hAnsi="宋体" w:cs="宋体" w:eastAsia="宋体" w:hint="default"/>
                            <w:spacing w:val="-7"/>
                            <w:sz w:val="18"/>
                            <w:szCs w:val="18"/>
                          </w:rPr>
                          <w:t>资并受让部分股权的公告》（公告编号：（</w:t>
                        </w:r>
                        <w:r>
                          <w:rPr>
                            <w:rFonts w:ascii="宋体" w:hAnsi="宋体" w:cs="宋体" w:eastAsia="宋体" w:hint="default"/>
                            <w:spacing w:val="-7"/>
                            <w:sz w:val="18"/>
                            <w:szCs w:val="18"/>
                          </w:rPr>
                          <w:t>2013</w:t>
                        </w:r>
                        <w:r>
                          <w:rPr>
                            <w:rFonts w:ascii="宋体" w:hAnsi="宋体" w:cs="宋体" w:eastAsia="宋体" w:hint="default"/>
                            <w:spacing w:val="-7"/>
                            <w:sz w:val="18"/>
                            <w:szCs w:val="18"/>
                          </w:rPr>
                          <w:t>）</w:t>
                        </w:r>
                        <w:r>
                          <w:rPr>
                            <w:rFonts w:ascii="宋体" w:hAnsi="宋体" w:cs="宋体" w:eastAsia="宋体" w:hint="default"/>
                            <w:spacing w:val="-7"/>
                            <w:sz w:val="18"/>
                            <w:szCs w:val="18"/>
                          </w:rPr>
                          <w:t>1115</w:t>
                        </w:r>
                        <w:r>
                          <w:rPr>
                            <w:rFonts w:ascii="宋体" w:hAnsi="宋体" w:cs="宋体" w:eastAsia="宋体" w:hint="default"/>
                            <w:sz w:val="18"/>
                            <w:szCs w:val="18"/>
                          </w:rPr>
                          <w:t> </w:t>
                        </w:r>
                        <w:r>
                          <w:rPr>
                            <w:rFonts w:ascii="宋体" w:hAnsi="宋体" w:cs="宋体" w:eastAsia="宋体" w:hint="default"/>
                            <w:spacing w:val="-4"/>
                            <w:sz w:val="18"/>
                            <w:szCs w:val="18"/>
                          </w:rPr>
                          <w:t>-051</w:t>
                        </w:r>
                        <w:r>
                          <w:rPr>
                            <w:rFonts w:ascii="宋体" w:hAnsi="宋体" w:cs="宋体" w:eastAsia="宋体" w:hint="default"/>
                            <w:spacing w:val="-4"/>
                            <w:sz w:val="18"/>
                            <w:szCs w:val="18"/>
                          </w:rPr>
                          <w:t>），同意公司使用首次公开发行股票的超募资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2,250</w:t>
                        </w:r>
                        <w:r>
                          <w:rPr>
                            <w:rFonts w:ascii="宋体" w:hAnsi="宋体" w:cs="宋体" w:eastAsia="宋体" w:hint="default"/>
                            <w:spacing w:val="-47"/>
                            <w:sz w:val="18"/>
                            <w:szCs w:val="18"/>
                          </w:rPr>
                          <w:t> </w:t>
                        </w:r>
                        <w:r>
                          <w:rPr>
                            <w:rFonts w:ascii="宋体" w:hAnsi="宋体" w:cs="宋体" w:eastAsia="宋体" w:hint="default"/>
                            <w:sz w:val="18"/>
                            <w:szCs w:val="18"/>
                          </w:rPr>
                          <w:t>万元和自有资金</w:t>
                        </w:r>
                        <w:r>
                          <w:rPr>
                            <w:rFonts w:ascii="宋体" w:hAnsi="宋体" w:cs="宋体" w:eastAsia="宋体" w:hint="default"/>
                            <w:spacing w:val="-47"/>
                            <w:sz w:val="18"/>
                            <w:szCs w:val="18"/>
                          </w:rPr>
                          <w:t> </w:t>
                        </w:r>
                        <w:r>
                          <w:rPr>
                            <w:rFonts w:ascii="宋体" w:hAnsi="宋体" w:cs="宋体" w:eastAsia="宋体" w:hint="default"/>
                            <w:sz w:val="18"/>
                            <w:szCs w:val="18"/>
                          </w:rPr>
                          <w:t>1,967</w:t>
                        </w:r>
                        <w:r>
                          <w:rPr>
                            <w:rFonts w:ascii="宋体" w:hAnsi="宋体" w:cs="宋体" w:eastAsia="宋体" w:hint="default"/>
                            <w:spacing w:val="-47"/>
                            <w:sz w:val="18"/>
                            <w:szCs w:val="18"/>
                          </w:rPr>
                          <w:t> </w:t>
                        </w:r>
                        <w:r>
                          <w:rPr>
                            <w:rFonts w:ascii="宋体" w:hAnsi="宋体" w:cs="宋体" w:eastAsia="宋体" w:hint="default"/>
                            <w:sz w:val="18"/>
                            <w:szCs w:val="18"/>
                          </w:rPr>
                          <w:t>万元合计</w:t>
                        </w:r>
                        <w:r>
                          <w:rPr>
                            <w:rFonts w:ascii="宋体" w:hAnsi="宋体" w:cs="宋体" w:eastAsia="宋体" w:hint="default"/>
                            <w:spacing w:val="-47"/>
                            <w:sz w:val="18"/>
                            <w:szCs w:val="18"/>
                          </w:rPr>
                          <w:t> </w:t>
                        </w:r>
                        <w:r>
                          <w:rPr>
                            <w:rFonts w:ascii="宋体" w:hAnsi="宋体" w:cs="宋体" w:eastAsia="宋体" w:hint="default"/>
                            <w:sz w:val="18"/>
                            <w:szCs w:val="18"/>
                          </w:rPr>
                          <w:t>4,217</w:t>
                        </w:r>
                        <w:r>
                          <w:rPr>
                            <w:rFonts w:ascii="宋体" w:hAnsi="宋体" w:cs="宋体" w:eastAsia="宋体" w:hint="default"/>
                            <w:spacing w:val="-47"/>
                            <w:sz w:val="18"/>
                            <w:szCs w:val="18"/>
                          </w:rPr>
                          <w:t> </w:t>
                        </w:r>
                        <w:r>
                          <w:rPr>
                            <w:rFonts w:ascii="宋体" w:hAnsi="宋体" w:cs="宋体" w:eastAsia="宋体" w:hint="default"/>
                            <w:sz w:val="18"/>
                            <w:szCs w:val="18"/>
                          </w:rPr>
                          <w:t>万元以增资及受让股权的方式获得南京宇能仪表有限公 司</w:t>
                        </w:r>
                        <w:r>
                          <w:rPr>
                            <w:rFonts w:ascii="宋体" w:hAnsi="宋体" w:cs="宋体" w:eastAsia="宋体" w:hint="default"/>
                            <w:spacing w:val="-6"/>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的股权，其中超募资金部分已划转完成。为降低公司对外投资风险、保护公司及股东的合法权益 </w:t>
                        </w:r>
                        <w:r>
                          <w:rPr>
                            <w:rFonts w:ascii="宋体" w:hAnsi="宋体" w:cs="宋体" w:eastAsia="宋体" w:hint="default"/>
                            <w:spacing w:val="3"/>
                            <w:sz w:val="18"/>
                            <w:szCs w:val="18"/>
                          </w:rPr>
                          <w:t>免受损失，维护上市公司和非关联股东特别是中小股东的利益，经公司第二届董事会第十一次会议及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2014 </w:t>
                        </w:r>
                        <w:r>
                          <w:rPr>
                            <w:rFonts w:ascii="宋体" w:hAnsi="宋体" w:cs="宋体" w:eastAsia="宋体" w:hint="default"/>
                            <w:sz w:val="18"/>
                            <w:szCs w:val="18"/>
                          </w:rPr>
                          <w:t>年第二次临时股东大会审议批准，将持有的控股子公司南京宇能仪表有限公司</w:t>
                        </w:r>
                        <w:r>
                          <w:rPr>
                            <w:rFonts w:ascii="宋体" w:hAnsi="宋体" w:cs="宋体" w:eastAsia="宋体" w:hint="default"/>
                            <w:spacing w:val="-67"/>
                            <w:sz w:val="18"/>
                            <w:szCs w:val="18"/>
                          </w:rPr>
                          <w:t> </w:t>
                        </w:r>
                        <w:r>
                          <w:rPr>
                            <w:rFonts w:ascii="宋体" w:hAnsi="宋体" w:cs="宋体" w:eastAsia="宋体" w:hint="default"/>
                            <w:spacing w:val="-3"/>
                            <w:sz w:val="18"/>
                            <w:szCs w:val="18"/>
                          </w:rPr>
                          <w:t>55%</w:t>
                        </w:r>
                        <w:r>
                          <w:rPr>
                            <w:rFonts w:ascii="宋体" w:hAnsi="宋体" w:cs="宋体" w:eastAsia="宋体" w:hint="default"/>
                            <w:spacing w:val="-3"/>
                            <w:sz w:val="18"/>
                            <w:szCs w:val="18"/>
                          </w:rPr>
                          <w:t>的股权、全部债</w:t>
                        </w:r>
                      </w:p>
                      <w:p>
                        <w:pPr>
                          <w:pStyle w:val="TableParagraph"/>
                          <w:spacing w:line="316" w:lineRule="auto" w:before="19"/>
                          <w:ind w:left="20" w:right="11"/>
                          <w:jc w:val="both"/>
                          <w:rPr>
                            <w:rFonts w:ascii="宋体" w:hAnsi="宋体" w:cs="宋体" w:eastAsia="宋体" w:hint="default"/>
                            <w:sz w:val="18"/>
                            <w:szCs w:val="18"/>
                          </w:rPr>
                        </w:pPr>
                        <w:r>
                          <w:rPr>
                            <w:rFonts w:ascii="宋体" w:hAnsi="宋体" w:cs="宋体" w:eastAsia="宋体" w:hint="default"/>
                            <w:sz w:val="18"/>
                            <w:szCs w:val="18"/>
                          </w:rPr>
                          <w:t>权及相应权利转让给公司控股股东光一投资。其中使用的超募资金</w:t>
                        </w:r>
                        <w:r>
                          <w:rPr>
                            <w:rFonts w:ascii="宋体" w:hAnsi="宋体" w:cs="宋体" w:eastAsia="宋体" w:hint="default"/>
                            <w:spacing w:val="-61"/>
                            <w:sz w:val="18"/>
                            <w:szCs w:val="18"/>
                          </w:rPr>
                          <w:t> </w:t>
                        </w:r>
                        <w:r>
                          <w:rPr>
                            <w:rFonts w:ascii="宋体" w:hAnsi="宋体" w:cs="宋体" w:eastAsia="宋体" w:hint="default"/>
                            <w:sz w:val="18"/>
                            <w:szCs w:val="18"/>
                          </w:rPr>
                          <w:t>2,250</w:t>
                        </w:r>
                        <w:r>
                          <w:rPr>
                            <w:rFonts w:ascii="宋体" w:hAnsi="宋体" w:cs="宋体" w:eastAsia="宋体" w:hint="default"/>
                            <w:spacing w:val="-30"/>
                            <w:sz w:val="18"/>
                            <w:szCs w:val="18"/>
                          </w:rPr>
                          <w:t> </w:t>
                        </w:r>
                        <w:r>
                          <w:rPr>
                            <w:rFonts w:ascii="宋体" w:hAnsi="宋体" w:cs="宋体" w:eastAsia="宋体" w:hint="default"/>
                            <w:sz w:val="18"/>
                            <w:szCs w:val="18"/>
                          </w:rPr>
                          <w:t>万元公司已收回并存放于超募 资金专用账户。</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z w:val="18"/>
                            <w:szCs w:val="18"/>
                          </w:rPr>
                          <w:t>2013</w:t>
                        </w:r>
                        <w:r>
                          <w:rPr>
                            <w:rFonts w:ascii="宋体" w:hAnsi="宋体" w:cs="宋体" w:eastAsia="宋体"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宋体" w:hAnsi="宋体" w:cs="宋体" w:eastAsia="宋体" w:hint="default"/>
                            <w:sz w:val="18"/>
                            <w:szCs w:val="18"/>
                          </w:rPr>
                          <w:t>12</w:t>
                        </w:r>
                        <w:r>
                          <w:rPr>
                            <w:rFonts w:ascii="宋体" w:hAnsi="宋体" w:cs="宋体" w:eastAsia="宋体"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宋体" w:hAnsi="宋体" w:cs="宋体" w:eastAsia="宋体" w:hint="default"/>
                            <w:sz w:val="18"/>
                            <w:szCs w:val="18"/>
                          </w:rPr>
                          <w:t>3</w:t>
                        </w:r>
                        <w:r>
                          <w:rPr>
                            <w:rFonts w:ascii="宋体" w:hAnsi="宋体" w:cs="宋体" w:eastAsia="宋体" w:hint="default"/>
                            <w:spacing w:val="-20"/>
                            <w:sz w:val="18"/>
                            <w:szCs w:val="18"/>
                          </w:rPr>
                          <w:t> </w:t>
                        </w:r>
                        <w:r>
                          <w:rPr>
                            <w:rFonts w:ascii="宋体" w:hAnsi="宋体" w:cs="宋体" w:eastAsia="宋体" w:hint="default"/>
                            <w:sz w:val="18"/>
                            <w:szCs w:val="18"/>
                          </w:rPr>
                          <w:t>日，公司披露了《关于使用部分超募资金永久补充流动资金的公告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r>
        <w:rPr/>
        <w:pict>
          <v:shape style="position:absolute;margin-left:41.73pt;margin-top:71.999985pt;width:494.9pt;height:692.3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3"/>
                    <w:gridCol w:w="8149"/>
                  </w:tblGrid>
                  <w:tr>
                    <w:trPr>
                      <w:trHeight w:val="4391" w:hRule="exact"/>
                    </w:trPr>
                    <w:tc>
                      <w:tcPr>
                        <w:tcW w:w="170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8149"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10"/>
                          <w:ind w:left="20" w:right="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2013</w:t>
                        </w:r>
                        <w:r>
                          <w:rPr>
                            <w:rFonts w:ascii="宋体" w:hAnsi="宋体" w:cs="宋体" w:eastAsia="宋体" w:hint="default"/>
                            <w:spacing w:val="-4"/>
                            <w:sz w:val="18"/>
                            <w:szCs w:val="18"/>
                          </w:rPr>
                          <w:t>）</w:t>
                        </w:r>
                        <w:r>
                          <w:rPr>
                            <w:rFonts w:ascii="宋体" w:hAnsi="宋体" w:cs="宋体" w:eastAsia="宋体" w:hint="default"/>
                            <w:spacing w:val="-4"/>
                            <w:sz w:val="18"/>
                            <w:szCs w:val="18"/>
                          </w:rPr>
                          <w:t>1203-054</w:t>
                        </w:r>
                        <w:r>
                          <w:rPr>
                            <w:rFonts w:ascii="宋体" w:hAnsi="宋体" w:cs="宋体" w:eastAsia="宋体" w:hint="default"/>
                            <w:spacing w:val="-4"/>
                            <w:sz w:val="18"/>
                            <w:szCs w:val="18"/>
                          </w:rPr>
                          <w:t>），同意公司使用超募资金</w:t>
                        </w:r>
                        <w:r>
                          <w:rPr>
                            <w:rFonts w:ascii="宋体" w:hAnsi="宋体" w:cs="宋体" w:eastAsia="宋体" w:hint="default"/>
                            <w:spacing w:val="2"/>
                            <w:sz w:val="18"/>
                            <w:szCs w:val="18"/>
                          </w:rPr>
                          <w:t> </w:t>
                        </w:r>
                        <w:r>
                          <w:rPr>
                            <w:rFonts w:ascii="宋体" w:hAnsi="宋体" w:cs="宋体" w:eastAsia="宋体" w:hint="default"/>
                            <w:sz w:val="18"/>
                            <w:szCs w:val="18"/>
                          </w:rPr>
                          <w:t>3,000</w:t>
                        </w:r>
                        <w:r>
                          <w:rPr>
                            <w:rFonts w:ascii="宋体" w:hAnsi="宋体" w:cs="宋体" w:eastAsia="宋体" w:hint="default"/>
                            <w:spacing w:val="2"/>
                            <w:sz w:val="18"/>
                            <w:szCs w:val="18"/>
                          </w:rPr>
                          <w:t> </w:t>
                        </w:r>
                        <w:r>
                          <w:rPr>
                            <w:rFonts w:ascii="宋体" w:hAnsi="宋体" w:cs="宋体" w:eastAsia="宋体" w:hint="default"/>
                            <w:sz w:val="18"/>
                            <w:szCs w:val="18"/>
                          </w:rPr>
                          <w:t>万元用于永久补充流动资金，公司承诺在永久补充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流动资金后十二个月内不进行证券投资、委托理财、衍生品投资、创业投资等高风险投资。上述款项公</w:t>
                        </w:r>
                        <w:r>
                          <w:rPr>
                            <w:rFonts w:ascii="宋体" w:hAnsi="宋体" w:cs="宋体" w:eastAsia="宋体" w:hint="default"/>
                            <w:sz w:val="18"/>
                            <w:szCs w:val="18"/>
                          </w:rPr>
                          <w:t> 司已划转完成。</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z w:val="18"/>
                            <w:szCs w:val="18"/>
                          </w:rPr>
                          <w:t>2014</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8</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20</w:t>
                        </w:r>
                        <w:r>
                          <w:rPr>
                            <w:rFonts w:ascii="宋体" w:hAnsi="宋体" w:cs="宋体" w:eastAsia="宋体" w:hint="default"/>
                            <w:spacing w:val="-38"/>
                            <w:sz w:val="18"/>
                            <w:szCs w:val="18"/>
                          </w:rPr>
                          <w:t> </w:t>
                        </w:r>
                        <w:r>
                          <w:rPr>
                            <w:rFonts w:ascii="宋体" w:hAnsi="宋体" w:cs="宋体" w:eastAsia="宋体" w:hint="default"/>
                            <w:sz w:val="18"/>
                            <w:szCs w:val="18"/>
                          </w:rPr>
                          <w:t>日，公司披露了《关于使用超募资金支付收购湖北索瑞电气有限公司股权部分现</w:t>
                        </w:r>
                      </w:p>
                      <w:p>
                        <w:pPr>
                          <w:pStyle w:val="TableParagraph"/>
                          <w:spacing w:line="316" w:lineRule="auto" w:before="77"/>
                          <w:ind w:left="20" w:right="11"/>
                          <w:jc w:val="both"/>
                          <w:rPr>
                            <w:rFonts w:ascii="宋体" w:hAnsi="宋体" w:cs="宋体" w:eastAsia="宋体" w:hint="default"/>
                            <w:sz w:val="18"/>
                            <w:szCs w:val="18"/>
                          </w:rPr>
                        </w:pPr>
                        <w:r>
                          <w:rPr>
                            <w:rFonts w:ascii="宋体" w:hAnsi="宋体" w:cs="宋体" w:eastAsia="宋体" w:hint="default"/>
                            <w:spacing w:val="-6"/>
                            <w:sz w:val="18"/>
                            <w:szCs w:val="18"/>
                          </w:rPr>
                          <w:t>金对价的公告》（公告编号：（</w:t>
                        </w:r>
                        <w:r>
                          <w:rPr>
                            <w:rFonts w:ascii="宋体" w:hAnsi="宋体" w:cs="宋体" w:eastAsia="宋体" w:hint="default"/>
                            <w:spacing w:val="-6"/>
                            <w:sz w:val="18"/>
                            <w:szCs w:val="18"/>
                          </w:rPr>
                          <w:t>2014</w:t>
                        </w:r>
                        <w:r>
                          <w:rPr>
                            <w:rFonts w:ascii="宋体" w:hAnsi="宋体" w:cs="宋体" w:eastAsia="宋体" w:hint="default"/>
                            <w:spacing w:val="-6"/>
                            <w:sz w:val="18"/>
                            <w:szCs w:val="18"/>
                          </w:rPr>
                          <w:t>）</w:t>
                        </w:r>
                        <w:r>
                          <w:rPr>
                            <w:rFonts w:ascii="宋体" w:hAnsi="宋体" w:cs="宋体" w:eastAsia="宋体" w:hint="default"/>
                            <w:spacing w:val="-6"/>
                            <w:sz w:val="18"/>
                            <w:szCs w:val="18"/>
                          </w:rPr>
                          <w:t>0820-061</w:t>
                        </w:r>
                        <w:r>
                          <w:rPr>
                            <w:rFonts w:ascii="宋体" w:hAnsi="宋体" w:cs="宋体" w:eastAsia="宋体" w:hint="default"/>
                            <w:spacing w:val="-6"/>
                            <w:sz w:val="18"/>
                            <w:szCs w:val="18"/>
                          </w:rPr>
                          <w:t>），公司以发行股份及支付现金的方式购买任昌兆等</w:t>
                        </w:r>
                        <w:r>
                          <w:rPr>
                            <w:rFonts w:ascii="宋体" w:hAnsi="宋体" w:cs="宋体" w:eastAsia="宋体" w:hint="default"/>
                            <w:spacing w:val="-39"/>
                            <w:sz w:val="18"/>
                            <w:szCs w:val="18"/>
                          </w:rPr>
                          <w:t> </w:t>
                        </w:r>
                        <w:r>
                          <w:rPr>
                            <w:rFonts w:ascii="宋体" w:hAnsi="宋体" w:cs="宋体" w:eastAsia="宋体" w:hint="default"/>
                            <w:sz w:val="18"/>
                            <w:szCs w:val="18"/>
                          </w:rPr>
                          <w:t>33</w:t>
                        </w:r>
                        <w:r>
                          <w:rPr>
                            <w:rFonts w:ascii="宋体" w:hAnsi="宋体" w:cs="宋体" w:eastAsia="宋体" w:hint="default"/>
                            <w:spacing w:val="-37"/>
                            <w:sz w:val="18"/>
                            <w:szCs w:val="18"/>
                          </w:rPr>
                          <w:t> </w:t>
                        </w:r>
                        <w:r>
                          <w:rPr>
                            <w:rFonts w:ascii="宋体" w:hAnsi="宋体" w:cs="宋体" w:eastAsia="宋体" w:hint="default"/>
                            <w:sz w:val="18"/>
                            <w:szCs w:val="18"/>
                          </w:rPr>
                          <w:t>名</w:t>
                        </w:r>
                        <w:r>
                          <w:rPr>
                            <w:rFonts w:ascii="宋体" w:hAnsi="宋体" w:cs="宋体" w:eastAsia="宋体" w:hint="default"/>
                            <w:spacing w:val="-85"/>
                            <w:sz w:val="18"/>
                            <w:szCs w:val="18"/>
                          </w:rPr>
                          <w:t> </w:t>
                        </w:r>
                        <w:r>
                          <w:rPr>
                            <w:rFonts w:ascii="宋体" w:hAnsi="宋体" w:cs="宋体" w:eastAsia="宋体" w:hint="default"/>
                            <w:sz w:val="18"/>
                            <w:szCs w:val="18"/>
                          </w:rPr>
                          <w:t>交易对方持有的湖北索瑞电气有限公司</w:t>
                        </w:r>
                        <w:r>
                          <w:rPr>
                            <w:rFonts w:ascii="宋体" w:hAnsi="宋体" w:cs="宋体" w:eastAsia="宋体" w:hint="default"/>
                            <w:spacing w:val="-32"/>
                            <w:sz w:val="18"/>
                            <w:szCs w:val="18"/>
                          </w:rPr>
                          <w:t> </w:t>
                        </w:r>
                        <w:r>
                          <w:rPr>
                            <w:rFonts w:ascii="宋体" w:hAnsi="宋体" w:cs="宋体" w:eastAsia="宋体" w:hint="default"/>
                            <w:sz w:val="18"/>
                            <w:szCs w:val="18"/>
                          </w:rPr>
                          <w:t>84.82%</w:t>
                        </w:r>
                        <w:r>
                          <w:rPr>
                            <w:rFonts w:ascii="宋体" w:hAnsi="宋体" w:cs="宋体" w:eastAsia="宋体" w:hint="default"/>
                            <w:sz w:val="18"/>
                            <w:szCs w:val="18"/>
                          </w:rPr>
                          <w:t>股权，其中使用超募资金</w:t>
                        </w:r>
                        <w:r>
                          <w:rPr>
                            <w:rFonts w:ascii="宋体" w:hAnsi="宋体" w:cs="宋体" w:eastAsia="宋体" w:hint="default"/>
                            <w:spacing w:val="-32"/>
                            <w:sz w:val="18"/>
                            <w:szCs w:val="18"/>
                          </w:rPr>
                          <w:t> </w:t>
                        </w:r>
                        <w:r>
                          <w:rPr>
                            <w:rFonts w:ascii="宋体" w:hAnsi="宋体" w:cs="宋体" w:eastAsia="宋体" w:hint="default"/>
                            <w:sz w:val="18"/>
                            <w:szCs w:val="18"/>
                          </w:rPr>
                          <w:t>6,779.12</w:t>
                        </w:r>
                        <w:r>
                          <w:rPr>
                            <w:rFonts w:ascii="宋体" w:hAnsi="宋体" w:cs="宋体" w:eastAsia="宋体" w:hint="default"/>
                            <w:spacing w:val="-33"/>
                            <w:sz w:val="18"/>
                            <w:szCs w:val="18"/>
                          </w:rPr>
                          <w:t> </w:t>
                        </w:r>
                        <w:r>
                          <w:rPr>
                            <w:rFonts w:ascii="宋体" w:hAnsi="宋体" w:cs="宋体" w:eastAsia="宋体" w:hint="default"/>
                            <w:sz w:val="18"/>
                            <w:szCs w:val="18"/>
                          </w:rPr>
                          <w:t>万元及超募资金账户 利息 </w:t>
                        </w:r>
                        <w:r>
                          <w:rPr>
                            <w:rFonts w:ascii="宋体" w:hAnsi="宋体" w:cs="宋体" w:eastAsia="宋体" w:hint="default"/>
                            <w:sz w:val="18"/>
                            <w:szCs w:val="18"/>
                          </w:rPr>
                          <w:t>517.13 </w:t>
                        </w:r>
                        <w:r>
                          <w:rPr>
                            <w:rFonts w:ascii="宋体" w:hAnsi="宋体" w:cs="宋体" w:eastAsia="宋体" w:hint="default"/>
                            <w:sz w:val="18"/>
                            <w:szCs w:val="18"/>
                          </w:rPr>
                          <w:t>万元合计 </w:t>
                        </w:r>
                        <w:r>
                          <w:rPr>
                            <w:rFonts w:ascii="宋体" w:hAnsi="宋体" w:cs="宋体" w:eastAsia="宋体" w:hint="default"/>
                            <w:sz w:val="18"/>
                            <w:szCs w:val="18"/>
                          </w:rPr>
                          <w:t>7,296.25</w:t>
                        </w:r>
                        <w:r>
                          <w:rPr>
                            <w:rFonts w:ascii="宋体" w:hAnsi="宋体" w:cs="宋体" w:eastAsia="宋体" w:hint="default"/>
                            <w:spacing w:val="-8"/>
                            <w:sz w:val="18"/>
                            <w:szCs w:val="18"/>
                          </w:rPr>
                          <w:t> </w:t>
                        </w:r>
                        <w:r>
                          <w:rPr>
                            <w:rFonts w:ascii="宋体" w:hAnsi="宋体" w:cs="宋体" w:eastAsia="宋体" w:hint="default"/>
                            <w:sz w:val="18"/>
                            <w:szCs w:val="18"/>
                          </w:rPr>
                          <w:t>万元用于支付现金对价部分，本次重大资产重组已经中国证券监督管 理委员会证监许可</w:t>
                        </w:r>
                        <w:r>
                          <w:rPr>
                            <w:rFonts w:ascii="宋体" w:hAnsi="宋体" w:cs="宋体" w:eastAsia="宋体" w:hint="default"/>
                            <w:sz w:val="18"/>
                            <w:szCs w:val="18"/>
                          </w:rPr>
                          <w:t>[2014]1399</w:t>
                        </w:r>
                        <w:r>
                          <w:rPr>
                            <w:rFonts w:ascii="宋体" w:hAnsi="宋体" w:cs="宋体" w:eastAsia="宋体" w:hint="default"/>
                            <w:spacing w:val="-46"/>
                            <w:sz w:val="18"/>
                            <w:szCs w:val="18"/>
                          </w:rPr>
                          <w:t> </w:t>
                        </w:r>
                        <w:r>
                          <w:rPr>
                            <w:rFonts w:ascii="宋体" w:hAnsi="宋体" w:cs="宋体" w:eastAsia="宋体" w:hint="default"/>
                            <w:sz w:val="18"/>
                            <w:szCs w:val="18"/>
                          </w:rPr>
                          <w:t>号核准。上述款项公司已划转完成。</w:t>
                        </w:r>
                      </w:p>
                      <w:p>
                        <w:pPr>
                          <w:pStyle w:val="TableParagraph"/>
                          <w:spacing w:line="240" w:lineRule="auto" w:before="19"/>
                          <w:ind w:left="470" w:right="0"/>
                          <w:jc w:val="left"/>
                          <w:rPr>
                            <w:rFonts w:ascii="宋体" w:hAnsi="宋体" w:cs="宋体" w:eastAsia="宋体" w:hint="default"/>
                            <w:sz w:val="18"/>
                            <w:szCs w:val="18"/>
                          </w:rPr>
                        </w:pPr>
                        <w:r>
                          <w:rPr>
                            <w:rFonts w:ascii="宋体" w:hAnsi="宋体" w:cs="宋体" w:eastAsia="宋体" w:hint="default"/>
                            <w:spacing w:val="2"/>
                            <w:sz w:val="18"/>
                            <w:szCs w:val="18"/>
                          </w:rPr>
                          <w:t>⑤</w:t>
                        </w:r>
                        <w:r>
                          <w:rPr>
                            <w:rFonts w:ascii="宋体" w:hAnsi="宋体" w:cs="宋体" w:eastAsia="宋体" w:hint="default"/>
                            <w:sz w:val="18"/>
                            <w:szCs w:val="18"/>
                          </w:rPr>
                          <w:t>2015</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6</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pacing w:val="2"/>
                            <w:sz w:val="18"/>
                            <w:szCs w:val="18"/>
                          </w:rPr>
                          <w:t>日，公</w:t>
                        </w:r>
                        <w:r>
                          <w:rPr>
                            <w:rFonts w:ascii="宋体" w:hAnsi="宋体" w:cs="宋体" w:eastAsia="宋体" w:hint="default"/>
                            <w:spacing w:val="1"/>
                            <w:sz w:val="18"/>
                            <w:szCs w:val="18"/>
                          </w:rPr>
                          <w:t>司</w:t>
                        </w:r>
                        <w:r>
                          <w:rPr>
                            <w:rFonts w:ascii="宋体" w:hAnsi="宋体" w:cs="宋体" w:eastAsia="宋体" w:hint="default"/>
                            <w:spacing w:val="2"/>
                            <w:sz w:val="18"/>
                            <w:szCs w:val="18"/>
                          </w:rPr>
                          <w:t>披露了《关</w:t>
                        </w:r>
                        <w:r>
                          <w:rPr>
                            <w:rFonts w:ascii="宋体" w:hAnsi="宋体" w:cs="宋体" w:eastAsia="宋体" w:hint="default"/>
                            <w:spacing w:val="1"/>
                            <w:sz w:val="18"/>
                            <w:szCs w:val="18"/>
                          </w:rPr>
                          <w:t>于</w:t>
                        </w:r>
                        <w:r>
                          <w:rPr>
                            <w:rFonts w:ascii="宋体" w:hAnsi="宋体" w:cs="宋体" w:eastAsia="宋体" w:hint="default"/>
                            <w:spacing w:val="2"/>
                            <w:sz w:val="18"/>
                            <w:szCs w:val="18"/>
                          </w:rPr>
                          <w:t>使用超募资</w:t>
                        </w:r>
                        <w:r>
                          <w:rPr>
                            <w:rFonts w:ascii="宋体" w:hAnsi="宋体" w:cs="宋体" w:eastAsia="宋体" w:hint="default"/>
                            <w:spacing w:val="1"/>
                            <w:sz w:val="18"/>
                            <w:szCs w:val="18"/>
                          </w:rPr>
                          <w:t>金</w:t>
                        </w:r>
                        <w:r>
                          <w:rPr>
                            <w:rFonts w:ascii="宋体" w:hAnsi="宋体" w:cs="宋体" w:eastAsia="宋体" w:hint="default"/>
                            <w:spacing w:val="2"/>
                            <w:sz w:val="18"/>
                            <w:szCs w:val="18"/>
                          </w:rPr>
                          <w:t>永久补充流</w:t>
                        </w:r>
                        <w:r>
                          <w:rPr>
                            <w:rFonts w:ascii="宋体" w:hAnsi="宋体" w:cs="宋体" w:eastAsia="宋体" w:hint="default"/>
                            <w:spacing w:val="1"/>
                            <w:sz w:val="18"/>
                            <w:szCs w:val="18"/>
                          </w:rPr>
                          <w:t>动</w:t>
                        </w:r>
                        <w:r>
                          <w:rPr>
                            <w:rFonts w:ascii="宋体" w:hAnsi="宋体" w:cs="宋体" w:eastAsia="宋体" w:hint="default"/>
                            <w:spacing w:val="2"/>
                            <w:sz w:val="18"/>
                            <w:szCs w:val="18"/>
                          </w:rPr>
                          <w:t>资金的公告</w:t>
                        </w:r>
                        <w:r>
                          <w:rPr>
                            <w:rFonts w:ascii="宋体" w:hAnsi="宋体" w:cs="宋体" w:eastAsia="宋体" w:hint="default"/>
                            <w:spacing w:val="-88"/>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公告编号</w:t>
                        </w:r>
                        <w:r>
                          <w:rPr>
                            <w:rFonts w:ascii="宋体" w:hAnsi="宋体" w:cs="宋体" w:eastAsia="宋体" w:hint="default"/>
                            <w:sz w:val="18"/>
                            <w:szCs w:val="18"/>
                          </w:rPr>
                          <w:t>：</w:t>
                        </w:r>
                      </w:p>
                      <w:p>
                        <w:pPr>
                          <w:pStyle w:val="TableParagraph"/>
                          <w:spacing w:line="316" w:lineRule="auto" w:before="76"/>
                          <w:ind w:left="20" w:right="10"/>
                          <w:jc w:val="both"/>
                          <w:rPr>
                            <w:rFonts w:ascii="宋体" w:hAnsi="宋体" w:cs="宋体" w:eastAsia="宋体" w:hint="default"/>
                            <w:sz w:val="18"/>
                            <w:szCs w:val="18"/>
                          </w:rPr>
                        </w:pPr>
                        <w:r>
                          <w:rPr>
                            <w:rFonts w:ascii="宋体" w:hAnsi="宋体" w:cs="宋体" w:eastAsia="宋体" w:hint="default"/>
                            <w:spacing w:val="-5"/>
                            <w:sz w:val="18"/>
                            <w:szCs w:val="18"/>
                          </w:rPr>
                          <w:t>2015-031</w:t>
                        </w:r>
                        <w:r>
                          <w:rPr>
                            <w:rFonts w:ascii="宋体" w:hAnsi="宋体" w:cs="宋体" w:eastAsia="宋体" w:hint="default"/>
                            <w:spacing w:val="-5"/>
                            <w:sz w:val="18"/>
                            <w:szCs w:val="18"/>
                          </w:rPr>
                          <w:t>），公司使用超募资金</w:t>
                        </w:r>
                        <w:r>
                          <w:rPr>
                            <w:rFonts w:ascii="宋体" w:hAnsi="宋体" w:cs="宋体" w:eastAsia="宋体" w:hint="default"/>
                            <w:sz w:val="18"/>
                            <w:szCs w:val="18"/>
                          </w:rPr>
                          <w:t> </w:t>
                        </w:r>
                        <w:r>
                          <w:rPr>
                            <w:rFonts w:ascii="宋体" w:hAnsi="宋体" w:cs="宋体" w:eastAsia="宋体" w:hint="default"/>
                            <w:sz w:val="18"/>
                            <w:szCs w:val="18"/>
                          </w:rPr>
                          <w:t>2,250</w:t>
                        </w:r>
                        <w:r>
                          <w:rPr>
                            <w:rFonts w:ascii="宋体" w:hAnsi="宋体" w:cs="宋体" w:eastAsia="宋体" w:hint="default"/>
                            <w:spacing w:val="-8"/>
                            <w:sz w:val="18"/>
                            <w:szCs w:val="18"/>
                          </w:rPr>
                          <w:t> </w:t>
                        </w:r>
                        <w:r>
                          <w:rPr>
                            <w:rFonts w:ascii="宋体" w:hAnsi="宋体" w:cs="宋体" w:eastAsia="宋体" w:hint="default"/>
                            <w:sz w:val="18"/>
                            <w:szCs w:val="18"/>
                          </w:rPr>
                          <w:t>万元用于永久补充流动资金，公司承诺在本次永久补充流动资金 后十二个月内不进行高风险投资（包括财务性投资）以及为他人提供财务资助。上述款项公司已划转完 成。</w:t>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8"/>
                            <w:sz w:val="18"/>
                            <w:szCs w:val="18"/>
                          </w:rPr>
                          <w:t> </w:t>
                        </w:r>
                        <w:r>
                          <w:rPr>
                            <w:rFonts w:ascii="宋体" w:hAnsi="宋体" w:cs="宋体" w:eastAsia="宋体" w:hint="default"/>
                            <w:sz w:val="18"/>
                            <w:szCs w:val="18"/>
                          </w:rPr>
                          <w:t>2017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38"/>
                            <w:sz w:val="18"/>
                            <w:szCs w:val="18"/>
                          </w:rPr>
                          <w:t> </w:t>
                        </w:r>
                        <w:r>
                          <w:rPr>
                            <w:rFonts w:ascii="宋体" w:hAnsi="宋体" w:cs="宋体" w:eastAsia="宋体" w:hint="default"/>
                            <w:sz w:val="18"/>
                            <w:szCs w:val="18"/>
                          </w:rPr>
                          <w:t>日，公司超募资金累计使用</w:t>
                        </w:r>
                        <w:r>
                          <w:rPr>
                            <w:rFonts w:ascii="宋体" w:hAnsi="宋体" w:cs="宋体" w:eastAsia="宋体" w:hint="default"/>
                            <w:spacing w:val="-37"/>
                            <w:sz w:val="18"/>
                            <w:szCs w:val="18"/>
                          </w:rPr>
                          <w:t> </w:t>
                        </w:r>
                        <w:r>
                          <w:rPr>
                            <w:rFonts w:ascii="宋体" w:hAnsi="宋体" w:cs="宋体" w:eastAsia="宋体" w:hint="default"/>
                            <w:sz w:val="18"/>
                            <w:szCs w:val="18"/>
                          </w:rPr>
                          <w:t>15,546.25</w:t>
                        </w:r>
                        <w:r>
                          <w:rPr>
                            <w:rFonts w:ascii="宋体" w:hAnsi="宋体" w:cs="宋体" w:eastAsia="宋体" w:hint="default"/>
                            <w:spacing w:val="-36"/>
                            <w:sz w:val="18"/>
                            <w:szCs w:val="18"/>
                          </w:rPr>
                          <w:t> </w:t>
                        </w:r>
                        <w:r>
                          <w:rPr>
                            <w:rFonts w:ascii="宋体" w:hAnsi="宋体" w:cs="宋体" w:eastAsia="宋体" w:hint="default"/>
                            <w:sz w:val="18"/>
                            <w:szCs w:val="18"/>
                          </w:rPr>
                          <w:t>万元，其中超募资金</w:t>
                        </w:r>
                        <w:r>
                          <w:rPr>
                            <w:rFonts w:ascii="宋体" w:hAnsi="宋体" w:cs="宋体" w:eastAsia="宋体" w:hint="default"/>
                            <w:spacing w:val="-36"/>
                            <w:sz w:val="18"/>
                            <w:szCs w:val="18"/>
                          </w:rPr>
                          <w:t> </w:t>
                        </w:r>
                        <w:r>
                          <w:rPr>
                            <w:rFonts w:ascii="宋体" w:hAnsi="宋体" w:cs="宋体" w:eastAsia="宋体" w:hint="default"/>
                            <w:sz w:val="18"/>
                            <w:szCs w:val="18"/>
                          </w:rPr>
                          <w:t>15,029.12</w:t>
                        </w:r>
                        <w:r>
                          <w:rPr>
                            <w:rFonts w:ascii="宋体" w:hAnsi="宋体" w:cs="宋体" w:eastAsia="宋体" w:hint="default"/>
                            <w:spacing w:val="-35"/>
                            <w:sz w:val="18"/>
                            <w:szCs w:val="18"/>
                          </w:rPr>
                          <w:t> </w:t>
                        </w:r>
                        <w:r>
                          <w:rPr>
                            <w:rFonts w:ascii="宋体" w:hAnsi="宋体" w:cs="宋体" w:eastAsia="宋体" w:hint="default"/>
                            <w:sz w:val="18"/>
                            <w:szCs w:val="18"/>
                          </w:rPr>
                          <w:t>万元</w:t>
                        </w:r>
                      </w:p>
                      <w:p>
                        <w:pPr>
                          <w:pStyle w:val="TableParagraph"/>
                          <w:spacing w:line="240" w:lineRule="auto" w:before="76"/>
                          <w:ind w:left="20" w:right="0"/>
                          <w:jc w:val="both"/>
                          <w:rPr>
                            <w:rFonts w:ascii="宋体" w:hAnsi="宋体" w:cs="宋体" w:eastAsia="宋体" w:hint="default"/>
                            <w:sz w:val="18"/>
                            <w:szCs w:val="18"/>
                          </w:rPr>
                        </w:pPr>
                        <w:r>
                          <w:rPr>
                            <w:rFonts w:ascii="宋体" w:hAnsi="宋体" w:cs="宋体" w:eastAsia="宋体" w:hint="default"/>
                            <w:sz w:val="18"/>
                            <w:szCs w:val="18"/>
                          </w:rPr>
                          <w:t>已全部使用完毕，使用超募资金利息</w:t>
                        </w:r>
                        <w:r>
                          <w:rPr>
                            <w:rFonts w:ascii="宋体" w:hAnsi="宋体" w:cs="宋体" w:eastAsia="宋体" w:hint="default"/>
                            <w:spacing w:val="-46"/>
                            <w:sz w:val="18"/>
                            <w:szCs w:val="18"/>
                          </w:rPr>
                          <w:t> </w:t>
                        </w:r>
                        <w:r>
                          <w:rPr>
                            <w:rFonts w:ascii="宋体" w:hAnsi="宋体" w:cs="宋体" w:eastAsia="宋体" w:hint="default"/>
                            <w:sz w:val="18"/>
                            <w:szCs w:val="18"/>
                          </w:rPr>
                          <w:t>517.13 </w:t>
                        </w:r>
                        <w:r>
                          <w:rPr>
                            <w:rFonts w:ascii="宋体" w:hAnsi="宋体" w:cs="宋体" w:eastAsia="宋体" w:hint="default"/>
                            <w:sz w:val="18"/>
                            <w:szCs w:val="18"/>
                          </w:rPr>
                          <w:t>万元；超募资金专用账户尚余利息</w:t>
                        </w:r>
                        <w:r>
                          <w:rPr>
                            <w:rFonts w:ascii="宋体" w:hAnsi="宋体" w:cs="宋体" w:eastAsia="宋体" w:hint="default"/>
                            <w:spacing w:val="-46"/>
                            <w:sz w:val="18"/>
                            <w:szCs w:val="18"/>
                          </w:rPr>
                          <w:t> </w:t>
                        </w:r>
                        <w:r>
                          <w:rPr>
                            <w:rFonts w:ascii="宋体" w:hAnsi="宋体" w:cs="宋体" w:eastAsia="宋体" w:hint="default"/>
                            <w:sz w:val="18"/>
                            <w:szCs w:val="18"/>
                          </w:rPr>
                          <w:t>3,910.43</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407" w:hRule="exact"/>
                    </w:trPr>
                    <w:tc>
                      <w:tcPr>
                        <w:tcW w:w="170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3" w:right="4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7" w:hRule="exact"/>
                    </w:trPr>
                    <w:tc>
                      <w:tcPr>
                        <w:tcW w:w="1703" w:type="dxa"/>
                        <w:vMerge/>
                        <w:tcBorders>
                          <w:left w:val="single" w:sz="12" w:space="0" w:color="000000"/>
                          <w:right w:val="single" w:sz="6" w:space="0" w:color="000000"/>
                        </w:tcBorders>
                        <w:shd w:val="clear" w:color="auto" w:fill="D2D2D2"/>
                      </w:tcPr>
                      <w:p>
                        <w:pP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43" w:hRule="exact"/>
                    </w:trPr>
                    <w:tc>
                      <w:tcPr>
                        <w:tcW w:w="1703" w:type="dxa"/>
                        <w:vMerge/>
                        <w:tcBorders>
                          <w:left w:val="single" w:sz="12" w:space="0" w:color="000000"/>
                          <w:bottom w:val="single" w:sz="6" w:space="0" w:color="000000"/>
                          <w:right w:val="single" w:sz="6" w:space="0" w:color="000000"/>
                        </w:tcBorders>
                        <w:shd w:val="clear" w:color="auto" w:fill="D2D2D2"/>
                      </w:tcPr>
                      <w:p>
                        <w:pP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81"/>
                            <w:sz w:val="18"/>
                            <w:szCs w:val="18"/>
                          </w:rPr>
                          <w:t>，</w:t>
                        </w:r>
                        <w:r>
                          <w:rPr>
                            <w:rFonts w:ascii="宋体" w:hAnsi="宋体" w:cs="宋体" w:eastAsia="宋体" w:hint="default"/>
                            <w:sz w:val="18"/>
                            <w:szCs w:val="18"/>
                          </w:rPr>
                          <w:t>公司披露</w:t>
                        </w:r>
                        <w:r>
                          <w:rPr>
                            <w:rFonts w:ascii="宋体" w:hAnsi="宋体" w:cs="宋体" w:eastAsia="宋体" w:hint="default"/>
                            <w:spacing w:val="-81"/>
                            <w:sz w:val="18"/>
                            <w:szCs w:val="18"/>
                          </w:rPr>
                          <w:t>了</w:t>
                        </w:r>
                        <w:r>
                          <w:rPr>
                            <w:rFonts w:ascii="宋体" w:hAnsi="宋体" w:cs="宋体" w:eastAsia="宋体" w:hint="default"/>
                            <w:sz w:val="18"/>
                            <w:szCs w:val="18"/>
                          </w:rPr>
                          <w:t>《关于变更部分募集资金投资项目实施地点的公告</w:t>
                        </w:r>
                        <w:r>
                          <w:rPr>
                            <w:rFonts w:ascii="宋体" w:hAnsi="宋体" w:cs="宋体" w:eastAsia="宋体" w:hint="default"/>
                            <w:spacing w:val="-80"/>
                            <w:sz w:val="18"/>
                            <w:szCs w:val="18"/>
                          </w:rPr>
                          <w:t>》</w:t>
                        </w:r>
                        <w:r>
                          <w:rPr>
                            <w:rFonts w:ascii="宋体" w:hAnsi="宋体" w:cs="宋体" w:eastAsia="宋体" w:hint="default"/>
                            <w:sz w:val="18"/>
                            <w:szCs w:val="18"/>
                          </w:rPr>
                          <w:t>(</w:t>
                        </w:r>
                        <w:r>
                          <w:rPr>
                            <w:rFonts w:ascii="宋体" w:hAnsi="宋体" w:cs="宋体" w:eastAsia="宋体" w:hint="default"/>
                            <w:sz w:val="18"/>
                            <w:szCs w:val="18"/>
                          </w:rPr>
                          <w:t>公告编</w:t>
                        </w:r>
                        <w:r>
                          <w:rPr>
                            <w:rFonts w:ascii="宋体" w:hAnsi="宋体" w:cs="宋体" w:eastAsia="宋体" w:hint="default"/>
                            <w:spacing w:val="-81"/>
                            <w:sz w:val="18"/>
                            <w:szCs w:val="18"/>
                          </w:rPr>
                          <w:t>号</w:t>
                        </w:r>
                        <w:r>
                          <w:rPr>
                            <w:rFonts w:ascii="宋体" w:hAnsi="宋体" w:cs="宋体" w:eastAsia="宋体" w:hint="default"/>
                            <w:sz w:val="18"/>
                            <w:szCs w:val="18"/>
                          </w:rPr>
                          <w:t>（</w:t>
                        </w:r>
                        <w:r>
                          <w:rPr>
                            <w:rFonts w:ascii="宋体" w:hAnsi="宋体" w:cs="宋体" w:eastAsia="宋体" w:hint="default"/>
                            <w:sz w:val="18"/>
                            <w:szCs w:val="18"/>
                          </w:rPr>
                          <w:t>2013</w:t>
                        </w:r>
                      </w:p>
                      <w:p>
                        <w:pPr>
                          <w:pStyle w:val="TableParagraph"/>
                          <w:spacing w:line="319" w:lineRule="auto" w:before="75"/>
                          <w:ind w:left="20" w:right="11"/>
                          <w:jc w:val="both"/>
                          <w:rPr>
                            <w:rFonts w:ascii="宋体" w:hAnsi="宋体" w:cs="宋体" w:eastAsia="宋体" w:hint="default"/>
                            <w:sz w:val="18"/>
                            <w:szCs w:val="18"/>
                          </w:rPr>
                        </w:pPr>
                        <w:r>
                          <w:rPr>
                            <w:rFonts w:ascii="宋体" w:hAnsi="宋体" w:cs="宋体" w:eastAsia="宋体" w:hint="default"/>
                            <w:sz w:val="18"/>
                            <w:szCs w:val="18"/>
                          </w:rPr>
                          <w:t>0111-</w:t>
                        </w:r>
                        <w:r>
                          <w:rPr>
                            <w:rFonts w:ascii="宋体" w:hAnsi="宋体" w:cs="宋体" w:eastAsia="宋体" w:hint="default"/>
                            <w:spacing w:val="26"/>
                            <w:sz w:val="18"/>
                            <w:szCs w:val="18"/>
                          </w:rPr>
                          <w:t> </w:t>
                        </w:r>
                        <w:r>
                          <w:rPr>
                            <w:rFonts w:ascii="宋体" w:hAnsi="宋体" w:cs="宋体" w:eastAsia="宋体" w:hint="default"/>
                            <w:spacing w:val="-3"/>
                            <w:sz w:val="18"/>
                            <w:szCs w:val="18"/>
                          </w:rPr>
                          <w:t>003</w:t>
                        </w:r>
                        <w:r>
                          <w:rPr>
                            <w:rFonts w:ascii="宋体" w:hAnsi="宋体" w:cs="宋体" w:eastAsia="宋体" w:hint="default"/>
                            <w:spacing w:val="-3"/>
                            <w:sz w:val="18"/>
                            <w:szCs w:val="18"/>
                          </w:rPr>
                          <w:t>），公司募投项目“电力用户用电信息采集系统产能扩大建设项目”的实施地点由南京市江宁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开发区将军大道以西，福特研发中心以南地块变更为相邻地块，该两宗土地公司均已取得国有土地使用</w:t>
                        </w:r>
                        <w:r>
                          <w:rPr>
                            <w:rFonts w:ascii="宋体" w:hAnsi="宋体" w:cs="宋体" w:eastAsia="宋体" w:hint="default"/>
                            <w:sz w:val="18"/>
                            <w:szCs w:val="18"/>
                          </w:rPr>
                          <w:t> 证。实施地点变更后该项目使用募集资金总投资及建设内容不变。</w:t>
                        </w:r>
                      </w:p>
                    </w:tc>
                  </w:tr>
                  <w:tr>
                    <w:trPr>
                      <w:trHeight w:val="720"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2"/>
                          <w:ind w:left="13" w:right="4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170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3" w:right="4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3" w:hRule="exact"/>
                    </w:trPr>
                    <w:tc>
                      <w:tcPr>
                        <w:tcW w:w="1703" w:type="dxa"/>
                        <w:vMerge/>
                        <w:tcBorders>
                          <w:left w:val="single" w:sz="12" w:space="0" w:color="000000"/>
                          <w:bottom w:val="single" w:sz="6" w:space="0" w:color="000000"/>
                          <w:right w:val="single" w:sz="6" w:space="0" w:color="000000"/>
                        </w:tcBorders>
                        <w:shd w:val="clear" w:color="auto" w:fill="D2D2D2"/>
                      </w:tcPr>
                      <w:p>
                        <w:pP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日，公司披露了《关于以募集资金置换预先投入募集资金投资项目的自筹资金的</w:t>
                        </w:r>
                      </w:p>
                      <w:p>
                        <w:pPr>
                          <w:pStyle w:val="TableParagraph"/>
                          <w:spacing w:line="319" w:lineRule="auto" w:before="76"/>
                          <w:ind w:left="20" w:right="10"/>
                          <w:jc w:val="both"/>
                          <w:rPr>
                            <w:rFonts w:ascii="宋体" w:hAnsi="宋体" w:cs="宋体" w:eastAsia="宋体" w:hint="default"/>
                            <w:sz w:val="18"/>
                            <w:szCs w:val="18"/>
                          </w:rPr>
                        </w:pPr>
                        <w:r>
                          <w:rPr>
                            <w:rFonts w:ascii="宋体" w:hAnsi="宋体" w:cs="宋体" w:eastAsia="宋体" w:hint="default"/>
                            <w:spacing w:val="-10"/>
                            <w:sz w:val="18"/>
                            <w:szCs w:val="18"/>
                          </w:rPr>
                          <w:t>公告》（公告编号：（</w:t>
                        </w:r>
                        <w:r>
                          <w:rPr>
                            <w:rFonts w:ascii="宋体" w:hAnsi="宋体" w:cs="宋体" w:eastAsia="宋体" w:hint="default"/>
                            <w:spacing w:val="-10"/>
                            <w:sz w:val="18"/>
                            <w:szCs w:val="18"/>
                          </w:rPr>
                          <w:t>2012</w:t>
                        </w:r>
                        <w:r>
                          <w:rPr>
                            <w:rFonts w:ascii="宋体" w:hAnsi="宋体" w:cs="宋体" w:eastAsia="宋体" w:hint="default"/>
                            <w:spacing w:val="-10"/>
                            <w:sz w:val="18"/>
                            <w:szCs w:val="18"/>
                          </w:rPr>
                          <w:t>）</w:t>
                        </w:r>
                        <w:r>
                          <w:rPr>
                            <w:rFonts w:ascii="宋体" w:hAnsi="宋体" w:cs="宋体" w:eastAsia="宋体" w:hint="default"/>
                            <w:spacing w:val="-10"/>
                            <w:sz w:val="18"/>
                            <w:szCs w:val="18"/>
                          </w:rPr>
                          <w:t>1030-009</w:t>
                        </w:r>
                        <w:r>
                          <w:rPr>
                            <w:rFonts w:ascii="宋体" w:hAnsi="宋体" w:cs="宋体" w:eastAsia="宋体" w:hint="default"/>
                            <w:spacing w:val="-10"/>
                            <w:sz w:val="18"/>
                            <w:szCs w:val="18"/>
                          </w:rPr>
                          <w:t>），公司使用募集资金</w:t>
                        </w:r>
                        <w:r>
                          <w:rPr>
                            <w:rFonts w:ascii="宋体" w:hAnsi="宋体" w:cs="宋体" w:eastAsia="宋体" w:hint="default"/>
                            <w:sz w:val="18"/>
                            <w:szCs w:val="18"/>
                          </w:rPr>
                          <w:t> </w:t>
                        </w:r>
                        <w:r>
                          <w:rPr>
                            <w:rFonts w:ascii="宋体" w:hAnsi="宋体" w:cs="宋体" w:eastAsia="宋体" w:hint="default"/>
                            <w:sz w:val="18"/>
                            <w:szCs w:val="18"/>
                          </w:rPr>
                          <w:t>1,189.82</w:t>
                        </w:r>
                        <w:r>
                          <w:rPr>
                            <w:rFonts w:ascii="宋体" w:hAnsi="宋体" w:cs="宋体" w:eastAsia="宋体" w:hint="default"/>
                            <w:spacing w:val="-43"/>
                            <w:sz w:val="18"/>
                            <w:szCs w:val="18"/>
                          </w:rPr>
                          <w:t> </w:t>
                        </w:r>
                        <w:r>
                          <w:rPr>
                            <w:rFonts w:ascii="宋体" w:hAnsi="宋体" w:cs="宋体" w:eastAsia="宋体" w:hint="default"/>
                            <w:sz w:val="18"/>
                            <w:szCs w:val="18"/>
                          </w:rPr>
                          <w:t>万元置换预先已投入募集资金投资 </w:t>
                        </w:r>
                        <w:r>
                          <w:rPr>
                            <w:rFonts w:ascii="宋体" w:hAnsi="宋体" w:cs="宋体" w:eastAsia="宋体" w:hint="default"/>
                            <w:spacing w:val="-1"/>
                            <w:sz w:val="18"/>
                            <w:szCs w:val="18"/>
                          </w:rPr>
                          <w:t>项目的自筹资金，上海众华沪银会计师事务所有限公司出具了沪众会字（</w:t>
                        </w:r>
                        <w:r>
                          <w:rPr>
                            <w:rFonts w:ascii="宋体" w:hAnsi="宋体" w:cs="宋体" w:eastAsia="宋体" w:hint="default"/>
                            <w:spacing w:val="-1"/>
                            <w:sz w:val="18"/>
                            <w:szCs w:val="18"/>
                          </w:rPr>
                          <w:t>2012</w:t>
                        </w:r>
                        <w:r>
                          <w:rPr>
                            <w:rFonts w:ascii="宋体" w:hAnsi="宋体" w:cs="宋体" w:eastAsia="宋体" w:hint="default"/>
                            <w:spacing w:val="-1"/>
                            <w:sz w:val="18"/>
                            <w:szCs w:val="18"/>
                          </w:rPr>
                          <w:t>）</w:t>
                        </w:r>
                        <w:r>
                          <w:rPr>
                            <w:rFonts w:ascii="宋体" w:hAnsi="宋体" w:cs="宋体" w:eastAsia="宋体" w:hint="default"/>
                            <w:spacing w:val="-1"/>
                            <w:sz w:val="18"/>
                            <w:szCs w:val="18"/>
                          </w:rPr>
                          <w:t>3221</w:t>
                        </w:r>
                        <w:r>
                          <w:rPr>
                            <w:rFonts w:ascii="宋体" w:hAnsi="宋体" w:cs="宋体" w:eastAsia="宋体" w:hint="default"/>
                            <w:spacing w:val="-45"/>
                            <w:sz w:val="18"/>
                            <w:szCs w:val="18"/>
                          </w:rPr>
                          <w:t> </w:t>
                        </w:r>
                        <w:r>
                          <w:rPr>
                            <w:rFonts w:ascii="宋体" w:hAnsi="宋体" w:cs="宋体" w:eastAsia="宋体" w:hint="default"/>
                            <w:spacing w:val="-2"/>
                            <w:sz w:val="18"/>
                            <w:szCs w:val="18"/>
                          </w:rPr>
                          <w:t>号鉴证报告，对该</w:t>
                        </w:r>
                        <w:r>
                          <w:rPr>
                            <w:rFonts w:ascii="宋体" w:hAnsi="宋体" w:cs="宋体" w:eastAsia="宋体" w:hint="default"/>
                            <w:sz w:val="18"/>
                            <w:szCs w:val="18"/>
                          </w:rPr>
                          <w:t> 项情况进行了审验。该项置换工作已划转完成。</w:t>
                        </w:r>
                      </w:p>
                    </w:tc>
                  </w:tr>
                  <w:tr>
                    <w:trPr>
                      <w:trHeight w:val="407" w:hRule="exact"/>
                    </w:trPr>
                    <w:tc>
                      <w:tcPr>
                        <w:tcW w:w="170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3" w:right="4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92" w:hRule="exact"/>
                    </w:trPr>
                    <w:tc>
                      <w:tcPr>
                        <w:tcW w:w="1703" w:type="dxa"/>
                        <w:vMerge/>
                        <w:tcBorders>
                          <w:left w:val="single" w:sz="12" w:space="0" w:color="000000"/>
                          <w:bottom w:val="single" w:sz="12" w:space="0" w:color="000000"/>
                          <w:right w:val="single" w:sz="6" w:space="0" w:color="000000"/>
                        </w:tcBorders>
                        <w:shd w:val="clear" w:color="auto" w:fill="D2D2D2"/>
                      </w:tcPr>
                      <w:p>
                        <w:pPr/>
                      </w:p>
                    </w:tc>
                    <w:tc>
                      <w:tcPr>
                        <w:tcW w:w="8149"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1"/>
                          <w:ind w:left="20" w:right="11" w:firstLine="360"/>
                          <w:jc w:val="both"/>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2012</w:t>
                        </w:r>
                        <w:r>
                          <w:rPr>
                            <w:rFonts w:ascii="宋体" w:hAnsi="宋体" w:cs="宋体" w:eastAsia="宋体"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pacing w:val="-3"/>
                            <w:sz w:val="18"/>
                            <w:szCs w:val="18"/>
                          </w:rPr>
                          <w:t>日，公司披露了《关于使用部分闲置募集资金暂时补充流动资金的公告》（公告</w:t>
                        </w:r>
                        <w:r>
                          <w:rPr>
                            <w:rFonts w:ascii="宋体" w:hAnsi="宋体" w:cs="宋体" w:eastAsia="宋体" w:hint="default"/>
                            <w:sz w:val="18"/>
                            <w:szCs w:val="18"/>
                          </w:rPr>
                          <w:t> </w:t>
                        </w:r>
                        <w:r>
                          <w:rPr>
                            <w:rFonts w:ascii="宋体" w:hAnsi="宋体" w:cs="宋体" w:eastAsia="宋体" w:hint="default"/>
                            <w:spacing w:val="-4"/>
                            <w:sz w:val="18"/>
                            <w:szCs w:val="18"/>
                          </w:rPr>
                          <w:t>编号：（</w:t>
                        </w:r>
                        <w:r>
                          <w:rPr>
                            <w:rFonts w:ascii="宋体" w:hAnsi="宋体" w:cs="宋体" w:eastAsia="宋体" w:hint="default"/>
                            <w:spacing w:val="-4"/>
                            <w:sz w:val="18"/>
                            <w:szCs w:val="18"/>
                          </w:rPr>
                          <w:t>2012</w:t>
                        </w:r>
                        <w:r>
                          <w:rPr>
                            <w:rFonts w:ascii="宋体" w:hAnsi="宋体" w:cs="宋体" w:eastAsia="宋体" w:hint="default"/>
                            <w:spacing w:val="-4"/>
                            <w:sz w:val="18"/>
                            <w:szCs w:val="18"/>
                          </w:rPr>
                          <w:t>）</w:t>
                        </w:r>
                        <w:r>
                          <w:rPr>
                            <w:rFonts w:ascii="宋体" w:hAnsi="宋体" w:cs="宋体" w:eastAsia="宋体" w:hint="default"/>
                            <w:spacing w:val="-4"/>
                            <w:sz w:val="18"/>
                            <w:szCs w:val="18"/>
                          </w:rPr>
                          <w:t>1030-011</w:t>
                        </w:r>
                        <w:r>
                          <w:rPr>
                            <w:rFonts w:ascii="宋体" w:hAnsi="宋体" w:cs="宋体" w:eastAsia="宋体" w:hint="default"/>
                            <w:spacing w:val="-4"/>
                            <w:sz w:val="18"/>
                            <w:szCs w:val="18"/>
                          </w:rPr>
                          <w:t>），公司从“电力用户用电信息采集系统产能扩大建设项目”尚未使用的闲置募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集资金中，使用</w:t>
                        </w:r>
                        <w:r>
                          <w:rPr>
                            <w:rFonts w:ascii="宋体" w:hAnsi="宋体" w:cs="宋体" w:eastAsia="宋体" w:hint="default"/>
                            <w:spacing w:val="-48"/>
                            <w:sz w:val="18"/>
                            <w:szCs w:val="18"/>
                          </w:rPr>
                          <w:t> </w:t>
                        </w:r>
                        <w:r>
                          <w:rPr>
                            <w:rFonts w:ascii="宋体" w:hAnsi="宋体" w:cs="宋体" w:eastAsia="宋体" w:hint="default"/>
                            <w:sz w:val="18"/>
                            <w:szCs w:val="18"/>
                          </w:rPr>
                          <w:t>3,000</w:t>
                        </w:r>
                        <w:r>
                          <w:rPr>
                            <w:rFonts w:ascii="宋体" w:hAnsi="宋体" w:cs="宋体" w:eastAsia="宋体" w:hint="default"/>
                            <w:spacing w:val="-3"/>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pacing w:val="-3"/>
                            <w:sz w:val="18"/>
                            <w:szCs w:val="18"/>
                          </w:rPr>
                          <w:t>个月，到期将归还</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至募集资金专户。上述募集资金已于</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8"/>
                            <w:sz w:val="18"/>
                            <w:szCs w:val="18"/>
                          </w:rPr>
                          <w:t> </w:t>
                        </w:r>
                        <w:r>
                          <w:rPr>
                            <w:rFonts w:ascii="宋体" w:hAnsi="宋体" w:cs="宋体" w:eastAsia="宋体" w:hint="default"/>
                            <w:sz w:val="18"/>
                            <w:szCs w:val="18"/>
                          </w:rPr>
                          <w:t>日全部归还并存入公司募集资金专用账户，并披露 </w:t>
                        </w:r>
                        <w:r>
                          <w:rPr>
                            <w:rFonts w:ascii="宋体" w:hAnsi="宋体" w:cs="宋体" w:eastAsia="宋体" w:hint="default"/>
                            <w:spacing w:val="-10"/>
                            <w:sz w:val="18"/>
                            <w:szCs w:val="18"/>
                          </w:rPr>
                          <w:t>了《关于归还募集资金的公告》（公告编号：（</w:t>
                        </w:r>
                        <w:r>
                          <w:rPr>
                            <w:rFonts w:ascii="宋体" w:hAnsi="宋体" w:cs="宋体" w:eastAsia="宋体" w:hint="default"/>
                            <w:spacing w:val="-10"/>
                            <w:sz w:val="18"/>
                            <w:szCs w:val="18"/>
                          </w:rPr>
                          <w:t>2013</w:t>
                        </w:r>
                        <w:r>
                          <w:rPr>
                            <w:rFonts w:ascii="宋体" w:hAnsi="宋体" w:cs="宋体" w:eastAsia="宋体" w:hint="default"/>
                            <w:spacing w:val="-10"/>
                            <w:sz w:val="18"/>
                            <w:szCs w:val="18"/>
                          </w:rPr>
                          <w:t>）</w:t>
                        </w:r>
                        <w:r>
                          <w:rPr>
                            <w:rFonts w:ascii="宋体" w:hAnsi="宋体" w:cs="宋体" w:eastAsia="宋体" w:hint="default"/>
                            <w:spacing w:val="-10"/>
                            <w:sz w:val="18"/>
                            <w:szCs w:val="18"/>
                          </w:rPr>
                          <w:t>0418-018</w:t>
                        </w:r>
                        <w:r>
                          <w:rPr>
                            <w:rFonts w:ascii="宋体" w:hAnsi="宋体" w:cs="宋体" w:eastAsia="宋体" w:hint="default"/>
                            <w:spacing w:val="-10"/>
                            <w:sz w:val="18"/>
                            <w:szCs w:val="18"/>
                          </w:rPr>
                          <w:t>）。</w:t>
                        </w:r>
                        <w:r>
                          <w:rPr>
                            <w:rFonts w:ascii="宋体" w:hAnsi="宋体" w:cs="宋体" w:eastAsia="宋体" w:hint="default"/>
                            <w:sz w:val="18"/>
                            <w:szCs w:val="18"/>
                          </w:rPr>
                        </w:r>
                      </w:p>
                      <w:p>
                        <w:pPr>
                          <w:pStyle w:val="TableParagraph"/>
                          <w:spacing w:line="316" w:lineRule="auto" w:before="19"/>
                          <w:ind w:left="20" w:right="11" w:firstLine="360"/>
                          <w:jc w:val="both"/>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pacing w:val="-4"/>
                            <w:sz w:val="18"/>
                            <w:szCs w:val="18"/>
                          </w:rPr>
                          <w:t>日，公司披露了《关于继续使用部分闲置募集资金暂时补充流动资金的公告》（公</w:t>
                        </w:r>
                        <w:r>
                          <w:rPr>
                            <w:rFonts w:ascii="宋体" w:hAnsi="宋体" w:cs="宋体" w:eastAsia="宋体" w:hint="default"/>
                            <w:sz w:val="18"/>
                            <w:szCs w:val="18"/>
                          </w:rPr>
                          <w:t> </w:t>
                        </w:r>
                        <w:r>
                          <w:rPr>
                            <w:rFonts w:ascii="宋体" w:hAnsi="宋体" w:cs="宋体" w:eastAsia="宋体" w:hint="default"/>
                            <w:spacing w:val="-4"/>
                            <w:sz w:val="18"/>
                            <w:szCs w:val="18"/>
                          </w:rPr>
                          <w:t>告编号：（</w:t>
                        </w:r>
                        <w:r>
                          <w:rPr>
                            <w:rFonts w:ascii="宋体" w:hAnsi="宋体" w:cs="宋体" w:eastAsia="宋体" w:hint="default"/>
                            <w:spacing w:val="-4"/>
                            <w:sz w:val="18"/>
                            <w:szCs w:val="18"/>
                          </w:rPr>
                          <w:t>2013</w:t>
                        </w:r>
                        <w:r>
                          <w:rPr>
                            <w:rFonts w:ascii="宋体" w:hAnsi="宋体" w:cs="宋体" w:eastAsia="宋体" w:hint="default"/>
                            <w:spacing w:val="-4"/>
                            <w:sz w:val="18"/>
                            <w:szCs w:val="18"/>
                          </w:rPr>
                          <w:t>）</w:t>
                        </w:r>
                        <w:r>
                          <w:rPr>
                            <w:rFonts w:ascii="宋体" w:hAnsi="宋体" w:cs="宋体" w:eastAsia="宋体" w:hint="default"/>
                            <w:spacing w:val="-4"/>
                            <w:sz w:val="18"/>
                            <w:szCs w:val="18"/>
                          </w:rPr>
                          <w:t>0422-021</w:t>
                        </w:r>
                        <w:r>
                          <w:rPr>
                            <w:rFonts w:ascii="宋体" w:hAnsi="宋体" w:cs="宋体" w:eastAsia="宋体" w:hint="default"/>
                            <w:spacing w:val="-4"/>
                            <w:sz w:val="18"/>
                            <w:szCs w:val="18"/>
                          </w:rPr>
                          <w:t>），公司从“电力用户用电信息采集系统产能扩大建设项目”尚未使用的闲置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募集资金中，使用</w:t>
                        </w:r>
                        <w:r>
                          <w:rPr>
                            <w:rFonts w:ascii="宋体" w:hAnsi="宋体" w:cs="宋体" w:eastAsia="宋体" w:hint="default"/>
                            <w:spacing w:val="-47"/>
                            <w:sz w:val="18"/>
                            <w:szCs w:val="18"/>
                          </w:rPr>
                          <w:t> </w:t>
                        </w:r>
                        <w:r>
                          <w:rPr>
                            <w:rFonts w:ascii="宋体" w:hAnsi="宋体" w:cs="宋体" w:eastAsia="宋体" w:hint="default"/>
                            <w:sz w:val="18"/>
                            <w:szCs w:val="18"/>
                          </w:rPr>
                          <w:t>3,000</w:t>
                        </w:r>
                        <w:r>
                          <w:rPr>
                            <w:rFonts w:ascii="宋体" w:hAnsi="宋体" w:cs="宋体" w:eastAsia="宋体" w:hint="default"/>
                            <w:spacing w:val="-2"/>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pacing w:val="-3"/>
                            <w:sz w:val="18"/>
                            <w:szCs w:val="18"/>
                          </w:rPr>
                          <w:t>个月，到期将归</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还至募集资金专户。上述募集资金已于</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日全部归还并存入公司募集资金专用账户，并披 </w:t>
                        </w:r>
                        <w:r>
                          <w:rPr>
                            <w:rFonts w:ascii="宋体" w:hAnsi="宋体" w:cs="宋体" w:eastAsia="宋体" w:hint="default"/>
                            <w:spacing w:val="-10"/>
                            <w:sz w:val="18"/>
                            <w:szCs w:val="18"/>
                          </w:rPr>
                          <w:t>露了《关于归还募集资金的公告》（公告编号：（</w:t>
                        </w:r>
                        <w:r>
                          <w:rPr>
                            <w:rFonts w:ascii="宋体" w:hAnsi="宋体" w:cs="宋体" w:eastAsia="宋体" w:hint="default"/>
                            <w:spacing w:val="-10"/>
                            <w:sz w:val="18"/>
                            <w:szCs w:val="18"/>
                          </w:rPr>
                          <w:t>2013</w:t>
                        </w:r>
                        <w:r>
                          <w:rPr>
                            <w:rFonts w:ascii="宋体" w:hAnsi="宋体" w:cs="宋体" w:eastAsia="宋体" w:hint="default"/>
                            <w:spacing w:val="-10"/>
                            <w:sz w:val="18"/>
                            <w:szCs w:val="18"/>
                          </w:rPr>
                          <w:t>）</w:t>
                        </w:r>
                        <w:r>
                          <w:rPr>
                            <w:rFonts w:ascii="宋体" w:hAnsi="宋体" w:cs="宋体" w:eastAsia="宋体" w:hint="default"/>
                            <w:spacing w:val="-10"/>
                            <w:sz w:val="18"/>
                            <w:szCs w:val="18"/>
                          </w:rPr>
                          <w:t>1009-043</w:t>
                        </w:r>
                        <w:r>
                          <w:rPr>
                            <w:rFonts w:ascii="宋体" w:hAnsi="宋体" w:cs="宋体" w:eastAsia="宋体" w:hint="default"/>
                            <w:spacing w:val="-10"/>
                            <w:sz w:val="18"/>
                            <w:szCs w:val="18"/>
                          </w:rPr>
                          <w:t>）。</w:t>
                        </w:r>
                        <w:r>
                          <w:rPr>
                            <w:rFonts w:ascii="宋体" w:hAnsi="宋体" w:cs="宋体" w:eastAsia="宋体" w:hint="default"/>
                            <w:sz w:val="18"/>
                            <w:szCs w:val="18"/>
                          </w:rPr>
                        </w:r>
                      </w:p>
                      <w:p>
                        <w:pPr>
                          <w:pStyle w:val="TableParagraph"/>
                          <w:spacing w:line="316" w:lineRule="auto" w:before="19"/>
                          <w:ind w:left="20" w:right="11" w:firstLine="360"/>
                          <w:jc w:val="both"/>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pacing w:val="-7"/>
                            <w:sz w:val="18"/>
                            <w:szCs w:val="18"/>
                          </w:rPr>
                          <w:t>日，公司披露了《关于继续使用部分闲置募集资金暂时补充流动资金的公告》（公</w:t>
                        </w:r>
                        <w:r>
                          <w:rPr>
                            <w:rFonts w:ascii="宋体" w:hAnsi="宋体" w:cs="宋体" w:eastAsia="宋体" w:hint="default"/>
                            <w:sz w:val="18"/>
                            <w:szCs w:val="18"/>
                          </w:rPr>
                          <w:t> </w:t>
                        </w:r>
                        <w:r>
                          <w:rPr>
                            <w:rFonts w:ascii="宋体" w:hAnsi="宋体" w:cs="宋体" w:eastAsia="宋体" w:hint="default"/>
                            <w:spacing w:val="-4"/>
                            <w:sz w:val="18"/>
                            <w:szCs w:val="18"/>
                          </w:rPr>
                          <w:t>告编号：（</w:t>
                        </w:r>
                        <w:r>
                          <w:rPr>
                            <w:rFonts w:ascii="宋体" w:hAnsi="宋体" w:cs="宋体" w:eastAsia="宋体" w:hint="default"/>
                            <w:spacing w:val="-4"/>
                            <w:sz w:val="18"/>
                            <w:szCs w:val="18"/>
                          </w:rPr>
                          <w:t>2013</w:t>
                        </w:r>
                        <w:r>
                          <w:rPr>
                            <w:rFonts w:ascii="宋体" w:hAnsi="宋体" w:cs="宋体" w:eastAsia="宋体" w:hint="default"/>
                            <w:spacing w:val="-4"/>
                            <w:sz w:val="18"/>
                            <w:szCs w:val="18"/>
                          </w:rPr>
                          <w:t>）</w:t>
                        </w:r>
                        <w:r>
                          <w:rPr>
                            <w:rFonts w:ascii="宋体" w:hAnsi="宋体" w:cs="宋体" w:eastAsia="宋体" w:hint="default"/>
                            <w:spacing w:val="-4"/>
                            <w:sz w:val="18"/>
                            <w:szCs w:val="18"/>
                          </w:rPr>
                          <w:t>1015-046</w:t>
                        </w:r>
                        <w:r>
                          <w:rPr>
                            <w:rFonts w:ascii="宋体" w:hAnsi="宋体" w:cs="宋体" w:eastAsia="宋体" w:hint="default"/>
                            <w:spacing w:val="-4"/>
                            <w:sz w:val="18"/>
                            <w:szCs w:val="18"/>
                          </w:rPr>
                          <w:t>），公司继续从“电力用户用电信息采集系统产能扩大建设项目”尚未使用的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闲置募集资金中，使用</w:t>
                        </w:r>
                        <w:r>
                          <w:rPr>
                            <w:rFonts w:ascii="宋体" w:hAnsi="宋体" w:cs="宋体" w:eastAsia="宋体" w:hint="default"/>
                            <w:spacing w:val="-52"/>
                            <w:sz w:val="18"/>
                            <w:szCs w:val="18"/>
                          </w:rPr>
                          <w:t> </w:t>
                        </w:r>
                        <w:r>
                          <w:rPr>
                            <w:rFonts w:ascii="宋体" w:hAnsi="宋体" w:cs="宋体" w:eastAsia="宋体" w:hint="default"/>
                            <w:sz w:val="18"/>
                            <w:szCs w:val="18"/>
                          </w:rPr>
                          <w:t>3,000</w:t>
                        </w:r>
                        <w:r>
                          <w:rPr>
                            <w:rFonts w:ascii="宋体" w:hAnsi="宋体" w:cs="宋体" w:eastAsia="宋体" w:hint="default"/>
                            <w:spacing w:val="-13"/>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pacing w:val="-4"/>
                            <w:sz w:val="18"/>
                            <w:szCs w:val="18"/>
                          </w:rPr>
                          <w:t>个月，到期</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将归还至募集资金专户。上述募集资金已于</w:t>
                        </w:r>
                        <w:r>
                          <w:rPr>
                            <w:rFonts w:ascii="宋体" w:hAnsi="宋体" w:cs="宋体" w:eastAsia="宋体" w:hint="default"/>
                            <w:spacing w:val="-31"/>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4</w:t>
                        </w:r>
                        <w:r>
                          <w:rPr>
                            <w:rFonts w:ascii="宋体" w:hAnsi="宋体" w:cs="宋体" w:eastAsia="宋体"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4</w:t>
                        </w:r>
                        <w:r>
                          <w:rPr>
                            <w:rFonts w:ascii="宋体" w:hAnsi="宋体" w:cs="宋体" w:eastAsia="宋体" w:hint="default"/>
                            <w:spacing w:val="-32"/>
                            <w:sz w:val="18"/>
                            <w:szCs w:val="18"/>
                          </w:rPr>
                          <w:t> </w:t>
                        </w:r>
                        <w:r>
                          <w:rPr>
                            <w:rFonts w:ascii="宋体" w:hAnsi="宋体" w:cs="宋体" w:eastAsia="宋体" w:hint="default"/>
                            <w:sz w:val="18"/>
                            <w:szCs w:val="18"/>
                          </w:rPr>
                          <w:t>日全部归还并存入公司募集资金专用账户，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before="139"/>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834" w:type="dxa"/>
        <w:tblLayout w:type="fixed"/>
        <w:tblCellMar>
          <w:top w:w="0" w:type="dxa"/>
          <w:left w:w="0" w:type="dxa"/>
          <w:bottom w:w="0" w:type="dxa"/>
          <w:right w:w="0" w:type="dxa"/>
        </w:tblCellMar>
        <w:tblLook w:val="01E0"/>
      </w:tblPr>
      <w:tblGrid>
        <w:gridCol w:w="1703"/>
        <w:gridCol w:w="8149"/>
      </w:tblGrid>
      <w:tr>
        <w:trPr>
          <w:trHeight w:val="6575" w:hRule="exact"/>
        </w:trPr>
        <w:tc>
          <w:tcPr>
            <w:tcW w:w="170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814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并披露了《关于归还募集资金的公告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0404-013</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76"/>
              <w:ind w:left="20" w:right="11" w:firstLine="450"/>
              <w:jc w:val="both"/>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pacing w:val="-7"/>
                <w:sz w:val="18"/>
                <w:szCs w:val="18"/>
              </w:rPr>
              <w:t>日，公司披露了《关于继续使用部分闲置募集资金暂时补充流动资金的公告》（公</w:t>
            </w:r>
            <w:r>
              <w:rPr>
                <w:rFonts w:ascii="宋体" w:hAnsi="宋体" w:cs="宋体" w:eastAsia="宋体" w:hint="default"/>
                <w:sz w:val="18"/>
                <w:szCs w:val="18"/>
              </w:rPr>
              <w:t> </w:t>
            </w:r>
            <w:r>
              <w:rPr>
                <w:rFonts w:ascii="宋体" w:hAnsi="宋体" w:cs="宋体" w:eastAsia="宋体" w:hint="default"/>
                <w:spacing w:val="-4"/>
                <w:sz w:val="18"/>
                <w:szCs w:val="18"/>
              </w:rPr>
              <w:t>告编号：（</w:t>
            </w:r>
            <w:r>
              <w:rPr>
                <w:rFonts w:ascii="宋体" w:hAnsi="宋体" w:cs="宋体" w:eastAsia="宋体" w:hint="default"/>
                <w:spacing w:val="-4"/>
                <w:sz w:val="18"/>
                <w:szCs w:val="18"/>
              </w:rPr>
              <w:t>2014</w:t>
            </w:r>
            <w:r>
              <w:rPr>
                <w:rFonts w:ascii="宋体" w:hAnsi="宋体" w:cs="宋体" w:eastAsia="宋体" w:hint="default"/>
                <w:spacing w:val="-4"/>
                <w:sz w:val="18"/>
                <w:szCs w:val="18"/>
              </w:rPr>
              <w:t>）</w:t>
            </w:r>
            <w:r>
              <w:rPr>
                <w:rFonts w:ascii="宋体" w:hAnsi="宋体" w:cs="宋体" w:eastAsia="宋体" w:hint="default"/>
                <w:spacing w:val="-4"/>
                <w:sz w:val="18"/>
                <w:szCs w:val="18"/>
              </w:rPr>
              <w:t>0410-019</w:t>
            </w:r>
            <w:r>
              <w:rPr>
                <w:rFonts w:ascii="宋体" w:hAnsi="宋体" w:cs="宋体" w:eastAsia="宋体" w:hint="default"/>
                <w:spacing w:val="-4"/>
                <w:sz w:val="18"/>
                <w:szCs w:val="18"/>
              </w:rPr>
              <w:t>），公司继续从“电力用户用电信息采集系统产能扩大建设项目”尚未使用的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闲置募集资金中，使用</w:t>
            </w:r>
            <w:r>
              <w:rPr>
                <w:rFonts w:ascii="宋体" w:hAnsi="宋体" w:cs="宋体" w:eastAsia="宋体" w:hint="default"/>
                <w:spacing w:val="-52"/>
                <w:sz w:val="18"/>
                <w:szCs w:val="18"/>
              </w:rPr>
              <w:t> </w:t>
            </w:r>
            <w:r>
              <w:rPr>
                <w:rFonts w:ascii="宋体" w:hAnsi="宋体" w:cs="宋体" w:eastAsia="宋体" w:hint="default"/>
                <w:sz w:val="18"/>
                <w:szCs w:val="18"/>
              </w:rPr>
              <w:t>3,000</w:t>
            </w:r>
            <w:r>
              <w:rPr>
                <w:rFonts w:ascii="宋体" w:hAnsi="宋体" w:cs="宋体" w:eastAsia="宋体" w:hint="default"/>
                <w:spacing w:val="-13"/>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pacing w:val="-4"/>
                <w:sz w:val="18"/>
                <w:szCs w:val="18"/>
              </w:rPr>
              <w:t>个月，到期</w:t>
            </w:r>
          </w:p>
          <w:p>
            <w:pPr>
              <w:pStyle w:val="TableParagraph"/>
              <w:spacing w:line="316" w:lineRule="auto" w:before="19"/>
              <w:ind w:left="20" w:right="4"/>
              <w:jc w:val="left"/>
              <w:rPr>
                <w:rFonts w:ascii="宋体" w:hAnsi="宋体" w:cs="宋体" w:eastAsia="宋体" w:hint="default"/>
                <w:sz w:val="18"/>
                <w:szCs w:val="18"/>
              </w:rPr>
            </w:pPr>
            <w:r>
              <w:rPr>
                <w:rFonts w:ascii="宋体" w:hAnsi="宋体" w:cs="宋体" w:eastAsia="宋体" w:hint="default"/>
                <w:sz w:val="18"/>
                <w:szCs w:val="18"/>
              </w:rPr>
              <w:t>将归还至募集资金专户。上述募集资金已于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日全部归还并存入公司募集资金专用账户， </w:t>
            </w:r>
            <w:r>
              <w:rPr>
                <w:rFonts w:ascii="宋体" w:hAnsi="宋体" w:cs="宋体" w:eastAsia="宋体" w:hint="default"/>
                <w:spacing w:val="-10"/>
                <w:sz w:val="18"/>
                <w:szCs w:val="18"/>
              </w:rPr>
              <w:t>并披露了《关于归还募集资金的公告》（公告编号：（</w:t>
            </w:r>
            <w:r>
              <w:rPr>
                <w:rFonts w:ascii="宋体" w:hAnsi="宋体" w:cs="宋体" w:eastAsia="宋体" w:hint="default"/>
                <w:spacing w:val="-10"/>
                <w:sz w:val="18"/>
                <w:szCs w:val="18"/>
              </w:rPr>
              <w:t>2014</w:t>
            </w:r>
            <w:r>
              <w:rPr>
                <w:rFonts w:ascii="宋体" w:hAnsi="宋体" w:cs="宋体" w:eastAsia="宋体" w:hint="default"/>
                <w:spacing w:val="-10"/>
                <w:sz w:val="18"/>
                <w:szCs w:val="18"/>
              </w:rPr>
              <w:t>）</w:t>
            </w:r>
            <w:r>
              <w:rPr>
                <w:rFonts w:ascii="宋体" w:hAnsi="宋体" w:cs="宋体" w:eastAsia="宋体" w:hint="default"/>
                <w:spacing w:val="-10"/>
                <w:sz w:val="18"/>
                <w:szCs w:val="18"/>
              </w:rPr>
              <w:t>1008-075</w:t>
            </w:r>
            <w:r>
              <w:rPr>
                <w:rFonts w:ascii="宋体" w:hAnsi="宋体" w:cs="宋体" w:eastAsia="宋体" w:hint="default"/>
                <w:spacing w:val="-10"/>
                <w:sz w:val="18"/>
                <w:szCs w:val="18"/>
              </w:rPr>
              <w:t>）。</w:t>
            </w:r>
            <w:r>
              <w:rPr>
                <w:rFonts w:ascii="宋体" w:hAnsi="宋体" w:cs="宋体" w:eastAsia="宋体" w:hint="default"/>
                <w:sz w:val="18"/>
                <w:szCs w:val="18"/>
              </w:rPr>
            </w:r>
          </w:p>
          <w:p>
            <w:pPr>
              <w:pStyle w:val="TableParagraph"/>
              <w:spacing w:line="316" w:lineRule="auto" w:before="19"/>
              <w:ind w:left="20" w:right="11" w:firstLine="360"/>
              <w:jc w:val="both"/>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pacing w:val="-7"/>
                <w:sz w:val="18"/>
                <w:szCs w:val="18"/>
              </w:rPr>
              <w:t>日，公司披露了《关于继续使用部分闲置募集资金暂时补充流动资金的公告》（公</w:t>
            </w:r>
            <w:r>
              <w:rPr>
                <w:rFonts w:ascii="宋体" w:hAnsi="宋体" w:cs="宋体" w:eastAsia="宋体" w:hint="default"/>
                <w:sz w:val="18"/>
                <w:szCs w:val="18"/>
              </w:rPr>
              <w:t> </w:t>
            </w:r>
            <w:r>
              <w:rPr>
                <w:rFonts w:ascii="宋体" w:hAnsi="宋体" w:cs="宋体" w:eastAsia="宋体" w:hint="default"/>
                <w:spacing w:val="-4"/>
                <w:sz w:val="18"/>
                <w:szCs w:val="18"/>
              </w:rPr>
              <w:t>告编号：（</w:t>
            </w:r>
            <w:r>
              <w:rPr>
                <w:rFonts w:ascii="宋体" w:hAnsi="宋体" w:cs="宋体" w:eastAsia="宋体" w:hint="default"/>
                <w:spacing w:val="-4"/>
                <w:sz w:val="18"/>
                <w:szCs w:val="18"/>
              </w:rPr>
              <w:t>2014</w:t>
            </w:r>
            <w:r>
              <w:rPr>
                <w:rFonts w:ascii="宋体" w:hAnsi="宋体" w:cs="宋体" w:eastAsia="宋体" w:hint="default"/>
                <w:spacing w:val="-4"/>
                <w:sz w:val="18"/>
                <w:szCs w:val="18"/>
              </w:rPr>
              <w:t>）</w:t>
            </w:r>
            <w:r>
              <w:rPr>
                <w:rFonts w:ascii="宋体" w:hAnsi="宋体" w:cs="宋体" w:eastAsia="宋体" w:hint="default"/>
                <w:spacing w:val="-4"/>
                <w:sz w:val="18"/>
                <w:szCs w:val="18"/>
              </w:rPr>
              <w:t>1010-077</w:t>
            </w:r>
            <w:r>
              <w:rPr>
                <w:rFonts w:ascii="宋体" w:hAnsi="宋体" w:cs="宋体" w:eastAsia="宋体" w:hint="default"/>
                <w:spacing w:val="-4"/>
                <w:sz w:val="18"/>
                <w:szCs w:val="18"/>
              </w:rPr>
              <w:t>），公司继续从“电力用户用电信息采集系统产能扩大建设项目”尚未使用的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闲置募集资金中，使用</w:t>
            </w:r>
            <w:r>
              <w:rPr>
                <w:rFonts w:ascii="宋体" w:hAnsi="宋体" w:cs="宋体" w:eastAsia="宋体" w:hint="default"/>
                <w:spacing w:val="-52"/>
                <w:sz w:val="18"/>
                <w:szCs w:val="18"/>
              </w:rPr>
              <w:t> </w:t>
            </w:r>
            <w:r>
              <w:rPr>
                <w:rFonts w:ascii="宋体" w:hAnsi="宋体" w:cs="宋体" w:eastAsia="宋体" w:hint="default"/>
                <w:sz w:val="18"/>
                <w:szCs w:val="18"/>
              </w:rPr>
              <w:t>3,000</w:t>
            </w:r>
            <w:r>
              <w:rPr>
                <w:rFonts w:ascii="宋体" w:hAnsi="宋体" w:cs="宋体" w:eastAsia="宋体" w:hint="default"/>
                <w:spacing w:val="-13"/>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pacing w:val="-4"/>
                <w:sz w:val="18"/>
                <w:szCs w:val="18"/>
              </w:rPr>
              <w:t>个月，到期</w:t>
            </w:r>
          </w:p>
          <w:p>
            <w:pPr>
              <w:pStyle w:val="TableParagraph"/>
              <w:spacing w:line="316" w:lineRule="auto" w:before="19"/>
              <w:ind w:left="20" w:right="10"/>
              <w:jc w:val="left"/>
              <w:rPr>
                <w:rFonts w:ascii="宋体" w:hAnsi="宋体" w:cs="宋体" w:eastAsia="宋体" w:hint="default"/>
                <w:sz w:val="18"/>
                <w:szCs w:val="18"/>
              </w:rPr>
            </w:pPr>
            <w:r>
              <w:rPr>
                <w:rFonts w:ascii="宋体" w:hAnsi="宋体" w:cs="宋体" w:eastAsia="宋体" w:hint="default"/>
                <w:sz w:val="18"/>
                <w:szCs w:val="18"/>
              </w:rPr>
              <w:t>将归还至募集资金专户。上述募集资金已于</w:t>
            </w:r>
            <w:r>
              <w:rPr>
                <w:rFonts w:ascii="宋体" w:hAnsi="宋体" w:cs="宋体" w:eastAsia="宋体" w:hint="default"/>
                <w:spacing w:val="-31"/>
                <w:sz w:val="18"/>
                <w:szCs w:val="18"/>
              </w:rPr>
              <w:t> </w:t>
            </w:r>
            <w:r>
              <w:rPr>
                <w:rFonts w:ascii="宋体" w:hAnsi="宋体" w:cs="宋体" w:eastAsia="宋体" w:hint="default"/>
                <w:sz w:val="18"/>
                <w:szCs w:val="18"/>
              </w:rPr>
              <w:t>2015</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4</w:t>
            </w:r>
            <w:r>
              <w:rPr>
                <w:rFonts w:ascii="宋体" w:hAnsi="宋体" w:cs="宋体" w:eastAsia="宋体"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1</w:t>
            </w:r>
            <w:r>
              <w:rPr>
                <w:rFonts w:ascii="宋体" w:hAnsi="宋体" w:cs="宋体" w:eastAsia="宋体" w:hint="default"/>
                <w:spacing w:val="-32"/>
                <w:sz w:val="18"/>
                <w:szCs w:val="18"/>
              </w:rPr>
              <w:t> </w:t>
            </w:r>
            <w:r>
              <w:rPr>
                <w:rFonts w:ascii="宋体" w:hAnsi="宋体" w:cs="宋体" w:eastAsia="宋体" w:hint="default"/>
                <w:sz w:val="18"/>
                <w:szCs w:val="18"/>
              </w:rPr>
              <w:t>日全部归还并存入公司募集资金专用账户， </w:t>
            </w:r>
            <w:r>
              <w:rPr>
                <w:rFonts w:ascii="宋体" w:hAnsi="宋体" w:cs="宋体" w:eastAsia="宋体" w:hint="default"/>
                <w:spacing w:val="-5"/>
                <w:sz w:val="18"/>
                <w:szCs w:val="18"/>
              </w:rPr>
              <w:t>并披露了《关于归还募集资金的公告》（公告编号</w:t>
            </w:r>
            <w:r>
              <w:rPr>
                <w:rFonts w:ascii="宋体" w:hAnsi="宋体" w:cs="宋体" w:eastAsia="宋体" w:hint="default"/>
                <w:spacing w:val="-26"/>
                <w:sz w:val="18"/>
                <w:szCs w:val="18"/>
              </w:rPr>
              <w:t> </w:t>
            </w:r>
            <w:r>
              <w:rPr>
                <w:rFonts w:ascii="宋体" w:hAnsi="宋体" w:cs="宋体" w:eastAsia="宋体" w:hint="default"/>
                <w:spacing w:val="-18"/>
                <w:sz w:val="18"/>
                <w:szCs w:val="18"/>
              </w:rPr>
              <w:t>2015-013</w:t>
            </w:r>
            <w:r>
              <w:rPr>
                <w:rFonts w:ascii="宋体" w:hAnsi="宋体" w:cs="宋体" w:eastAsia="宋体" w:hint="default"/>
                <w:spacing w:val="-18"/>
                <w:sz w:val="18"/>
                <w:szCs w:val="18"/>
              </w:rPr>
              <w:t>）。</w:t>
            </w:r>
            <w:r>
              <w:rPr>
                <w:rFonts w:ascii="宋体" w:hAnsi="宋体" w:cs="宋体" w:eastAsia="宋体" w:hint="default"/>
                <w:sz w:val="18"/>
                <w:szCs w:val="18"/>
              </w:rPr>
            </w:r>
          </w:p>
          <w:p>
            <w:pPr>
              <w:pStyle w:val="TableParagraph"/>
              <w:spacing w:line="316" w:lineRule="auto" w:before="19"/>
              <w:ind w:left="20" w:right="11" w:firstLine="360"/>
              <w:jc w:val="both"/>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z w:val="18"/>
                <w:szCs w:val="18"/>
              </w:rPr>
              <w:t>2015</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z w:val="18"/>
                <w:szCs w:val="18"/>
              </w:rPr>
              <w:t>4</w:t>
            </w:r>
            <w:r>
              <w:rPr>
                <w:rFonts w:ascii="宋体" w:hAnsi="宋体" w:cs="宋体" w:eastAsia="宋体" w:hint="default"/>
                <w:spacing w:val="-35"/>
                <w:sz w:val="18"/>
                <w:szCs w:val="18"/>
              </w:rPr>
              <w:t> </w:t>
            </w:r>
            <w:r>
              <w:rPr>
                <w:rFonts w:ascii="宋体" w:hAnsi="宋体" w:cs="宋体" w:eastAsia="宋体" w:hint="default"/>
                <w:spacing w:val="-3"/>
                <w:sz w:val="18"/>
                <w:szCs w:val="18"/>
              </w:rPr>
              <w:t>日，公司披露了《关于继续使用部分闲置募集资金暂时补充流动资金的公告》（公</w:t>
            </w:r>
            <w:r>
              <w:rPr>
                <w:rFonts w:ascii="宋体" w:hAnsi="宋体" w:cs="宋体" w:eastAsia="宋体" w:hint="default"/>
                <w:sz w:val="18"/>
                <w:szCs w:val="18"/>
              </w:rPr>
              <w:t> </w:t>
            </w:r>
            <w:r>
              <w:rPr>
                <w:rFonts w:ascii="宋体" w:hAnsi="宋体" w:cs="宋体" w:eastAsia="宋体" w:hint="default"/>
                <w:spacing w:val="-1"/>
                <w:sz w:val="18"/>
                <w:szCs w:val="18"/>
              </w:rPr>
              <w:t>告编号：</w:t>
            </w:r>
            <w:r>
              <w:rPr>
                <w:rFonts w:ascii="宋体" w:hAnsi="宋体" w:cs="宋体" w:eastAsia="宋体" w:hint="default"/>
                <w:spacing w:val="-1"/>
                <w:sz w:val="18"/>
                <w:szCs w:val="18"/>
              </w:rPr>
              <w:t>2015-015</w:t>
            </w:r>
            <w:r>
              <w:rPr>
                <w:rFonts w:ascii="宋体" w:hAnsi="宋体" w:cs="宋体" w:eastAsia="宋体" w:hint="default"/>
                <w:spacing w:val="-1"/>
                <w:sz w:val="18"/>
                <w:szCs w:val="18"/>
              </w:rPr>
              <w:t>），公司继续从“电力用户用电信息采集系统产能扩大建设项目”尚未使用的闲置募</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集资金中，使用</w:t>
            </w:r>
            <w:r>
              <w:rPr>
                <w:rFonts w:ascii="宋体" w:hAnsi="宋体" w:cs="宋体" w:eastAsia="宋体" w:hint="default"/>
                <w:spacing w:val="-24"/>
                <w:sz w:val="18"/>
                <w:szCs w:val="18"/>
              </w:rPr>
              <w:t> </w:t>
            </w:r>
            <w:r>
              <w:rPr>
                <w:rFonts w:ascii="宋体" w:hAnsi="宋体" w:cs="宋体" w:eastAsia="宋体" w:hint="default"/>
                <w:sz w:val="18"/>
                <w:szCs w:val="18"/>
              </w:rPr>
              <w:t>3,000</w:t>
            </w:r>
            <w:r>
              <w:rPr>
                <w:rFonts w:ascii="宋体" w:hAnsi="宋体" w:cs="宋体" w:eastAsia="宋体" w:hint="default"/>
                <w:spacing w:val="-24"/>
                <w:sz w:val="18"/>
                <w:szCs w:val="18"/>
              </w:rPr>
              <w:t> </w:t>
            </w:r>
            <w:r>
              <w:rPr>
                <w:rFonts w:ascii="宋体" w:hAnsi="宋体" w:cs="宋体" w:eastAsia="宋体" w:hint="default"/>
                <w:sz w:val="18"/>
                <w:szCs w:val="18"/>
              </w:rPr>
              <w:t>万元用于暂时补充流动资金，使用期限不超过董事会批准之日起</w:t>
            </w:r>
            <w:r>
              <w:rPr>
                <w:rFonts w:ascii="宋体" w:hAnsi="宋体" w:cs="宋体" w:eastAsia="宋体" w:hint="default"/>
                <w:spacing w:val="-24"/>
                <w:sz w:val="18"/>
                <w:szCs w:val="18"/>
              </w:rPr>
              <w:t> </w:t>
            </w:r>
            <w:r>
              <w:rPr>
                <w:rFonts w:ascii="宋体" w:hAnsi="宋体" w:cs="宋体" w:eastAsia="宋体" w:hint="default"/>
                <w:sz w:val="18"/>
                <w:szCs w:val="18"/>
              </w:rPr>
              <w:t>12</w:t>
            </w:r>
            <w:r>
              <w:rPr>
                <w:rFonts w:ascii="宋体" w:hAnsi="宋体" w:cs="宋体" w:eastAsia="宋体" w:hint="default"/>
                <w:spacing w:val="-24"/>
                <w:sz w:val="18"/>
                <w:szCs w:val="18"/>
              </w:rPr>
              <w:t> </w:t>
            </w:r>
            <w:r>
              <w:rPr>
                <w:rFonts w:ascii="宋体" w:hAnsi="宋体" w:cs="宋体" w:eastAsia="宋体" w:hint="default"/>
                <w:sz w:val="18"/>
                <w:szCs w:val="18"/>
              </w:rPr>
              <w:t>个月，到期</w:t>
            </w:r>
          </w:p>
          <w:p>
            <w:pPr>
              <w:pStyle w:val="TableParagraph"/>
              <w:spacing w:line="316" w:lineRule="auto" w:before="19"/>
              <w:ind w:left="20" w:right="10"/>
              <w:jc w:val="left"/>
              <w:rPr>
                <w:rFonts w:ascii="宋体" w:hAnsi="宋体" w:cs="宋体" w:eastAsia="宋体" w:hint="default"/>
                <w:sz w:val="18"/>
                <w:szCs w:val="18"/>
              </w:rPr>
            </w:pPr>
            <w:r>
              <w:rPr>
                <w:rFonts w:ascii="宋体" w:hAnsi="宋体" w:cs="宋体" w:eastAsia="宋体" w:hint="default"/>
                <w:sz w:val="18"/>
                <w:szCs w:val="18"/>
              </w:rPr>
              <w:t>将归还至募集资金专户。上述募集资金已于</w:t>
            </w:r>
            <w:r>
              <w:rPr>
                <w:rFonts w:ascii="宋体" w:hAnsi="宋体" w:cs="宋体" w:eastAsia="宋体" w:hint="default"/>
                <w:spacing w:val="-31"/>
                <w:sz w:val="18"/>
                <w:szCs w:val="18"/>
              </w:rPr>
              <w:t> </w:t>
            </w:r>
            <w:r>
              <w:rPr>
                <w:rFonts w:ascii="宋体" w:hAnsi="宋体" w:cs="宋体" w:eastAsia="宋体" w:hint="default"/>
                <w:sz w:val="18"/>
                <w:szCs w:val="18"/>
              </w:rPr>
              <w:t>2016</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4</w:t>
            </w:r>
            <w:r>
              <w:rPr>
                <w:rFonts w:ascii="宋体" w:hAnsi="宋体" w:cs="宋体" w:eastAsia="宋体"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1</w:t>
            </w:r>
            <w:r>
              <w:rPr>
                <w:rFonts w:ascii="宋体" w:hAnsi="宋体" w:cs="宋体" w:eastAsia="宋体" w:hint="default"/>
                <w:spacing w:val="-32"/>
                <w:sz w:val="18"/>
                <w:szCs w:val="18"/>
              </w:rPr>
              <w:t> </w:t>
            </w:r>
            <w:r>
              <w:rPr>
                <w:rFonts w:ascii="宋体" w:hAnsi="宋体" w:cs="宋体" w:eastAsia="宋体" w:hint="default"/>
                <w:sz w:val="18"/>
                <w:szCs w:val="18"/>
              </w:rPr>
              <w:t>日全部归还并存入公司募集资金专用账户， </w:t>
            </w:r>
            <w:r>
              <w:rPr>
                <w:rFonts w:ascii="宋体" w:hAnsi="宋体" w:cs="宋体" w:eastAsia="宋体" w:hint="default"/>
                <w:spacing w:val="-5"/>
                <w:sz w:val="18"/>
                <w:szCs w:val="18"/>
              </w:rPr>
              <w:t>并披露了《关于归还募集资金的公告》。</w:t>
            </w:r>
          </w:p>
          <w:p>
            <w:pPr>
              <w:pStyle w:val="TableParagraph"/>
              <w:spacing w:line="316" w:lineRule="auto" w:before="19"/>
              <w:ind w:left="20" w:right="11" w:firstLine="360"/>
              <w:jc w:val="both"/>
              <w:rPr>
                <w:rFonts w:ascii="宋体" w:hAnsi="宋体" w:cs="宋体" w:eastAsia="宋体" w:hint="default"/>
                <w:sz w:val="18"/>
                <w:szCs w:val="18"/>
              </w:rPr>
            </w:pPr>
            <w:r>
              <w:rPr>
                <w:rFonts w:ascii="宋体" w:hAnsi="宋体" w:cs="宋体" w:eastAsia="宋体" w:hint="default"/>
                <w:sz w:val="18"/>
                <w:szCs w:val="18"/>
              </w:rPr>
              <w:t>⑦</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pacing w:val="-4"/>
                <w:sz w:val="18"/>
                <w:szCs w:val="18"/>
              </w:rPr>
              <w:t>日，公司披露了《于继续使用部分闲置募集资金暂时补充流动资金的公告》（公告</w:t>
            </w:r>
            <w:r>
              <w:rPr>
                <w:rFonts w:ascii="宋体" w:hAnsi="宋体" w:cs="宋体" w:eastAsia="宋体" w:hint="default"/>
                <w:sz w:val="18"/>
                <w:szCs w:val="18"/>
              </w:rPr>
              <w:t> 编号：</w:t>
            </w:r>
            <w:r>
              <w:rPr>
                <w:rFonts w:ascii="宋体" w:hAnsi="宋体" w:cs="宋体" w:eastAsia="宋体" w:hint="default"/>
                <w:sz w:val="18"/>
                <w:szCs w:val="18"/>
              </w:rPr>
              <w:t>2016-019 </w:t>
            </w:r>
            <w:r>
              <w:rPr>
                <w:rFonts w:ascii="宋体" w:hAnsi="宋体" w:cs="宋体" w:eastAsia="宋体" w:hint="default"/>
                <w:spacing w:val="-3"/>
                <w:sz w:val="18"/>
                <w:szCs w:val="18"/>
              </w:rPr>
              <w:t>号），公司继续从电力用户用电信息采集系统产能扩大建设项目”尚未使用的闲置募集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资金中，使用</w:t>
            </w:r>
            <w:r>
              <w:rPr>
                <w:rFonts w:ascii="宋体" w:hAnsi="宋体" w:cs="宋体" w:eastAsia="宋体" w:hint="default"/>
                <w:spacing w:val="-24"/>
                <w:sz w:val="18"/>
                <w:szCs w:val="18"/>
              </w:rPr>
              <w:t> </w:t>
            </w:r>
            <w:r>
              <w:rPr>
                <w:rFonts w:ascii="宋体" w:hAnsi="宋体" w:cs="宋体" w:eastAsia="宋体" w:hint="default"/>
                <w:sz w:val="18"/>
                <w:szCs w:val="18"/>
              </w:rPr>
              <w:t>3,000</w:t>
            </w:r>
            <w:r>
              <w:rPr>
                <w:rFonts w:ascii="宋体" w:hAnsi="宋体" w:cs="宋体" w:eastAsia="宋体" w:hint="default"/>
                <w:spacing w:val="-24"/>
                <w:sz w:val="18"/>
                <w:szCs w:val="18"/>
              </w:rPr>
              <w:t> </w:t>
            </w:r>
            <w:r>
              <w:rPr>
                <w:rFonts w:ascii="宋体" w:hAnsi="宋体" w:cs="宋体" w:eastAsia="宋体" w:hint="default"/>
                <w:sz w:val="18"/>
                <w:szCs w:val="18"/>
              </w:rPr>
              <w:t>万元用于暂时补充流动资金，使用期限不超过董事会批准之日起</w:t>
            </w:r>
            <w:r>
              <w:rPr>
                <w:rFonts w:ascii="宋体" w:hAnsi="宋体" w:cs="宋体" w:eastAsia="宋体" w:hint="default"/>
                <w:spacing w:val="-24"/>
                <w:sz w:val="18"/>
                <w:szCs w:val="18"/>
              </w:rPr>
              <w:t> </w:t>
            </w:r>
            <w:r>
              <w:rPr>
                <w:rFonts w:ascii="宋体" w:hAnsi="宋体" w:cs="宋体" w:eastAsia="宋体" w:hint="default"/>
                <w:sz w:val="18"/>
                <w:szCs w:val="18"/>
              </w:rPr>
              <w:t>12</w:t>
            </w:r>
            <w:r>
              <w:rPr>
                <w:rFonts w:ascii="宋体" w:hAnsi="宋体" w:cs="宋体" w:eastAsia="宋体" w:hint="default"/>
                <w:spacing w:val="-24"/>
                <w:sz w:val="18"/>
                <w:szCs w:val="18"/>
              </w:rPr>
              <w:t> </w:t>
            </w:r>
            <w:r>
              <w:rPr>
                <w:rFonts w:ascii="宋体" w:hAnsi="宋体" w:cs="宋体" w:eastAsia="宋体" w:hint="default"/>
                <w:sz w:val="18"/>
                <w:szCs w:val="18"/>
              </w:rPr>
              <w:t>个月，到期将</w:t>
            </w:r>
          </w:p>
          <w:p>
            <w:pPr>
              <w:pStyle w:val="TableParagraph"/>
              <w:spacing w:line="316" w:lineRule="auto" w:before="19"/>
              <w:ind w:left="20" w:right="10"/>
              <w:jc w:val="left"/>
              <w:rPr>
                <w:rFonts w:ascii="宋体" w:hAnsi="宋体" w:cs="宋体" w:eastAsia="宋体" w:hint="default"/>
                <w:sz w:val="18"/>
                <w:szCs w:val="18"/>
              </w:rPr>
            </w:pPr>
            <w:r>
              <w:rPr>
                <w:rFonts w:ascii="宋体" w:hAnsi="宋体" w:cs="宋体" w:eastAsia="宋体" w:hint="default"/>
                <w:sz w:val="18"/>
                <w:szCs w:val="18"/>
              </w:rPr>
              <w:t>归还至募集资金专户。上述募集资金已于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日全部归还并存入公司募集资金专用账户，并 </w:t>
            </w:r>
            <w:r>
              <w:rPr>
                <w:rFonts w:ascii="宋体" w:hAnsi="宋体" w:cs="宋体" w:eastAsia="宋体" w:hint="default"/>
                <w:spacing w:val="-6"/>
                <w:sz w:val="18"/>
                <w:szCs w:val="18"/>
              </w:rPr>
              <w:t>披露了《关于归还募集资金的公告》。</w:t>
            </w:r>
          </w:p>
        </w:tc>
      </w:tr>
      <w:tr>
        <w:trPr>
          <w:trHeight w:val="407" w:hRule="exact"/>
        </w:trPr>
        <w:tc>
          <w:tcPr>
            <w:tcW w:w="1703"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3" w:right="4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5" w:hRule="exact"/>
        </w:trPr>
        <w:tc>
          <w:tcPr>
            <w:tcW w:w="1703" w:type="dxa"/>
            <w:vMerge/>
            <w:tcBorders>
              <w:left w:val="single" w:sz="12" w:space="0" w:color="000000"/>
              <w:bottom w:val="single" w:sz="6" w:space="0" w:color="000000"/>
              <w:right w:val="single" w:sz="6" w:space="0" w:color="000000"/>
            </w:tcBorders>
            <w:shd w:val="clear" w:color="auto" w:fill="D2D2D2"/>
          </w:tcPr>
          <w:p>
            <w:pP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11" w:firstLine="360"/>
              <w:jc w:val="both"/>
              <w:rPr>
                <w:rFonts w:ascii="宋体" w:hAnsi="宋体" w:cs="宋体" w:eastAsia="宋体" w:hint="default"/>
                <w:sz w:val="18"/>
                <w:szCs w:val="18"/>
              </w:rPr>
            </w:pPr>
            <w:r>
              <w:rPr>
                <w:rFonts w:ascii="宋体" w:hAnsi="宋体" w:cs="宋体" w:eastAsia="宋体" w:hint="default"/>
                <w:sz w:val="18"/>
                <w:szCs w:val="18"/>
              </w:rPr>
              <w:t>“电力用户用电信息采集系统产能扩大建设项目”</w:t>
            </w:r>
            <w:r>
              <w:rPr>
                <w:rFonts w:ascii="宋体" w:hAnsi="宋体" w:cs="宋体" w:eastAsia="宋体" w:hint="default"/>
                <w:spacing w:val="54"/>
                <w:sz w:val="18"/>
                <w:szCs w:val="18"/>
              </w:rPr>
              <w:t> </w:t>
            </w:r>
            <w:r>
              <w:rPr>
                <w:rFonts w:ascii="宋体" w:hAnsi="宋体" w:cs="宋体" w:eastAsia="宋体" w:hint="default"/>
                <w:sz w:val="18"/>
                <w:szCs w:val="18"/>
              </w:rPr>
              <w:t>在项目实施过程中，公司严格按照募集资金使</w:t>
            </w:r>
            <w:r>
              <w:rPr>
                <w:rFonts w:ascii="宋体" w:hAnsi="宋体" w:cs="宋体" w:eastAsia="宋体" w:hint="default"/>
                <w:sz w:val="18"/>
                <w:szCs w:val="18"/>
              </w:rPr>
              <w:t> 用的有关规定，从项目的实际情况出发，本着合理、有效、节约的原则谨慎使用募集资金，在确保项目 质量及顺利建设的前提下，合理配置资源，严格控制各项支出，节约部分设备采购成本。截止 </w:t>
            </w:r>
            <w:r>
              <w:rPr>
                <w:rFonts w:ascii="宋体" w:hAnsi="宋体" w:cs="宋体" w:eastAsia="宋体" w:hint="default"/>
                <w:sz w:val="18"/>
                <w:szCs w:val="18"/>
              </w:rPr>
              <w:t>2017</w:t>
            </w:r>
            <w:r>
              <w:rPr>
                <w:rFonts w:ascii="宋体" w:hAnsi="宋体" w:cs="宋体" w:eastAsia="宋体" w:hint="default"/>
                <w:spacing w:val="-6"/>
                <w:sz w:val="18"/>
                <w:szCs w:val="18"/>
              </w:rPr>
              <w:t> </w:t>
            </w:r>
            <w:r>
              <w:rPr>
                <w:rFonts w:ascii="宋体" w:hAnsi="宋体" w:cs="宋体" w:eastAsia="宋体" w:hint="default"/>
                <w:sz w:val="18"/>
                <w:szCs w:val="18"/>
              </w:rPr>
              <w:t>年</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31</w:t>
            </w:r>
            <w:r>
              <w:rPr>
                <w:rFonts w:ascii="宋体" w:hAnsi="宋体" w:cs="宋体" w:eastAsia="宋体" w:hint="default"/>
                <w:spacing w:val="-63"/>
                <w:sz w:val="18"/>
                <w:szCs w:val="18"/>
              </w:rPr>
              <w:t> </w:t>
            </w:r>
            <w:r>
              <w:rPr>
                <w:rFonts w:ascii="宋体" w:hAnsi="宋体" w:cs="宋体" w:eastAsia="宋体" w:hint="default"/>
                <w:sz w:val="18"/>
                <w:szCs w:val="18"/>
              </w:rPr>
              <w:t>日，该项目已达到预定可使用状态，经第三届董事会第十二次会议审议通过，同意公司将该项目</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结余资金及超募资金结余利息合计 </w:t>
            </w:r>
            <w:r>
              <w:rPr>
                <w:rFonts w:ascii="宋体" w:hAnsi="宋体" w:cs="宋体" w:eastAsia="宋体" w:hint="default"/>
                <w:sz w:val="18"/>
                <w:szCs w:val="18"/>
              </w:rPr>
              <w:t>3,898.63 </w:t>
            </w:r>
            <w:r>
              <w:rPr>
                <w:rFonts w:ascii="宋体" w:hAnsi="宋体" w:cs="宋体" w:eastAsia="宋体" w:hint="default"/>
                <w:sz w:val="18"/>
                <w:szCs w:val="18"/>
              </w:rPr>
              <w:t>万元（含利息收入</w:t>
            </w:r>
            <w:r>
              <w:rPr>
                <w:rFonts w:ascii="宋体" w:hAnsi="宋体" w:cs="宋体" w:eastAsia="宋体" w:hint="default"/>
                <w:spacing w:val="-46"/>
                <w:sz w:val="18"/>
                <w:szCs w:val="18"/>
              </w:rPr>
              <w:t> </w:t>
            </w:r>
            <w:r>
              <w:rPr>
                <w:rFonts w:ascii="宋体" w:hAnsi="宋体" w:cs="宋体" w:eastAsia="宋体" w:hint="default"/>
                <w:sz w:val="18"/>
                <w:szCs w:val="18"/>
              </w:rPr>
              <w:t>828.85</w:t>
            </w:r>
            <w:r>
              <w:rPr>
                <w:rFonts w:ascii="宋体" w:hAnsi="宋体" w:cs="宋体" w:eastAsia="宋体" w:hint="default"/>
                <w:spacing w:val="-44"/>
                <w:sz w:val="18"/>
                <w:szCs w:val="18"/>
              </w:rPr>
              <w:t> </w:t>
            </w:r>
            <w:r>
              <w:rPr>
                <w:rFonts w:ascii="宋体" w:hAnsi="宋体" w:cs="宋体" w:eastAsia="宋体" w:hint="default"/>
                <w:sz w:val="18"/>
                <w:szCs w:val="18"/>
              </w:rPr>
              <w:t>万元）永久补充流动资金。</w:t>
            </w:r>
          </w:p>
        </w:tc>
      </w:tr>
      <w:tr>
        <w:trPr>
          <w:trHeight w:val="719" w:hRule="exact"/>
        </w:trPr>
        <w:tc>
          <w:tcPr>
            <w:tcW w:w="17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4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公司尚未使用的募集资金将用于募投项目后续资金支付，募集资金存放于募集资金专用账户。</w:t>
            </w:r>
          </w:p>
        </w:tc>
      </w:tr>
      <w:tr>
        <w:trPr>
          <w:trHeight w:val="1040" w:hRule="exact"/>
        </w:trPr>
        <w:tc>
          <w:tcPr>
            <w:tcW w:w="17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4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1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报告期内，公司募集资金不存在未按规定使用以及相关信息未及时、真实、准确、完整披露的情况</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3）募集资金变更项目情况" w:id="51"/>
      <w:bookmarkEnd w:id="51"/>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0"/>
        <w:rPr>
          <w:rFonts w:ascii="宋体" w:hAnsi="宋体" w:cs="宋体" w:eastAsia="宋体" w:hint="default"/>
          <w:b/>
          <w:bCs/>
          <w:sz w:val="14"/>
          <w:szCs w:val="14"/>
        </w:rPr>
      </w:pPr>
    </w:p>
    <w:p>
      <w:pPr>
        <w:spacing w:line="391" w:lineRule="auto" w:before="0"/>
        <w:ind w:left="1134" w:right="67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公司报告期不存在募集资金变更项目情况。 </w:t>
      </w:r>
      <w:bookmarkStart w:name="六、重大资产和股权出售" w:id="52"/>
      <w:bookmarkEnd w:id="52"/>
      <w:r>
        <w:rPr>
          <w:rFonts w:ascii="宋体" w:hAnsi="宋体" w:cs="宋体" w:eastAsia="宋体" w:hint="default"/>
          <w:sz w:val="21"/>
          <w:szCs w:val="21"/>
        </w:rPr>
      </w:r>
      <w:r>
        <w:rPr>
          <w:rFonts w:ascii="宋体" w:hAnsi="宋体" w:cs="宋体" w:eastAsia="宋体" w:hint="default"/>
          <w:b/>
          <w:bCs/>
          <w:sz w:val="24"/>
          <w:szCs w:val="24"/>
        </w:rPr>
        <w:t>六、重大资产和股权出售</w:t>
      </w:r>
      <w:r>
        <w:rPr>
          <w:rFonts w:ascii="宋体" w:hAnsi="宋体" w:cs="宋体" w:eastAsia="宋体" w:hint="default"/>
          <w:b/>
          <w:bCs/>
          <w:w w:val="99"/>
          <w:sz w:val="24"/>
          <w:szCs w:val="24"/>
        </w:rPr>
        <w:t> </w:t>
      </w:r>
      <w:bookmarkStart w:name="1、出售重大资产情况" w:id="53"/>
      <w:bookmarkEnd w:id="53"/>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pStyle w:val="BodyText"/>
        <w:spacing w:line="408" w:lineRule="auto" w:before="61"/>
        <w:ind w:left="1134" w:right="8022"/>
        <w:jc w:val="left"/>
      </w:pPr>
      <w:r>
        <w:rPr/>
        <w:t>□ 适用 √</w:t>
      </w:r>
      <w:r>
        <w:rPr>
          <w:spacing w:val="-1"/>
        </w:rPr>
        <w:t> </w:t>
      </w:r>
      <w:r>
        <w:rPr/>
        <w:t>不适用</w:t>
      </w:r>
      <w:r>
        <w:rPr/>
        <w:t> 公司报告期未出售重大资产。</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2、出售重大股权情况" w:id="54"/>
      <w:bookmarkEnd w:id="54"/>
      <w:r>
        <w:rPr>
          <w:b w:val="0"/>
          <w:bCs w:val="0"/>
        </w:rPr>
      </w:r>
      <w:r>
        <w:rPr>
          <w:rFonts w:ascii="宋体" w:hAnsi="宋体" w:cs="宋体" w:eastAsia="宋体" w:hint="default"/>
        </w:rPr>
        <w:t>2</w:t>
      </w:r>
      <w:r>
        <w:rPr/>
        <w:t>、出售重大股权情况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pStyle w:val="Heading2"/>
        <w:spacing w:line="240" w:lineRule="auto" w:before="170"/>
        <w:ind w:right="1121"/>
        <w:jc w:val="left"/>
        <w:rPr>
          <w:b w:val="0"/>
          <w:bCs w:val="0"/>
        </w:rPr>
      </w:pPr>
      <w:bookmarkStart w:name="七、主要控股参股公司分析" w:id="55"/>
      <w:bookmarkEnd w:id="55"/>
      <w:r>
        <w:rPr>
          <w:b w:val="0"/>
          <w:bCs w:val="0"/>
        </w:rPr>
      </w:r>
      <w:r>
        <w:rPr/>
        <w:t>七、主要控股参股公司分析</w:t>
      </w:r>
      <w:r>
        <w:rPr>
          <w:b w:val="0"/>
          <w:bCs w:val="0"/>
        </w:rPr>
      </w:r>
    </w:p>
    <w:p>
      <w:pPr>
        <w:pStyle w:val="BodyText"/>
        <w:spacing w:line="240" w:lineRule="auto" w:before="177"/>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主要子公司及对公司净利润影响达</w:t>
      </w:r>
      <w:r>
        <w:rPr>
          <w:spacing w:val="-54"/>
        </w:rPr>
        <w:t> </w:t>
      </w:r>
      <w:r>
        <w:rPr>
          <w:rFonts w:ascii="宋体" w:hAnsi="宋体" w:cs="宋体" w:eastAsia="宋体" w:hint="default"/>
        </w:rPr>
        <w:t>10%</w:t>
      </w:r>
      <w:r>
        <w:rPr/>
        <w:t>以上的参股公司情况</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478" w:type="dxa"/>
        <w:tblLayout w:type="fixed"/>
        <w:tblCellMar>
          <w:top w:w="0" w:type="dxa"/>
          <w:left w:w="0" w:type="dxa"/>
          <w:bottom w:w="0" w:type="dxa"/>
          <w:right w:w="0" w:type="dxa"/>
        </w:tblCellMar>
        <w:tblLook w:val="01E0"/>
      </w:tblPr>
      <w:tblGrid>
        <w:gridCol w:w="850"/>
        <w:gridCol w:w="425"/>
        <w:gridCol w:w="1452"/>
        <w:gridCol w:w="1384"/>
        <w:gridCol w:w="1418"/>
        <w:gridCol w:w="1417"/>
        <w:gridCol w:w="1419"/>
        <w:gridCol w:w="1277"/>
        <w:gridCol w:w="1275"/>
      </w:tblGrid>
      <w:tr>
        <w:trPr>
          <w:trHeight w:val="725" w:hRule="exact"/>
        </w:trPr>
        <w:tc>
          <w:tcPr>
            <w:tcW w:w="85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4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3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7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911" w:hRule="exact"/>
        </w:trPr>
        <w:tc>
          <w:tcPr>
            <w:tcW w:w="8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0" w:right="55"/>
              <w:jc w:val="center"/>
              <w:rPr>
                <w:rFonts w:ascii="宋体" w:hAnsi="宋体" w:cs="宋体" w:eastAsia="宋体" w:hint="default"/>
                <w:sz w:val="18"/>
                <w:szCs w:val="18"/>
              </w:rPr>
            </w:pPr>
            <w:r>
              <w:rPr>
                <w:rFonts w:ascii="宋体" w:hAnsi="宋体" w:cs="宋体" w:eastAsia="宋体" w:hint="default"/>
                <w:sz w:val="18"/>
                <w:szCs w:val="18"/>
              </w:rPr>
              <w:t>湖北索瑞 电气有限 公司</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14" w:right="2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5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1" w:right="-25"/>
              <w:jc w:val="left"/>
              <w:rPr>
                <w:rFonts w:ascii="宋体" w:hAnsi="宋体" w:cs="宋体" w:eastAsia="宋体" w:hint="default"/>
                <w:sz w:val="18"/>
                <w:szCs w:val="18"/>
              </w:rPr>
            </w:pPr>
            <w:r>
              <w:rPr>
                <w:rFonts w:ascii="宋体" w:hAnsi="宋体" w:cs="宋体" w:eastAsia="宋体" w:hint="default"/>
                <w:sz w:val="18"/>
                <w:szCs w:val="18"/>
              </w:rPr>
              <w:t>电能计量箱的设 计、生产和销售， 高低压电气成套 开关设备及控制 </w:t>
            </w:r>
            <w:r>
              <w:rPr>
                <w:rFonts w:ascii="宋体" w:hAnsi="宋体" w:cs="宋体" w:eastAsia="宋体" w:hint="default"/>
                <w:spacing w:val="-6"/>
                <w:sz w:val="18"/>
                <w:szCs w:val="18"/>
              </w:rPr>
              <w:t>设备的设计、生产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和销售，电力电子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产品技术开发、应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用、销售，电力工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程安装服务</w:t>
            </w:r>
          </w:p>
        </w:tc>
        <w:tc>
          <w:tcPr>
            <w:tcW w:w="13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65"/>
              <w:jc w:val="center"/>
              <w:rPr>
                <w:rFonts w:ascii="宋体" w:hAnsi="宋体" w:cs="宋体" w:eastAsia="宋体" w:hint="default"/>
                <w:sz w:val="18"/>
                <w:szCs w:val="18"/>
              </w:rPr>
            </w:pPr>
            <w:r>
              <w:rPr>
                <w:rFonts w:ascii="宋体"/>
                <w:sz w:val="18"/>
              </w:rPr>
              <w:t>101,000,000.00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2" w:right="0"/>
              <w:jc w:val="left"/>
              <w:rPr>
                <w:rFonts w:ascii="宋体" w:hAnsi="宋体" w:cs="宋体" w:eastAsia="宋体" w:hint="default"/>
                <w:sz w:val="18"/>
                <w:szCs w:val="18"/>
              </w:rPr>
            </w:pPr>
            <w:r>
              <w:rPr>
                <w:rFonts w:ascii="宋体"/>
                <w:sz w:val="18"/>
              </w:rPr>
              <w:t>721,221,419.25</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2" w:right="0"/>
              <w:jc w:val="center"/>
              <w:rPr>
                <w:rFonts w:ascii="宋体" w:hAnsi="宋体" w:cs="宋体" w:eastAsia="宋体" w:hint="default"/>
                <w:sz w:val="18"/>
                <w:szCs w:val="18"/>
              </w:rPr>
            </w:pPr>
            <w:r>
              <w:rPr>
                <w:rFonts w:ascii="宋体"/>
                <w:sz w:val="18"/>
              </w:rPr>
              <w:t>564,390,902.72</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3" w:right="0"/>
              <w:jc w:val="left"/>
              <w:rPr>
                <w:rFonts w:ascii="宋体" w:hAnsi="宋体" w:cs="宋体" w:eastAsia="宋体" w:hint="default"/>
                <w:sz w:val="18"/>
                <w:szCs w:val="18"/>
              </w:rPr>
            </w:pPr>
            <w:r>
              <w:rPr>
                <w:rFonts w:ascii="宋体"/>
                <w:sz w:val="18"/>
              </w:rPr>
              <w:t>299,341,030.39</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1" w:right="0"/>
              <w:jc w:val="center"/>
              <w:rPr>
                <w:rFonts w:ascii="宋体" w:hAnsi="宋体" w:cs="宋体" w:eastAsia="宋体" w:hint="default"/>
                <w:sz w:val="18"/>
                <w:szCs w:val="18"/>
              </w:rPr>
            </w:pPr>
            <w:r>
              <w:rPr>
                <w:rFonts w:ascii="宋体"/>
                <w:sz w:val="18"/>
              </w:rPr>
              <w:t>44,401,416.83</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8" w:right="0"/>
              <w:jc w:val="center"/>
              <w:rPr>
                <w:rFonts w:ascii="宋体" w:hAnsi="宋体" w:cs="宋体" w:eastAsia="宋体" w:hint="default"/>
                <w:sz w:val="18"/>
                <w:szCs w:val="18"/>
              </w:rPr>
            </w:pPr>
            <w:r>
              <w:rPr>
                <w:rFonts w:ascii="宋体"/>
                <w:sz w:val="18"/>
              </w:rPr>
              <w:t>39,680,164.08</w:t>
            </w:r>
          </w:p>
        </w:tc>
      </w:tr>
    </w:tbl>
    <w:p>
      <w:pPr>
        <w:spacing w:line="240" w:lineRule="auto" w:before="4"/>
        <w:rPr>
          <w:rFonts w:ascii="宋体" w:hAnsi="宋体" w:cs="宋体" w:eastAsia="宋体" w:hint="default"/>
          <w:sz w:val="11"/>
          <w:szCs w:val="11"/>
        </w:rPr>
      </w:pPr>
    </w:p>
    <w:p>
      <w:pPr>
        <w:pStyle w:val="BodyText"/>
        <w:spacing w:line="240" w:lineRule="auto" w:before="35"/>
        <w:ind w:left="1134" w:right="1121"/>
        <w:jc w:val="left"/>
      </w:pPr>
      <w:r>
        <w:rPr/>
        <w:t>报告期内取得和处置子公司的情况</w:t>
      </w:r>
    </w:p>
    <w:p>
      <w:pPr>
        <w:pStyle w:val="BodyText"/>
        <w:spacing w:line="240" w:lineRule="auto" w:before="156"/>
        <w:ind w:left="1134" w:right="1121"/>
        <w:jc w:val="left"/>
      </w:pPr>
      <w:r>
        <w:rPr/>
        <w:t>√ 适用 □</w:t>
      </w:r>
      <w:r>
        <w:rPr>
          <w:spacing w:val="-1"/>
        </w:rPr>
        <w:t> </w:t>
      </w:r>
      <w:r>
        <w:rPr/>
        <w:t>不适用</w:t>
      </w:r>
    </w:p>
    <w:p>
      <w:pPr>
        <w:spacing w:line="240" w:lineRule="auto" w:before="0"/>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553"/>
        <w:gridCol w:w="2978"/>
        <w:gridCol w:w="4039"/>
      </w:tblGrid>
      <w:tr>
        <w:trPr>
          <w:trHeight w:val="415" w:hRule="exact"/>
        </w:trPr>
        <w:tc>
          <w:tcPr>
            <w:tcW w:w="255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03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39" w:hRule="exact"/>
        </w:trPr>
        <w:tc>
          <w:tcPr>
            <w:tcW w:w="25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29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现金购买索瑞电气</w:t>
            </w:r>
            <w:r>
              <w:rPr>
                <w:rFonts w:ascii="宋体" w:hAnsi="宋体" w:cs="宋体" w:eastAsia="宋体" w:hint="default"/>
                <w:spacing w:val="-46"/>
                <w:sz w:val="18"/>
                <w:szCs w:val="18"/>
              </w:rPr>
              <w:t> </w:t>
            </w:r>
            <w:r>
              <w:rPr>
                <w:rFonts w:ascii="宋体" w:hAnsi="宋体" w:cs="宋体" w:eastAsia="宋体" w:hint="default"/>
                <w:sz w:val="18"/>
                <w:szCs w:val="18"/>
              </w:rPr>
              <w:t>15.18%</w:t>
            </w:r>
            <w:r>
              <w:rPr>
                <w:rFonts w:ascii="宋体" w:hAnsi="宋体" w:cs="宋体" w:eastAsia="宋体" w:hint="default"/>
                <w:sz w:val="18"/>
                <w:szCs w:val="18"/>
              </w:rPr>
              <w:t>少数股权</w:t>
            </w:r>
          </w:p>
        </w:tc>
        <w:tc>
          <w:tcPr>
            <w:tcW w:w="40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利润表</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日净利润</w:t>
            </w:r>
            <w:r>
              <w:rPr>
                <w:rFonts w:ascii="宋体" w:hAnsi="宋体" w:cs="宋体" w:eastAsia="宋体" w:hint="default"/>
                <w:spacing w:val="-47"/>
                <w:sz w:val="18"/>
                <w:szCs w:val="18"/>
              </w:rPr>
              <w:t> </w:t>
            </w:r>
            <w:r>
              <w:rPr>
                <w:rFonts w:ascii="宋体" w:hAnsi="宋体" w:cs="宋体" w:eastAsia="宋体" w:hint="default"/>
                <w:sz w:val="18"/>
                <w:szCs w:val="18"/>
              </w:rPr>
              <w:t>84.82%</w:t>
            </w:r>
          </w:p>
          <w:p>
            <w:pPr>
              <w:pStyle w:val="TableParagraph"/>
              <w:spacing w:line="319" w:lineRule="auto" w:before="76"/>
              <w:ind w:left="20" w:right="80"/>
              <w:jc w:val="left"/>
              <w:rPr>
                <w:rFonts w:ascii="宋体" w:hAnsi="宋体" w:cs="宋体" w:eastAsia="宋体" w:hint="default"/>
                <w:sz w:val="18"/>
                <w:szCs w:val="18"/>
              </w:rPr>
            </w:pPr>
            <w:r>
              <w:rPr>
                <w:rFonts w:ascii="宋体" w:hAnsi="宋体" w:cs="宋体" w:eastAsia="宋体" w:hint="default"/>
                <w:sz w:val="18"/>
                <w:szCs w:val="18"/>
              </w:rPr>
              <w:t>归属于上市公司，自</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日净利润</w:t>
            </w:r>
            <w:r>
              <w:rPr>
                <w:rFonts w:ascii="宋体" w:hAnsi="宋体" w:cs="宋体" w:eastAsia="宋体" w:hint="default"/>
                <w:spacing w:val="-46"/>
                <w:sz w:val="18"/>
                <w:szCs w:val="18"/>
              </w:rPr>
              <w:t> </w:t>
            </w:r>
            <w:r>
              <w:rPr>
                <w:rFonts w:ascii="宋体" w:hAnsi="宋体" w:cs="宋体" w:eastAsia="宋体" w:hint="default"/>
                <w:sz w:val="18"/>
                <w:szCs w:val="18"/>
              </w:rPr>
              <w:t>100% </w:t>
            </w:r>
            <w:r>
              <w:rPr>
                <w:rFonts w:ascii="宋体" w:hAnsi="宋体" w:cs="宋体" w:eastAsia="宋体" w:hint="default"/>
                <w:sz w:val="18"/>
                <w:szCs w:val="18"/>
              </w:rPr>
              <w:t>归属于上市公司</w:t>
            </w:r>
          </w:p>
        </w:tc>
      </w:tr>
    </w:tbl>
    <w:p>
      <w:pPr>
        <w:spacing w:line="240" w:lineRule="auto" w:before="1"/>
        <w:rPr>
          <w:rFonts w:ascii="宋体" w:hAnsi="宋体" w:cs="宋体" w:eastAsia="宋体" w:hint="default"/>
          <w:sz w:val="14"/>
          <w:szCs w:val="14"/>
        </w:rPr>
      </w:pPr>
    </w:p>
    <w:p>
      <w:pPr>
        <w:pStyle w:val="BodyText"/>
        <w:spacing w:line="408" w:lineRule="auto" w:before="35"/>
        <w:ind w:left="1554" w:right="1121" w:hanging="420"/>
        <w:jc w:val="left"/>
      </w:pPr>
      <w:r>
        <w:rPr/>
        <w:t>主要控股参股公司情况说明 </w:t>
      </w:r>
      <w:r>
        <w:rPr>
          <w:spacing w:val="-1"/>
        </w:rPr>
        <w:t>湖北索瑞电气有限公司系公司全资子公司，注册资本</w:t>
      </w:r>
      <w:r>
        <w:rPr>
          <w:rFonts w:ascii="宋体" w:hAnsi="宋体" w:cs="宋体" w:eastAsia="宋体" w:hint="default"/>
          <w:spacing w:val="-1"/>
        </w:rPr>
        <w:t>10,100</w:t>
      </w:r>
      <w:r>
        <w:rPr>
          <w:spacing w:val="-1"/>
        </w:rPr>
        <w:t>万元。公司于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24</w:t>
      </w:r>
      <w:r>
        <w:rPr>
          <w:spacing w:val="-1"/>
        </w:rPr>
        <w:t>日获得中国证</w:t>
      </w:r>
    </w:p>
    <w:p>
      <w:pPr>
        <w:pStyle w:val="BodyText"/>
        <w:spacing w:line="408" w:lineRule="auto"/>
        <w:ind w:right="1131"/>
        <w:jc w:val="both"/>
      </w:pPr>
      <w:r>
        <w:rPr>
          <w:spacing w:val="-1"/>
        </w:rPr>
        <w:t>监会《关于核准光一科技股份有限公司向任昌兆等发行股份购买资产的批复》，公司以发行股份及支付现</w:t>
      </w:r>
      <w:r>
        <w:rPr>
          <w:spacing w:val="-83"/>
        </w:rPr>
        <w:t> </w:t>
      </w:r>
      <w:r>
        <w:rPr>
          <w:spacing w:val="-83"/>
        </w:rPr>
      </w:r>
      <w:r>
        <w:rPr/>
        <w:t>金方式持有索瑞电气</w:t>
      </w:r>
      <w:r>
        <w:rPr>
          <w:rFonts w:ascii="宋体" w:hAnsi="宋体" w:cs="宋体" w:eastAsia="宋体" w:hint="default"/>
        </w:rPr>
        <w:t>84.82%</w:t>
      </w:r>
      <w:r>
        <w:rPr/>
        <w:t>股权，索瑞电气于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26</w:t>
      </w:r>
      <w:r>
        <w:rPr/>
        <w:t>日完成工商变更。公司于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11</w:t>
      </w:r>
      <w:r>
        <w:rPr/>
        <w:t>日召开</w:t>
      </w:r>
      <w:r>
        <w:rPr>
          <w:spacing w:val="-31"/>
        </w:rPr>
        <w:t> </w:t>
      </w:r>
      <w:r>
        <w:rPr>
          <w:spacing w:val="-31"/>
        </w:rPr>
      </w:r>
      <w:r>
        <w:rPr>
          <w:spacing w:val="-1"/>
        </w:rPr>
        <w:t>第三届董事会第十一次会议，审议通过了《关于使用自有资金收购控股子公司索瑞电气剩余股权暨关联交</w:t>
      </w:r>
      <w:r>
        <w:rPr>
          <w:spacing w:val="-81"/>
        </w:rPr>
        <w:t> </w:t>
      </w:r>
      <w:r>
        <w:rPr>
          <w:spacing w:val="-81"/>
        </w:rPr>
      </w:r>
      <w:r>
        <w:rPr>
          <w:spacing w:val="-1"/>
        </w:rPr>
        <w:t>易的议案》，公司以自有资金收购任昌兆先生持有的索瑞电气</w:t>
      </w:r>
      <w:r>
        <w:rPr>
          <w:rFonts w:ascii="宋体" w:hAnsi="宋体" w:cs="宋体" w:eastAsia="宋体" w:hint="default"/>
          <w:spacing w:val="-1"/>
        </w:rPr>
        <w:t>15.18%</w:t>
      </w:r>
      <w:r>
        <w:rPr>
          <w:spacing w:val="-1"/>
        </w:rPr>
        <w:t>股权。本次收购完成后，公司持有索</w:t>
      </w:r>
      <w:r>
        <w:rPr>
          <w:spacing w:val="-83"/>
        </w:rPr>
        <w:t> </w:t>
      </w:r>
      <w:r>
        <w:rPr>
          <w:spacing w:val="-83"/>
        </w:rPr>
      </w:r>
      <w:r>
        <w:rPr/>
        <w:t>瑞电气</w:t>
      </w:r>
      <w:r>
        <w:rPr>
          <w:rFonts w:ascii="宋体" w:hAnsi="宋体" w:cs="宋体" w:eastAsia="宋体" w:hint="default"/>
        </w:rPr>
        <w:t>100%</w:t>
      </w:r>
      <w:r>
        <w:rPr/>
        <w:t>股权，索瑞电气于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8</w:t>
      </w:r>
      <w:r>
        <w:rPr/>
        <w:t>日完成工商变更。</w:t>
      </w:r>
    </w:p>
    <w:p>
      <w:pPr>
        <w:pStyle w:val="Heading2"/>
        <w:spacing w:line="240" w:lineRule="auto" w:before="179"/>
        <w:ind w:left="1133"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pStyle w:val="BodyText"/>
        <w:spacing w:line="240" w:lineRule="auto" w:before="177"/>
        <w:ind w:right="0"/>
        <w:jc w:val="both"/>
      </w:pPr>
      <w:r>
        <w:rPr/>
        <w:t>□ 适用 √</w:t>
      </w:r>
      <w:r>
        <w:rPr>
          <w:spacing w:val="-1"/>
        </w:rPr>
        <w:t> </w:t>
      </w:r>
      <w:r>
        <w:rPr/>
        <w:t>不适用</w:t>
      </w:r>
    </w:p>
    <w:p>
      <w:pPr>
        <w:spacing w:after="0" w:line="240"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left="1133" w:right="0"/>
        <w:jc w:val="both"/>
        <w:rPr>
          <w:b w:val="0"/>
          <w:bCs w:val="0"/>
        </w:rPr>
      </w:pPr>
      <w:bookmarkStart w:name="九、公司未来发展的展望" w:id="57"/>
      <w:bookmarkEnd w:id="57"/>
      <w:r>
        <w:rPr>
          <w:b w:val="0"/>
          <w:bCs w:val="0"/>
        </w:rPr>
      </w:r>
      <w:r>
        <w:rPr/>
        <w:t>九、公司未来发展的展望</w:t>
      </w:r>
      <w:r>
        <w:rPr>
          <w:b w:val="0"/>
          <w:bCs w:val="0"/>
        </w:rPr>
      </w:r>
    </w:p>
    <w:p>
      <w:pPr>
        <w:pStyle w:val="BodyText"/>
        <w:spacing w:line="408" w:lineRule="auto" w:before="177"/>
        <w:ind w:right="1121" w:firstLine="424"/>
        <w:jc w:val="left"/>
      </w:pPr>
      <w:r>
        <w:rPr>
          <w:rFonts w:ascii="宋体" w:hAnsi="宋体" w:cs="宋体" w:eastAsia="宋体" w:hint="default"/>
          <w:spacing w:val="-1"/>
        </w:rPr>
        <w:t>2018</w:t>
      </w:r>
      <w:r>
        <w:rPr>
          <w:spacing w:val="-1"/>
        </w:rPr>
        <w:t>年，公司将继续按照既定的发展战略夯实产业基础，版权云业务以能力建设为基础，通过赋能和</w:t>
      </w:r>
      <w:r>
        <w:rPr/>
        <w:t> 叠加，实现资源有机融合；电力业务通过调整，在内部运行环境建设和新业务拓展上进行自我实现。</w:t>
      </w:r>
    </w:p>
    <w:p>
      <w:pPr>
        <w:pStyle w:val="BodyText"/>
        <w:spacing w:line="240" w:lineRule="auto"/>
        <w:ind w:left="1553" w:right="1121"/>
        <w:jc w:val="left"/>
      </w:pPr>
      <w:r>
        <w:rPr>
          <w:rFonts w:ascii="宋体" w:hAnsi="宋体" w:cs="宋体" w:eastAsia="宋体" w:hint="default"/>
        </w:rPr>
        <w:t>1</w:t>
      </w:r>
      <w:r>
        <w:rPr/>
        <w:t>、版权云业务</w:t>
      </w:r>
    </w:p>
    <w:p>
      <w:pPr>
        <w:spacing w:line="240" w:lineRule="auto" w:before="10"/>
        <w:rPr>
          <w:rFonts w:ascii="宋体" w:hAnsi="宋体" w:cs="宋体" w:eastAsia="宋体" w:hint="default"/>
          <w:sz w:val="14"/>
          <w:szCs w:val="14"/>
        </w:rPr>
      </w:pPr>
    </w:p>
    <w:p>
      <w:pPr>
        <w:pStyle w:val="BodyText"/>
        <w:spacing w:line="240" w:lineRule="auto" w:before="0"/>
        <w:ind w:left="1557" w:right="1121"/>
        <w:jc w:val="left"/>
      </w:pPr>
      <w:r>
        <w:rPr/>
        <w:t>（</w:t>
      </w:r>
      <w:r>
        <w:rPr>
          <w:rFonts w:ascii="宋体" w:hAnsi="宋体" w:cs="宋体" w:eastAsia="宋体" w:hint="default"/>
        </w:rPr>
        <w:t>1</w:t>
      </w:r>
      <w:r>
        <w:rPr/>
        <w:t>）夯实全网监测能力，横向拓展服务对象，纵向建立层级服务能力。</w:t>
      </w:r>
    </w:p>
    <w:p>
      <w:pPr>
        <w:spacing w:line="240" w:lineRule="auto" w:before="10"/>
        <w:rPr>
          <w:rFonts w:ascii="宋体" w:hAnsi="宋体" w:cs="宋体" w:eastAsia="宋体" w:hint="default"/>
          <w:sz w:val="14"/>
          <w:szCs w:val="14"/>
        </w:rPr>
      </w:pPr>
    </w:p>
    <w:p>
      <w:pPr>
        <w:pStyle w:val="BodyText"/>
        <w:spacing w:line="240" w:lineRule="auto" w:before="0"/>
        <w:ind w:left="1557" w:right="0"/>
        <w:jc w:val="left"/>
      </w:pP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日，国家主席习近平应邀出席博鳌亚洲论坛</w:t>
      </w:r>
      <w:r>
        <w:rPr>
          <w:spacing w:val="-53"/>
        </w:rPr>
        <w:t> </w:t>
      </w:r>
      <w:r>
        <w:rPr>
          <w:rFonts w:ascii="宋体" w:hAnsi="宋体" w:cs="宋体" w:eastAsia="宋体" w:hint="default"/>
        </w:rPr>
        <w:t>2018</w:t>
      </w:r>
      <w:r>
        <w:rPr>
          <w:rFonts w:ascii="宋体" w:hAnsi="宋体" w:cs="宋体" w:eastAsia="宋体" w:hint="default"/>
          <w:spacing w:val="-54"/>
        </w:rPr>
        <w:t> </w:t>
      </w:r>
      <w:r>
        <w:rPr/>
        <w:t>年年会开幕式并发表重要主旨演讲，</w:t>
      </w:r>
    </w:p>
    <w:p>
      <w:pPr>
        <w:spacing w:line="240" w:lineRule="auto" w:before="10"/>
        <w:rPr>
          <w:rFonts w:ascii="宋体" w:hAnsi="宋体" w:cs="宋体" w:eastAsia="宋体" w:hint="default"/>
          <w:sz w:val="14"/>
          <w:szCs w:val="14"/>
        </w:rPr>
      </w:pPr>
    </w:p>
    <w:p>
      <w:pPr>
        <w:pStyle w:val="BodyText"/>
        <w:spacing w:line="408" w:lineRule="auto" w:before="0"/>
        <w:ind w:left="1134" w:right="1130"/>
        <w:jc w:val="both"/>
      </w:pPr>
      <w:r>
        <w:rPr/>
        <w:t>其中将加强知识产权保护作为中国扩大开放的一项重大举措，并明确提出 </w:t>
      </w:r>
      <w:r>
        <w:rPr>
          <w:rFonts w:ascii="宋体" w:hAnsi="宋体" w:cs="宋体" w:eastAsia="宋体" w:hint="default"/>
        </w:rPr>
        <w:t>2018</w:t>
      </w:r>
      <w:r>
        <w:rPr>
          <w:rFonts w:ascii="宋体" w:hAnsi="宋体" w:cs="宋体" w:eastAsia="宋体" w:hint="default"/>
          <w:spacing w:val="-23"/>
        </w:rPr>
        <w:t> </w:t>
      </w:r>
      <w:r>
        <w:rPr/>
        <w:t>年将重新组建国家知识产 </w:t>
      </w:r>
      <w:r>
        <w:rPr>
          <w:spacing w:val="-1"/>
        </w:rPr>
        <w:t>权局，完善加大执法力度，把违法成本显著提上去，把法律威慑作用充分发挥出来。随着国家对互联网内</w:t>
      </w:r>
      <w:r>
        <w:rPr>
          <w:spacing w:val="-86"/>
        </w:rPr>
        <w:t> </w:t>
      </w:r>
      <w:r>
        <w:rPr>
          <w:spacing w:val="-86"/>
        </w:rPr>
      </w:r>
      <w:r>
        <w:rPr/>
        <w:t>容管控力度的重视，也伴生出市场对互联网监测能力的旺盛需求。</w:t>
      </w:r>
    </w:p>
    <w:p>
      <w:pPr>
        <w:pStyle w:val="BodyText"/>
        <w:spacing w:line="408" w:lineRule="auto"/>
        <w:ind w:right="1015" w:firstLine="423"/>
        <w:jc w:val="left"/>
      </w:pPr>
      <w:r>
        <w:rPr>
          <w:spacing w:val="-3"/>
        </w:rPr>
        <w:t>在全网监测方面，公司将夯实为政府提供互联网内容监管服务，升级监测能力横向拓展更多服务对象，</w:t>
      </w:r>
      <w:r>
        <w:rPr/>
        <w:t> </w:t>
      </w:r>
      <w:r>
        <w:rPr>
          <w:spacing w:val="-3"/>
        </w:rPr>
        <w:t>纵向打通为国家、省、市各级机构提供软件即服务（</w:t>
      </w:r>
      <w:r>
        <w:rPr>
          <w:rFonts w:ascii="宋体" w:hAnsi="宋体" w:cs="宋体" w:eastAsia="宋体" w:hint="default"/>
          <w:spacing w:val="-3"/>
        </w:rPr>
        <w:t>saas</w:t>
      </w:r>
      <w:r>
        <w:rPr>
          <w:spacing w:val="-3"/>
        </w:rPr>
        <w:t>）的能力。</w:t>
      </w:r>
      <w:r>
        <w:rPr>
          <w:rFonts w:ascii="宋体" w:hAnsi="宋体" w:cs="宋体" w:eastAsia="宋体" w:hint="default"/>
          <w:spacing w:val="-3"/>
        </w:rPr>
        <w:t>CCDI</w:t>
      </w:r>
      <w:r>
        <w:rPr>
          <w:rFonts w:ascii="宋体" w:hAnsi="宋体" w:cs="宋体" w:eastAsia="宋体" w:hint="default"/>
          <w:spacing w:val="-44"/>
        </w:rPr>
        <w:t> </w:t>
      </w:r>
      <w:r>
        <w:rPr/>
        <w:t>版权云将升级互联网监测平台的</w:t>
      </w:r>
      <w:r>
        <w:rPr>
          <w:spacing w:val="-85"/>
        </w:rPr>
        <w:t> </w:t>
      </w:r>
      <w:r>
        <w:rPr>
          <w:spacing w:val="-85"/>
        </w:rPr>
      </w:r>
      <w:r>
        <w:rPr/>
        <w:t>能力，在提升数据中心算力和存储的基础上，根据相关部委要求扩大内容监测广度，拓展内容监测维度， 提升监测取证深度，在服务扫黄打非办的基础上，为更多的互联网监管机构提供全互联网内容监测能力。 拓展版权云服务体系，将为国家部委服务的能力和经验服务对应的各级机关，用软件即服务（</w:t>
      </w:r>
      <w:r>
        <w:rPr>
          <w:rFonts w:ascii="宋体" w:hAnsi="宋体" w:cs="宋体" w:eastAsia="宋体" w:hint="default"/>
        </w:rPr>
        <w:t>saas</w:t>
      </w:r>
      <w:r>
        <w:rPr/>
        <w:t>）的模 式将政府服务业务纵向拓展，提升监测业务的规模。同时，通过对监测业务开展中获取的互联网内容和数 据进行结构化处理，形成基于互联网内容的数据库，建立规模性知识图谱，在实时监测业务的基础上拓展 服务能力，形成互联网内容预警能力、专项快速分析能力和行业数据洞察能力，进一步扩大服务的维度和 广度。</w:t>
      </w:r>
    </w:p>
    <w:p>
      <w:pPr>
        <w:pStyle w:val="BodyText"/>
        <w:spacing w:line="408" w:lineRule="auto"/>
        <w:ind w:left="1558" w:right="1121"/>
        <w:jc w:val="left"/>
      </w:pPr>
      <w:r>
        <w:rPr/>
        <w:t>（</w:t>
      </w:r>
      <w:r>
        <w:rPr>
          <w:rFonts w:ascii="宋体" w:hAnsi="宋体" w:cs="宋体" w:eastAsia="宋体" w:hint="default"/>
        </w:rPr>
        <w:t>2</w:t>
      </w:r>
      <w:r>
        <w:rPr/>
        <w:t>）提供内容风控能力，帮助企业更好管理内容生产和传播。 </w:t>
      </w:r>
      <w:r>
        <w:rPr>
          <w:spacing w:val="-1"/>
        </w:rPr>
        <w:t>版权云在服务国家相关机构实现互联网内容监管的同时，将把国家的管控需求抽象化，形成动态的特</w:t>
      </w:r>
    </w:p>
    <w:p>
      <w:pPr>
        <w:pStyle w:val="BodyText"/>
        <w:spacing w:line="408" w:lineRule="auto"/>
        <w:ind w:right="1024"/>
        <w:jc w:val="left"/>
      </w:pPr>
      <w:r>
        <w:rPr/>
        <w:t>征库，用历史数据和新增案件将内容管理能力进行沉淀，并利用人工智能机器学习的能力将特征库进行扩 充，帮助国家相关机构更好的沉淀历史案件，发现新增动态，扩大监管力度。在发现不良内容，提供证据 进行封堵的同时，版权云将把这些能力平台化，提供开放接口，将管理能力下沉，在内容生产和传播的源 </w:t>
      </w:r>
      <w:r>
        <w:rPr>
          <w:spacing w:val="-3"/>
        </w:rPr>
        <w:t>头提供服务，帮助企业进行内容审核，提供内容风控服务，有针对的性的第三方内容审核服务，构建自审、</w:t>
      </w:r>
      <w:r>
        <w:rPr>
          <w:spacing w:val="-94"/>
        </w:rPr>
        <w:t> </w:t>
      </w:r>
      <w:r>
        <w:rPr>
          <w:spacing w:val="-94"/>
        </w:rPr>
      </w:r>
      <w:r>
        <w:rPr/>
        <w:t>自查、第三方检测的多维度互联网内容安全服务。</w:t>
      </w:r>
    </w:p>
    <w:p>
      <w:pPr>
        <w:pStyle w:val="BodyText"/>
        <w:spacing w:line="408" w:lineRule="auto"/>
        <w:ind w:left="1558" w:right="1132"/>
        <w:jc w:val="left"/>
      </w:pPr>
      <w:r>
        <w:rPr/>
        <w:t>（</w:t>
      </w:r>
      <w:r>
        <w:rPr>
          <w:rFonts w:ascii="宋体" w:hAnsi="宋体" w:cs="宋体" w:eastAsia="宋体" w:hint="default"/>
        </w:rPr>
        <w:t>3</w:t>
      </w:r>
      <w:r>
        <w:rPr/>
        <w:t>）基于大数据能力，构建内容分发生态。 </w:t>
      </w:r>
      <w:r>
        <w:rPr>
          <w:spacing w:val="-1"/>
        </w:rPr>
        <w:t>基于版权云监测业务沉淀的海量内容中公开信号量数据的挖掘和沉淀，将形成不同内容在互联网的生</w:t>
      </w:r>
    </w:p>
    <w:p>
      <w:pPr>
        <w:pStyle w:val="BodyText"/>
        <w:spacing w:line="408" w:lineRule="auto"/>
        <w:ind w:left="1134" w:right="1131"/>
        <w:jc w:val="both"/>
      </w:pPr>
      <w:r>
        <w:rPr>
          <w:spacing w:val="-1"/>
        </w:rPr>
        <w:t>产、传播、消费、反馈和影响力等数据，这些数据的结构化匹配内容本身的结构后将为内容分发提供有效</w:t>
      </w:r>
      <w:r>
        <w:rPr>
          <w:spacing w:val="-85"/>
        </w:rPr>
        <w:t> </w:t>
      </w:r>
      <w:r>
        <w:rPr>
          <w:spacing w:val="-85"/>
        </w:rPr>
      </w:r>
      <w:r>
        <w:rPr>
          <w:spacing w:val="-1"/>
        </w:rPr>
        <w:t>的数据支撑，打造行业内容分发的数据管理平台，为打造类广告分发的内容分发新模式打下基础，并利用</w:t>
      </w:r>
      <w:r>
        <w:rPr>
          <w:spacing w:val="-83"/>
        </w:rPr>
        <w:t> </w:t>
      </w:r>
      <w:r>
        <w:rPr>
          <w:spacing w:val="-83"/>
        </w:rPr>
      </w:r>
      <w:r>
        <w:rPr/>
        <w:t>版权云自有版权内容先行先试，打造微版权，微付费的模式，提供内容的变现能力。</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1557" w:right="1121"/>
        <w:jc w:val="left"/>
      </w:pPr>
      <w:r>
        <w:rPr>
          <w:rFonts w:ascii="宋体" w:hAnsi="宋体" w:cs="宋体" w:eastAsia="宋体" w:hint="default"/>
        </w:rPr>
        <w:t>2</w:t>
      </w:r>
      <w:r>
        <w:rPr/>
        <w:t>、电力业务</w:t>
      </w:r>
    </w:p>
    <w:p>
      <w:pPr>
        <w:spacing w:line="240" w:lineRule="auto" w:before="10"/>
        <w:rPr>
          <w:rFonts w:ascii="宋体" w:hAnsi="宋体" w:cs="宋体" w:eastAsia="宋体" w:hint="default"/>
          <w:sz w:val="14"/>
          <w:szCs w:val="14"/>
        </w:rPr>
      </w:pPr>
    </w:p>
    <w:p>
      <w:pPr>
        <w:pStyle w:val="BodyText"/>
        <w:spacing w:line="408" w:lineRule="auto" w:before="0"/>
        <w:ind w:right="1104" w:firstLine="424"/>
        <w:jc w:val="both"/>
      </w:pPr>
      <w:r>
        <w:rPr>
          <w:rFonts w:ascii="宋体" w:hAnsi="宋体" w:cs="宋体" w:eastAsia="宋体" w:hint="default"/>
        </w:rPr>
        <w:t>2018</w:t>
      </w:r>
      <w:r>
        <w:rPr/>
        <w:t>年，公司在电力业务上将继续推行“目标管理”模式，坚持“以客户为中心的价值创造”原则， 以结果为导向实行关键岗位目标责任制，将公司目标进行层层分解落实到岗，同时，加强风险管控力度， 构建人才梯队建设，完善考核激励政策，通过强化内部运行环境建设，充分发挥各部门的协同效应。</w:t>
      </w:r>
    </w:p>
    <w:p>
      <w:pPr>
        <w:pStyle w:val="BodyText"/>
        <w:spacing w:line="408" w:lineRule="auto"/>
        <w:ind w:right="1110" w:firstLine="424"/>
        <w:jc w:val="right"/>
      </w:pPr>
      <w:r>
        <w:rPr>
          <w:spacing w:val="-1"/>
        </w:rPr>
        <w:t>国家发展改革委、国家能源局在《电力发展“十三五”规划》中明确提出“升级改造配电网，推进智</w:t>
      </w:r>
      <w:r>
        <w:rPr/>
        <w:t> </w:t>
      </w:r>
      <w:r>
        <w:rPr>
          <w:spacing w:val="-1"/>
        </w:rPr>
        <w:t>能电网建设”，要求全面提升电网的智能化水平，提高电网接纳和优化配置多种能源的能力，满足用户供</w:t>
      </w:r>
      <w:r>
        <w:rPr/>
        <w:t> </w:t>
      </w:r>
      <w:r>
        <w:rPr>
          <w:spacing w:val="-1"/>
        </w:rPr>
        <w:t>需互动，充分发挥智能电网在现代能源体系中的作用。随着配电网建设改造行动计划对用户侧的在线监测</w:t>
      </w:r>
      <w:r>
        <w:rPr/>
        <w:t> </w:t>
      </w:r>
      <w:r>
        <w:rPr>
          <w:spacing w:val="-1"/>
        </w:rPr>
        <w:t>和信息化互动提出更高的要求，对用电信息采集系统和与之相关的配电网产品将产生新的市场空间。</w:t>
      </w:r>
      <w:r>
        <w:rPr>
          <w:rFonts w:ascii="宋体" w:hAnsi="宋体" w:cs="宋体" w:eastAsia="宋体" w:hint="default"/>
          <w:spacing w:val="-1"/>
        </w:rPr>
        <w:t>2017</w:t>
      </w:r>
      <w:r>
        <w:rPr>
          <w:rFonts w:ascii="宋体" w:hAnsi="宋体" w:cs="宋体" w:eastAsia="宋体" w:hint="default"/>
        </w:rPr>
        <w:t> </w:t>
      </w:r>
      <w:r>
        <w:rPr>
          <w:spacing w:val="-1"/>
        </w:rPr>
        <w:t>年国家电网公司在分布式能源全面接入，电动充电设施的全面安装，储能设备的投入等新型能源装置的接</w:t>
      </w:r>
      <w:r>
        <w:rPr/>
        <w:t> 入电网，电网的结构带来重大的变化，向主动及互动方向发展，给信息采集与处理形成了新的发展机遇。 </w:t>
      </w:r>
      <w:r>
        <w:rPr>
          <w:spacing w:val="3"/>
        </w:rPr>
        <w:t>公司将在传统产品及技术基础上跟踪国家电网技术及业务发展动态，积极参与新产品及新业务的试</w:t>
      </w:r>
      <w:r>
        <w:rPr/>
        <w:t> </w:t>
      </w:r>
      <w:r>
        <w:rPr>
          <w:spacing w:val="-1"/>
        </w:rPr>
        <w:t>点，在配电网的综合信息及状态采集与应用、新的通讯技术在信息采集方面的应用、配电网的能源区域管</w:t>
      </w:r>
      <w:r>
        <w:rPr/>
        <w:t> </w:t>
      </w:r>
      <w:r>
        <w:rPr>
          <w:spacing w:val="-1"/>
        </w:rPr>
        <w:t>理与互动等方面加强投入。公司将充分利用电力产业链优势，“以信息采集及处理为核心、工程施工为基</w:t>
      </w:r>
    </w:p>
    <w:p>
      <w:pPr>
        <w:pStyle w:val="BodyText"/>
        <w:spacing w:line="408" w:lineRule="auto"/>
        <w:ind w:left="1557" w:right="4142" w:hanging="424"/>
        <w:jc w:val="left"/>
      </w:pPr>
      <w:r>
        <w:rPr/>
        <w:t>础、产品供应为支撑、综合能源管理为价值”，</w:t>
      </w:r>
      <w:r>
        <w:rPr>
          <w:spacing w:val="-4"/>
        </w:rPr>
        <w:t> </w:t>
      </w:r>
      <w:r>
        <w:rPr/>
        <w:t>形成自己核心竞争力。</w:t>
      </w:r>
      <w:r>
        <w:rPr/>
        <w:t> </w:t>
      </w:r>
      <w:r>
        <w:rPr>
          <w:rFonts w:ascii="宋体" w:hAnsi="宋体" w:cs="宋体" w:eastAsia="宋体" w:hint="default"/>
        </w:rPr>
        <w:t>3</w:t>
      </w:r>
      <w:r>
        <w:rPr/>
        <w:t>、健康信息服务业务</w:t>
      </w:r>
    </w:p>
    <w:p>
      <w:pPr>
        <w:pStyle w:val="BodyText"/>
        <w:spacing w:line="408" w:lineRule="auto"/>
        <w:ind w:right="1131" w:firstLine="423"/>
        <w:jc w:val="both"/>
      </w:pPr>
      <w:r>
        <w:rPr>
          <w:spacing w:val="-1"/>
        </w:rPr>
        <w:t>控股子公司云商天下继续以江苏省转化医学研究院（南京医科大学转化医学研究院）医工融合平台为</w:t>
      </w:r>
      <w:r>
        <w:rPr/>
        <w:t> </w:t>
      </w:r>
      <w:r>
        <w:rPr>
          <w:spacing w:val="-1"/>
        </w:rPr>
        <w:t>抓手，深入推进医联体协同服务项目，逐步延伸到医联体集团成员医院，推进核心医院与基层医疗卫生机</w:t>
      </w:r>
      <w:r>
        <w:rPr>
          <w:spacing w:val="-83"/>
        </w:rPr>
        <w:t> </w:t>
      </w:r>
      <w:r>
        <w:rPr>
          <w:spacing w:val="-83"/>
        </w:rPr>
      </w:r>
      <w:r>
        <w:rPr/>
        <w:t>构、全科医生与专科医生的数据资源共享和业务协同，健全基于互联网</w:t>
      </w:r>
      <w:r>
        <w:rPr>
          <w:rFonts w:ascii="宋体" w:hAnsi="宋体" w:cs="宋体" w:eastAsia="宋体" w:hint="default"/>
        </w:rPr>
        <w:t>+</w:t>
      </w:r>
      <w:r>
        <w:rPr/>
        <w:t>的分级诊疗信息系统，延伸放大</w:t>
      </w:r>
      <w:r>
        <w:rPr>
          <w:spacing w:val="-27"/>
        </w:rPr>
        <w:t> </w:t>
      </w:r>
      <w:r>
        <w:rPr>
          <w:spacing w:val="-27"/>
        </w:rPr>
      </w:r>
      <w:r>
        <w:rPr>
          <w:spacing w:val="-1"/>
        </w:rPr>
        <w:t>医疗卫生机构服务能力，有针对性地促进“重心下移、资源下沉”。逐步建立起妇幼保健服务优质资源共</w:t>
      </w:r>
      <w:r>
        <w:rPr>
          <w:spacing w:val="-94"/>
        </w:rPr>
        <w:t> </w:t>
      </w:r>
      <w:r>
        <w:rPr>
          <w:spacing w:val="-94"/>
        </w:rPr>
      </w:r>
      <w:r>
        <w:rPr>
          <w:spacing w:val="-1"/>
        </w:rPr>
        <w:t>享的体系，创建“紧密型医联体”的模式。以区域家庭医生服务平台为基础，进行复制，小病在社区、大</w:t>
      </w:r>
      <w:r>
        <w:rPr>
          <w:spacing w:val="-85"/>
        </w:rPr>
        <w:t> </w:t>
      </w:r>
      <w:r>
        <w:rPr>
          <w:spacing w:val="-85"/>
        </w:rPr>
      </w:r>
      <w:r>
        <w:rPr/>
        <w:t>病在医院、康复再回社区。通过互联网</w:t>
      </w:r>
      <w:r>
        <w:rPr>
          <w:rFonts w:ascii="宋体" w:hAnsi="宋体" w:cs="宋体" w:eastAsia="宋体" w:hint="default"/>
        </w:rPr>
        <w:t>+</w:t>
      </w:r>
      <w:r>
        <w:rPr/>
        <w:t>整合上下级医院，整合医疗和医药，为跨区域多家社区卫生服务</w:t>
      </w:r>
      <w:r>
        <w:rPr>
          <w:spacing w:val="-30"/>
        </w:rPr>
        <w:t> </w:t>
      </w:r>
      <w:r>
        <w:rPr>
          <w:spacing w:val="-30"/>
        </w:rPr>
      </w:r>
      <w:r>
        <w:rPr/>
        <w:t>中心、二级医院、三甲医院提供医疗协作服务，提高基层诊疗水平，实现分级诊疗落地。</w:t>
      </w:r>
    </w:p>
    <w:p>
      <w:pPr>
        <w:pStyle w:val="Heading2"/>
        <w:spacing w:line="240" w:lineRule="auto" w:before="179"/>
        <w:ind w:left="1133" w:right="1121"/>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pStyle w:val="Heading4"/>
        <w:spacing w:line="240" w:lineRule="auto" w:before="177"/>
        <w:ind w:left="1133" w:right="1121"/>
        <w:jc w:val="left"/>
        <w:rPr>
          <w:b w:val="0"/>
          <w:bCs w:val="0"/>
        </w:rPr>
      </w:pPr>
      <w:bookmarkStart w:name="1、报告期内接待调研、沟通、采访等活动登记表" w:id="59"/>
      <w:bookmarkEnd w:id="59"/>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sz w:val="18"/>
          <w:szCs w:val="18"/>
        </w:rPr>
        <w:t>√ </w:t>
      </w:r>
      <w:r>
        <w:rPr/>
        <w:t>适用 □</w:t>
      </w:r>
      <w:r>
        <w:rPr>
          <w:spacing w:val="14"/>
        </w:rPr>
        <w:t> </w:t>
      </w:r>
      <w:r>
        <w:rPr/>
        <w:t>不适用</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2179"/>
        <w:gridCol w:w="2177"/>
        <w:gridCol w:w="2177"/>
        <w:gridCol w:w="3037"/>
      </w:tblGrid>
      <w:tr>
        <w:trPr>
          <w:trHeight w:val="490" w:hRule="exact"/>
        </w:trPr>
        <w:tc>
          <w:tcPr>
            <w:tcW w:w="21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right="719"/>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83" w:hRule="exact"/>
        </w:trPr>
        <w:tc>
          <w:tcPr>
            <w:tcW w:w="21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71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left="9" w:right="0"/>
              <w:jc w:val="center"/>
              <w:rPr>
                <w:rFonts w:ascii="宋体" w:hAnsi="宋体" w:cs="宋体" w:eastAsia="宋体" w:hint="default"/>
                <w:sz w:val="18"/>
                <w:szCs w:val="18"/>
              </w:rPr>
            </w:pPr>
            <w:hyperlink r:id="rId12">
              <w:r>
                <w:rPr>
                  <w:rFonts w:ascii="宋体"/>
                  <w:sz w:val="18"/>
                </w:rPr>
                <w:t>http://www.cninfo.com.cn</w:t>
              </w:r>
            </w:hyperlink>
          </w:p>
        </w:tc>
      </w:tr>
      <w:tr>
        <w:trPr>
          <w:trHeight w:val="491" w:hRule="exact"/>
        </w:trPr>
        <w:tc>
          <w:tcPr>
            <w:tcW w:w="21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719"/>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9"/>
              <w:ind w:left="9" w:right="0"/>
              <w:jc w:val="center"/>
              <w:rPr>
                <w:rFonts w:ascii="宋体" w:hAnsi="宋体" w:cs="宋体" w:eastAsia="宋体" w:hint="default"/>
                <w:sz w:val="18"/>
                <w:szCs w:val="18"/>
              </w:rPr>
            </w:pPr>
            <w:hyperlink r:id="rId12">
              <w:r>
                <w:rPr>
                  <w:rFonts w:ascii="宋体"/>
                  <w:sz w:val="18"/>
                </w:rPr>
                <w:t>http://www.cninfo.com.cn</w:t>
              </w:r>
            </w:hyperlink>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right="0"/>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both"/>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both"/>
      </w:pPr>
      <w:r>
        <w:rPr/>
        <w:t>报告期内普通股利润分配政策，特别是现金分红政策的制定、执行或调整情况</w:t>
      </w:r>
    </w:p>
    <w:p>
      <w:pPr>
        <w:spacing w:line="240" w:lineRule="auto" w:before="10"/>
        <w:rPr>
          <w:rFonts w:ascii="宋体" w:hAnsi="宋体" w:cs="宋体" w:eastAsia="宋体" w:hint="default"/>
          <w:sz w:val="14"/>
          <w:szCs w:val="14"/>
        </w:rPr>
      </w:pPr>
    </w:p>
    <w:p>
      <w:pPr>
        <w:pStyle w:val="BodyText"/>
        <w:spacing w:line="408" w:lineRule="auto" w:before="0"/>
        <w:ind w:left="1554" w:right="1121" w:hanging="420"/>
        <w:jc w:val="left"/>
      </w:pPr>
      <w:r>
        <w:rPr/>
        <w:t>√ 适用 □</w:t>
      </w:r>
      <w:r>
        <w:rPr>
          <w:spacing w:val="-1"/>
        </w:rPr>
        <w:t> </w:t>
      </w:r>
      <w:r>
        <w:rPr/>
        <w:t>不适用</w:t>
      </w:r>
      <w:r>
        <w:rPr/>
        <w:t> </w:t>
      </w:r>
      <w:r>
        <w:rPr>
          <w:spacing w:val="-1"/>
        </w:rPr>
        <w:t>报告期内，公司利润分配政策未发生制定、调整情况。公司严格按照《公司章程》中相关利润分配政</w:t>
      </w:r>
    </w:p>
    <w:p>
      <w:pPr>
        <w:pStyle w:val="BodyText"/>
        <w:spacing w:line="408" w:lineRule="auto"/>
        <w:ind w:left="1134" w:right="1131"/>
        <w:jc w:val="both"/>
      </w:pPr>
      <w:r>
        <w:rPr>
          <w:spacing w:val="-1"/>
        </w:rPr>
        <w:t>策和审议程序执行利润分配方案，分红标准和分红比例明确清晰，相关的决策程序和机制完备；相关议案</w:t>
      </w:r>
      <w:r>
        <w:rPr>
          <w:spacing w:val="-83"/>
        </w:rPr>
        <w:t> </w:t>
      </w:r>
      <w:r>
        <w:rPr>
          <w:spacing w:val="-83"/>
        </w:rPr>
      </w:r>
      <w:r>
        <w:rPr>
          <w:spacing w:val="-1"/>
        </w:rPr>
        <w:t>经由公司董事会、监事会审议后提交股东大会审议，公司独立董事发表了独立意见；并在分配方案审议通</w:t>
      </w:r>
      <w:r>
        <w:rPr>
          <w:spacing w:val="-83"/>
        </w:rPr>
        <w:t> </w:t>
      </w:r>
      <w:r>
        <w:rPr>
          <w:spacing w:val="-83"/>
        </w:rPr>
      </w:r>
      <w:r>
        <w:rPr/>
        <w:t>过后的</w:t>
      </w:r>
      <w:r>
        <w:rPr>
          <w:rFonts w:ascii="宋体" w:hAnsi="宋体" w:cs="宋体" w:eastAsia="宋体" w:hint="default"/>
        </w:rPr>
        <w:t>2</w:t>
      </w:r>
      <w:r>
        <w:rPr/>
        <w:t>个月内进行了权益分派，保证了全体股东的利益。</w:t>
      </w:r>
    </w:p>
    <w:p>
      <w:pPr>
        <w:pStyle w:val="BodyText"/>
        <w:spacing w:line="408" w:lineRule="auto"/>
        <w:ind w:left="1134" w:right="1131" w:firstLine="420"/>
        <w:jc w:val="both"/>
      </w:pP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4</w:t>
      </w:r>
      <w:r>
        <w:rPr>
          <w:spacing w:val="-1"/>
        </w:rPr>
        <w:t>日，公司</w:t>
      </w:r>
      <w:r>
        <w:rPr>
          <w:rFonts w:ascii="宋体" w:hAnsi="宋体" w:cs="宋体" w:eastAsia="宋体" w:hint="default"/>
          <w:spacing w:val="-1"/>
        </w:rPr>
        <w:t>2016</w:t>
      </w:r>
      <w:r>
        <w:rPr>
          <w:spacing w:val="-1"/>
        </w:rPr>
        <w:t>年度股东大会审议批准了《关于</w:t>
      </w:r>
      <w:r>
        <w:rPr>
          <w:rFonts w:ascii="宋体" w:hAnsi="宋体" w:cs="宋体" w:eastAsia="宋体" w:hint="default"/>
          <w:spacing w:val="-1"/>
        </w:rPr>
        <w:t>2016</w:t>
      </w:r>
      <w:r>
        <w:rPr>
          <w:spacing w:val="-1"/>
        </w:rPr>
        <w:t>年度利润分配及资本公积金转增股本的</w:t>
      </w:r>
      <w:r>
        <w:rPr/>
        <w:t> 议案》，以公司总股本</w:t>
      </w:r>
      <w:r>
        <w:rPr>
          <w:rFonts w:ascii="宋体" w:hAnsi="宋体" w:cs="宋体" w:eastAsia="宋体" w:hint="default"/>
        </w:rPr>
        <w:t>166,121,848</w:t>
      </w:r>
      <w:r>
        <w:rPr/>
        <w:t>股为基数，向全体股东每</w:t>
      </w:r>
      <w:r>
        <w:rPr>
          <w:rFonts w:ascii="宋体" w:hAnsi="宋体" w:cs="宋体" w:eastAsia="宋体" w:hint="default"/>
        </w:rPr>
        <w:t>10</w:t>
      </w:r>
      <w:r>
        <w:rPr/>
        <w:t>股派发现金红利</w:t>
      </w:r>
      <w:r>
        <w:rPr>
          <w:rFonts w:ascii="宋体" w:hAnsi="宋体" w:cs="宋体" w:eastAsia="宋体" w:hint="default"/>
        </w:rPr>
        <w:t>0.30</w:t>
      </w:r>
      <w:r>
        <w:rPr/>
        <w:t>元（含税）；同时以</w:t>
      </w:r>
      <w:r>
        <w:rPr>
          <w:spacing w:val="-29"/>
        </w:rPr>
        <w:t> </w:t>
      </w:r>
      <w:r>
        <w:rPr>
          <w:spacing w:val="-29"/>
        </w:rPr>
      </w:r>
      <w:r>
        <w:rPr/>
        <w:t>资本公积金转增股本，向全体股东每</w:t>
      </w:r>
      <w:r>
        <w:rPr>
          <w:rFonts w:ascii="宋体" w:hAnsi="宋体" w:cs="宋体" w:eastAsia="宋体" w:hint="default"/>
        </w:rPr>
        <w:t>10</w:t>
      </w:r>
      <w:r>
        <w:rPr/>
        <w:t>股转增</w:t>
      </w:r>
      <w:r>
        <w:rPr>
          <w:rFonts w:ascii="宋体" w:hAnsi="宋体" w:cs="宋体" w:eastAsia="宋体" w:hint="default"/>
        </w:rPr>
        <w:t>15</w:t>
      </w:r>
      <w:r>
        <w:rPr/>
        <w:t>股。上述权益分派方案于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17</w:t>
      </w:r>
      <w:r>
        <w:rPr/>
        <w:t>日实施完毕。</w:t>
      </w:r>
    </w:p>
    <w:tbl>
      <w:tblPr>
        <w:tblW w:w="0" w:type="auto"/>
        <w:jc w:val="left"/>
        <w:tblInd w:w="1118" w:type="dxa"/>
        <w:tblLayout w:type="fixed"/>
        <w:tblCellMar>
          <w:top w:w="0" w:type="dxa"/>
          <w:left w:w="0" w:type="dxa"/>
          <w:bottom w:w="0" w:type="dxa"/>
          <w:right w:w="0" w:type="dxa"/>
        </w:tblCellMar>
        <w:tblLook w:val="01E0"/>
      </w:tblPr>
      <w:tblGrid>
        <w:gridCol w:w="6381"/>
        <w:gridCol w:w="3188"/>
      </w:tblGrid>
      <w:tr>
        <w:trPr>
          <w:trHeight w:val="440" w:hRule="exact"/>
        </w:trPr>
        <w:tc>
          <w:tcPr>
            <w:tcW w:w="9569"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92" w:hRule="exact"/>
        </w:trPr>
        <w:tc>
          <w:tcPr>
            <w:tcW w:w="63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5"/>
              <w:ind w:left="1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18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63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7"/>
              <w:ind w:left="1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18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63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6"/>
              <w:ind w:left="1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18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63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6"/>
              <w:ind w:left="1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18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638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7"/>
              <w:ind w:left="13"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18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8" w:hRule="exact"/>
        </w:trPr>
        <w:tc>
          <w:tcPr>
            <w:tcW w:w="638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6"/>
              <w:ind w:left="13"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188"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3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7"/>
        <w:ind w:left="1134" w:right="1121"/>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4"/>
          <w:szCs w:val="14"/>
        </w:rPr>
      </w:pPr>
    </w:p>
    <w:p>
      <w:pPr>
        <w:pStyle w:val="BodyText"/>
        <w:spacing w:line="408" w:lineRule="auto" w:before="0"/>
        <w:ind w:right="3193"/>
        <w:jc w:val="left"/>
      </w:pPr>
      <w:r>
        <w:rPr/>
        <w:t>√ 是 □ 否 □</w:t>
      </w:r>
      <w:r>
        <w:rPr>
          <w:spacing w:val="-1"/>
        </w:rPr>
        <w:t> </w:t>
      </w:r>
      <w:r>
        <w:rPr/>
        <w:t>不适用</w:t>
      </w:r>
      <w:r>
        <w:rPr/>
        <w:t> 公司报告期利润分配预案及资本公积金转增股本预案符合公司章程等的相关规定。 本年度利润分配及资本公积金转增股本预案</w:t>
      </w:r>
    </w:p>
    <w:p>
      <w:pPr>
        <w:spacing w:before="71"/>
        <w:ind w:left="0" w:right="1458"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3719"/>
        <w:gridCol w:w="5850"/>
      </w:tblGrid>
      <w:tr>
        <w:trPr>
          <w:trHeight w:val="399" w:hRule="exact"/>
        </w:trPr>
        <w:tc>
          <w:tcPr>
            <w:tcW w:w="3719" w:type="dxa"/>
            <w:tcBorders>
              <w:top w:val="single" w:sz="12" w:space="0" w:color="000000"/>
              <w:left w:val="single" w:sz="12" w:space="0" w:color="000000"/>
              <w:bottom w:val="single" w:sz="23" w:space="0" w:color="FFFFFF"/>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0" w:type="dxa"/>
            <w:tcBorders>
              <w:top w:val="single" w:sz="12" w:space="0" w:color="000000"/>
              <w:left w:val="single" w:sz="6" w:space="0" w:color="000000"/>
              <w:bottom w:val="single" w:sz="23" w:space="0" w:color="FFFFFF"/>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w:t>
            </w:r>
          </w:p>
        </w:tc>
      </w:tr>
      <w:tr>
        <w:trPr>
          <w:trHeight w:val="412" w:hRule="exact"/>
        </w:trPr>
        <w:tc>
          <w:tcPr>
            <w:tcW w:w="3719" w:type="dxa"/>
            <w:tcBorders>
              <w:top w:val="single" w:sz="23" w:space="0" w:color="FFFFFF"/>
              <w:left w:val="single" w:sz="12" w:space="0" w:color="000000"/>
              <w:bottom w:val="single" w:sz="23" w:space="0" w:color="FFFFFF"/>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股派息数（含税）</w:t>
            </w:r>
          </w:p>
        </w:tc>
        <w:tc>
          <w:tcPr>
            <w:tcW w:w="5850" w:type="dxa"/>
            <w:tcBorders>
              <w:top w:val="single" w:sz="23" w:space="0" w:color="FFFFFF"/>
              <w:left w:val="single" w:sz="6" w:space="0" w:color="000000"/>
              <w:bottom w:val="single" w:sz="23" w:space="0" w:color="FFFFFF"/>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12" w:hRule="exact"/>
        </w:trPr>
        <w:tc>
          <w:tcPr>
            <w:tcW w:w="3719" w:type="dxa"/>
            <w:tcBorders>
              <w:top w:val="single" w:sz="23" w:space="0" w:color="FFFFFF"/>
              <w:left w:val="single" w:sz="12" w:space="0" w:color="000000"/>
              <w:bottom w:val="single" w:sz="23" w:space="0" w:color="FFFFFF"/>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0" w:type="dxa"/>
            <w:tcBorders>
              <w:top w:val="single" w:sz="23" w:space="0" w:color="FFFFFF"/>
              <w:left w:val="single" w:sz="6" w:space="0" w:color="000000"/>
              <w:bottom w:val="single" w:sz="23" w:space="0" w:color="FFFFFF"/>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w:t>
            </w:r>
          </w:p>
        </w:tc>
      </w:tr>
      <w:tr>
        <w:trPr>
          <w:trHeight w:val="413" w:hRule="exact"/>
        </w:trPr>
        <w:tc>
          <w:tcPr>
            <w:tcW w:w="3719" w:type="dxa"/>
            <w:tcBorders>
              <w:top w:val="single" w:sz="23" w:space="0" w:color="FFFFFF"/>
              <w:left w:val="single" w:sz="12" w:space="0" w:color="000000"/>
              <w:bottom w:val="single" w:sz="23" w:space="0" w:color="FFFFFF"/>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23" w:space="0" w:color="FFFFFF"/>
              <w:left w:val="single" w:sz="6" w:space="0" w:color="000000"/>
              <w:bottom w:val="single" w:sz="23" w:space="0" w:color="FFFFFF"/>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414,849,620</w:t>
            </w:r>
          </w:p>
        </w:tc>
      </w:tr>
      <w:tr>
        <w:trPr>
          <w:trHeight w:val="441" w:hRule="exact"/>
        </w:trPr>
        <w:tc>
          <w:tcPr>
            <w:tcW w:w="3719" w:type="dxa"/>
            <w:tcBorders>
              <w:top w:val="single" w:sz="23"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现金分红总额（含税）</w:t>
            </w:r>
          </w:p>
        </w:tc>
        <w:tc>
          <w:tcPr>
            <w:tcW w:w="5850" w:type="dxa"/>
            <w:tcBorders>
              <w:top w:val="single" w:sz="23" w:space="0" w:color="FFFFFF"/>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719"/>
        <w:gridCol w:w="5850"/>
      </w:tblGrid>
      <w:tr>
        <w:trPr>
          <w:trHeight w:val="419" w:hRule="exact"/>
        </w:trPr>
        <w:tc>
          <w:tcPr>
            <w:tcW w:w="37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可分配利润</w:t>
            </w:r>
          </w:p>
        </w:tc>
        <w:tc>
          <w:tcPr>
            <w:tcW w:w="5850"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-116,859,807.86</w:t>
            </w:r>
          </w:p>
        </w:tc>
      </w:tr>
      <w:tr>
        <w:trPr>
          <w:trHeight w:val="412" w:hRule="exact"/>
        </w:trPr>
        <w:tc>
          <w:tcPr>
            <w:tcW w:w="37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0.00%</w:t>
            </w:r>
          </w:p>
        </w:tc>
      </w:tr>
      <w:tr>
        <w:trPr>
          <w:trHeight w:val="412"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12" w:hRule="exact"/>
        </w:trPr>
        <w:tc>
          <w:tcPr>
            <w:tcW w:w="9569"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12"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287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895" w:hRule="exact"/>
        </w:trPr>
        <w:tc>
          <w:tcPr>
            <w:tcW w:w="9569"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316" w:lineRule="auto" w:before="11"/>
              <w:ind w:left="13" w:right="9" w:firstLine="360"/>
              <w:jc w:val="left"/>
              <w:rPr>
                <w:rFonts w:ascii="宋体" w:hAnsi="宋体" w:cs="宋体" w:eastAsia="宋体" w:hint="default"/>
                <w:sz w:val="18"/>
                <w:szCs w:val="18"/>
              </w:rPr>
            </w:pPr>
            <w:r>
              <w:rPr>
                <w:rFonts w:ascii="宋体" w:hAnsi="宋体" w:cs="宋体" w:eastAsia="宋体" w:hint="default"/>
                <w:sz w:val="18"/>
                <w:szCs w:val="18"/>
              </w:rPr>
              <w:t>经众华会计师事务所（特殊普通合伙）审计，公司</w:t>
            </w:r>
            <w:r>
              <w:rPr>
                <w:rFonts w:ascii="宋体" w:hAnsi="宋体" w:cs="宋体" w:eastAsia="宋体" w:hint="default"/>
                <w:sz w:val="18"/>
                <w:szCs w:val="18"/>
              </w:rPr>
              <w:t>2017</w:t>
            </w:r>
            <w:r>
              <w:rPr>
                <w:rFonts w:ascii="宋体" w:hAnsi="宋体" w:cs="宋体" w:eastAsia="宋体" w:hint="default"/>
                <w:sz w:val="18"/>
                <w:szCs w:val="18"/>
              </w:rPr>
              <w:t>年度归属于上市公司股东的净利润</w:t>
            </w:r>
            <w:r>
              <w:rPr>
                <w:rFonts w:ascii="宋体" w:hAnsi="宋体" w:cs="宋体" w:eastAsia="宋体" w:hint="default"/>
                <w:sz w:val="18"/>
                <w:szCs w:val="18"/>
              </w:rPr>
              <w:t>-392,404,175.23</w:t>
            </w:r>
            <w:r>
              <w:rPr>
                <w:rFonts w:ascii="宋体" w:hAnsi="宋体" w:cs="宋体" w:eastAsia="宋体" w:hint="default"/>
                <w:sz w:val="18"/>
                <w:szCs w:val="18"/>
              </w:rPr>
              <w:t>元；母公 </w:t>
            </w:r>
            <w:r>
              <w:rPr>
                <w:rFonts w:ascii="宋体" w:hAnsi="宋体" w:cs="宋体" w:eastAsia="宋体" w:hint="default"/>
                <w:spacing w:val="-2"/>
                <w:sz w:val="18"/>
                <w:szCs w:val="18"/>
              </w:rPr>
              <w:t>司实现净利润</w:t>
            </w:r>
            <w:r>
              <w:rPr>
                <w:rFonts w:ascii="宋体" w:hAnsi="宋体" w:cs="宋体" w:eastAsia="宋体" w:hint="default"/>
                <w:spacing w:val="-2"/>
                <w:sz w:val="18"/>
                <w:szCs w:val="18"/>
              </w:rPr>
              <w:t>-265,266,346.40</w:t>
            </w:r>
            <w:r>
              <w:rPr>
                <w:rFonts w:ascii="宋体" w:hAnsi="宋体" w:cs="宋体" w:eastAsia="宋体" w:hint="default"/>
                <w:spacing w:val="-2"/>
                <w:sz w:val="18"/>
                <w:szCs w:val="18"/>
              </w:rPr>
              <w:t>元，期初未分配利润</w:t>
            </w:r>
            <w:r>
              <w:rPr>
                <w:rFonts w:ascii="宋体" w:hAnsi="宋体" w:cs="宋体" w:eastAsia="宋体" w:hint="default"/>
                <w:spacing w:val="-2"/>
                <w:sz w:val="18"/>
                <w:szCs w:val="18"/>
              </w:rPr>
              <w:t>280,439,222.81</w:t>
            </w:r>
            <w:r>
              <w:rPr>
                <w:rFonts w:ascii="宋体" w:hAnsi="宋体" w:cs="宋体" w:eastAsia="宋体" w:hint="default"/>
                <w:spacing w:val="-2"/>
                <w:sz w:val="18"/>
                <w:szCs w:val="18"/>
              </w:rPr>
              <w:t>元，减去</w:t>
            </w:r>
            <w:r>
              <w:rPr>
                <w:rFonts w:ascii="宋体" w:hAnsi="宋体" w:cs="宋体" w:eastAsia="宋体" w:hint="default"/>
                <w:spacing w:val="-2"/>
                <w:sz w:val="18"/>
                <w:szCs w:val="18"/>
              </w:rPr>
              <w:t>2016</w:t>
            </w:r>
            <w:r>
              <w:rPr>
                <w:rFonts w:ascii="宋体" w:hAnsi="宋体" w:cs="宋体" w:eastAsia="宋体" w:hint="default"/>
                <w:spacing w:val="-2"/>
                <w:sz w:val="18"/>
                <w:szCs w:val="18"/>
              </w:rPr>
              <w:t>年度现金分红</w:t>
            </w:r>
            <w:r>
              <w:rPr>
                <w:rFonts w:ascii="宋体" w:hAnsi="宋体" w:cs="宋体" w:eastAsia="宋体" w:hint="default"/>
                <w:spacing w:val="-2"/>
                <w:sz w:val="18"/>
                <w:szCs w:val="18"/>
              </w:rPr>
              <w:t>4,894,855.44</w:t>
            </w:r>
            <w:r>
              <w:rPr>
                <w:rFonts w:ascii="宋体" w:hAnsi="宋体" w:cs="宋体" w:eastAsia="宋体" w:hint="default"/>
                <w:spacing w:val="-2"/>
                <w:sz w:val="18"/>
                <w:szCs w:val="18"/>
              </w:rPr>
              <w:t>元，截至</w:t>
            </w:r>
            <w:r>
              <w:rPr>
                <w:rFonts w:ascii="宋体" w:hAnsi="宋体" w:cs="宋体" w:eastAsia="宋体" w:hint="default"/>
                <w:spacing w:val="-2"/>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日可供公司股东分配的利润</w:t>
            </w:r>
            <w:r>
              <w:rPr>
                <w:rFonts w:ascii="宋体" w:hAnsi="宋体" w:cs="宋体" w:eastAsia="宋体" w:hint="default"/>
                <w:sz w:val="18"/>
                <w:szCs w:val="18"/>
              </w:rPr>
              <w:t>-116,859,807.86</w:t>
            </w:r>
            <w:r>
              <w:rPr>
                <w:rFonts w:ascii="宋体" w:hAnsi="宋体" w:cs="宋体" w:eastAsia="宋体" w:hint="default"/>
                <w:sz w:val="18"/>
                <w:szCs w:val="18"/>
              </w:rPr>
              <w:t>元，公司资本公积金余额</w:t>
            </w:r>
            <w:r>
              <w:rPr>
                <w:rFonts w:ascii="宋体" w:hAnsi="宋体" w:cs="宋体" w:eastAsia="宋体" w:hint="default"/>
                <w:sz w:val="18"/>
                <w:szCs w:val="18"/>
              </w:rPr>
              <w:t>769,199,153.53</w:t>
            </w:r>
            <w:r>
              <w:rPr>
                <w:rFonts w:ascii="宋体" w:hAnsi="宋体" w:cs="宋体" w:eastAsia="宋体" w:hint="default"/>
                <w:sz w:val="18"/>
                <w:szCs w:val="18"/>
              </w:rPr>
              <w:t>元。 </w:t>
            </w:r>
            <w:r>
              <w:rPr>
                <w:rFonts w:ascii="宋体" w:hAnsi="宋体" w:cs="宋体" w:eastAsia="宋体" w:hint="default"/>
                <w:spacing w:val="-1"/>
                <w:sz w:val="18"/>
                <w:szCs w:val="18"/>
              </w:rPr>
              <w:t>根据《公司法》、《公司章程》的有关规定，为增强公司抵御风险的能力，实现公司持续、稳定、健康发展，更好地维护</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全体股东的长远利益，从公司实际出发，公司董事会提议</w:t>
            </w:r>
            <w:r>
              <w:rPr>
                <w:rFonts w:ascii="宋体" w:hAnsi="宋体" w:cs="宋体" w:eastAsia="宋体" w:hint="default"/>
                <w:spacing w:val="-1"/>
                <w:sz w:val="18"/>
                <w:szCs w:val="18"/>
              </w:rPr>
              <w:t>2017</w:t>
            </w:r>
            <w:r>
              <w:rPr>
                <w:rFonts w:ascii="宋体" w:hAnsi="宋体" w:cs="宋体" w:eastAsia="宋体" w:hint="default"/>
                <w:spacing w:val="-1"/>
                <w:sz w:val="18"/>
                <w:szCs w:val="18"/>
              </w:rPr>
              <w:t>年度不进行利润分配，也不进行资本公积金转增股本，公司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未分配利润用于补充公司流动资金。</w:t>
            </w:r>
          </w:p>
        </w:tc>
      </w:tr>
    </w:tbl>
    <w:p>
      <w:pPr>
        <w:spacing w:line="240" w:lineRule="auto" w:before="1"/>
        <w:rPr>
          <w:rFonts w:ascii="宋体" w:hAnsi="宋体" w:cs="宋体" w:eastAsia="宋体" w:hint="default"/>
          <w:sz w:val="14"/>
          <w:szCs w:val="14"/>
        </w:rPr>
      </w:pPr>
    </w:p>
    <w:p>
      <w:pPr>
        <w:pStyle w:val="BodyText"/>
        <w:spacing w:line="240" w:lineRule="auto" w:before="35"/>
        <w:ind w:left="0" w:right="1425"/>
        <w:jc w:val="right"/>
      </w:pPr>
      <w:r>
        <w:rPr/>
        <w:t>公司近</w:t>
      </w:r>
      <w:r>
        <w:rPr>
          <w:spacing w:val="-52"/>
        </w:rPr>
        <w:t> </w:t>
      </w:r>
      <w:r>
        <w:rPr>
          <w:rFonts w:ascii="宋体" w:hAnsi="宋体" w:cs="宋体" w:eastAsia="宋体" w:hint="default"/>
        </w:rPr>
        <w:t>3</w:t>
      </w:r>
      <w:r>
        <w:rPr>
          <w:rFonts w:ascii="宋体" w:hAnsi="宋体" w:cs="宋体" w:eastAsia="宋体" w:hint="default"/>
          <w:spacing w:val="-52"/>
        </w:rPr>
        <w:t> </w:t>
      </w:r>
      <w:r>
        <w:rPr>
          <w:spacing w:val="-2"/>
        </w:rPr>
        <w:t>年</w:t>
      </w:r>
      <w:r>
        <w:rPr/>
        <w:t>（包括本报告期）的普通股股利分配方案（预案</w:t>
      </w:r>
      <w:r>
        <w:rPr>
          <w:spacing w:val="-105"/>
        </w:rPr>
        <w:t>）</w:t>
      </w:r>
      <w:r>
        <w:rPr/>
        <w:t>、资本</w:t>
      </w:r>
      <w:r>
        <w:rPr>
          <w:spacing w:val="-2"/>
        </w:rPr>
        <w:t>公</w:t>
      </w:r>
      <w:r>
        <w:rPr/>
        <w:t>积金转增股本方案（预案）情况</w:t>
      </w:r>
    </w:p>
    <w:p>
      <w:pPr>
        <w:spacing w:line="240" w:lineRule="auto" w:before="10"/>
        <w:rPr>
          <w:rFonts w:ascii="宋体" w:hAnsi="宋体" w:cs="宋体" w:eastAsia="宋体" w:hint="default"/>
          <w:sz w:val="14"/>
          <w:szCs w:val="14"/>
        </w:rPr>
      </w:pPr>
    </w:p>
    <w:p>
      <w:pPr>
        <w:pStyle w:val="BodyText"/>
        <w:spacing w:line="408" w:lineRule="auto" w:before="0"/>
        <w:ind w:left="1134" w:right="1131" w:firstLine="420"/>
        <w:jc w:val="both"/>
      </w:pPr>
      <w:r>
        <w:rPr>
          <w:spacing w:val="-1"/>
        </w:rPr>
        <w:t>①</w:t>
      </w:r>
      <w:r>
        <w:rPr>
          <w:rFonts w:ascii="宋体" w:hAnsi="宋体" w:cs="宋体" w:eastAsia="宋体" w:hint="default"/>
          <w:spacing w:val="-1"/>
        </w:rPr>
        <w:t>2017</w:t>
      </w:r>
      <w:r>
        <w:rPr>
          <w:spacing w:val="-1"/>
        </w:rPr>
        <w:t>年度利润分配预案：</w:t>
      </w:r>
      <w:r>
        <w:rPr>
          <w:rFonts w:ascii="宋体" w:hAnsi="宋体" w:cs="宋体" w:eastAsia="宋体" w:hint="default"/>
          <w:spacing w:val="-1"/>
        </w:rPr>
        <w:t>2017</w:t>
      </w:r>
      <w:r>
        <w:rPr>
          <w:spacing w:val="-1"/>
        </w:rPr>
        <w:t>年度不进行利润分配，也不进行资本公积金转增股本，公司未分配利</w:t>
      </w:r>
      <w:r>
        <w:rPr/>
        <w:t> 润用于补充公司流动资金。</w:t>
      </w:r>
    </w:p>
    <w:p>
      <w:pPr>
        <w:pStyle w:val="BodyText"/>
        <w:spacing w:line="408" w:lineRule="auto"/>
        <w:ind w:right="1129" w:firstLine="420"/>
        <w:jc w:val="both"/>
      </w:pPr>
      <w:r>
        <w:rPr/>
        <w:t>②</w:t>
      </w:r>
      <w:r>
        <w:rPr>
          <w:rFonts w:ascii="宋体" w:hAnsi="宋体" w:cs="宋体" w:eastAsia="宋体" w:hint="default"/>
        </w:rPr>
        <w:t>2016</w:t>
      </w:r>
      <w:r>
        <w:rPr/>
        <w:t>年度利润分配及资本公积金转增股本方案：以总股本</w:t>
      </w:r>
      <w:r>
        <w:rPr>
          <w:rFonts w:ascii="宋体" w:hAnsi="宋体" w:cs="宋体" w:eastAsia="宋体" w:hint="default"/>
        </w:rPr>
        <w:t>166,121,848</w:t>
      </w:r>
      <w:r>
        <w:rPr/>
        <w:t>股为基数，向全体股东每</w:t>
      </w:r>
      <w:r>
        <w:rPr>
          <w:rFonts w:ascii="宋体" w:hAnsi="宋体" w:cs="宋体" w:eastAsia="宋体" w:hint="default"/>
        </w:rPr>
        <w:t>10</w:t>
      </w:r>
      <w:r>
        <w:rPr>
          <w:rFonts w:ascii="宋体" w:hAnsi="宋体" w:cs="宋体" w:eastAsia="宋体" w:hint="default"/>
          <w:spacing w:val="1"/>
        </w:rPr>
        <w:t> </w:t>
      </w:r>
      <w:r>
        <w:rPr>
          <w:spacing w:val="-1"/>
        </w:rPr>
        <w:t>股派发现金红利</w:t>
      </w:r>
      <w:r>
        <w:rPr>
          <w:rFonts w:ascii="宋体" w:hAnsi="宋体" w:cs="宋体" w:eastAsia="宋体" w:hint="default"/>
          <w:spacing w:val="-1"/>
        </w:rPr>
        <w:t>0.30</w:t>
      </w:r>
      <w:r>
        <w:rPr>
          <w:spacing w:val="-1"/>
        </w:rPr>
        <w:t>元（含税），共计派发现金红利</w:t>
      </w:r>
      <w:r>
        <w:rPr>
          <w:rFonts w:ascii="宋体" w:hAnsi="宋体" w:cs="宋体" w:eastAsia="宋体" w:hint="default"/>
          <w:spacing w:val="-1"/>
        </w:rPr>
        <w:t>4,983,655.44</w:t>
      </w:r>
      <w:r>
        <w:rPr>
          <w:spacing w:val="-1"/>
        </w:rPr>
        <w:t>元（含税）；同时以资本公积金转增股</w:t>
      </w:r>
      <w:r>
        <w:rPr>
          <w:spacing w:val="-77"/>
        </w:rPr>
        <w:t> </w:t>
      </w:r>
      <w:r>
        <w:rPr>
          <w:spacing w:val="-77"/>
        </w:rPr>
      </w:r>
      <w:r>
        <w:rPr/>
        <w:t>本，向全体股东每</w:t>
      </w:r>
      <w:r>
        <w:rPr>
          <w:rFonts w:ascii="宋体" w:hAnsi="宋体" w:cs="宋体" w:eastAsia="宋体" w:hint="default"/>
        </w:rPr>
        <w:t>10</w:t>
      </w:r>
      <w:r>
        <w:rPr/>
        <w:t>股转增</w:t>
      </w:r>
      <w:r>
        <w:rPr>
          <w:rFonts w:ascii="宋体" w:hAnsi="宋体" w:cs="宋体" w:eastAsia="宋体" w:hint="default"/>
        </w:rPr>
        <w:t>15</w:t>
      </w:r>
      <w:r>
        <w:rPr/>
        <w:t>股，共计转增</w:t>
      </w:r>
      <w:r>
        <w:rPr>
          <w:rFonts w:ascii="宋体" w:hAnsi="宋体" w:cs="宋体" w:eastAsia="宋体" w:hint="default"/>
        </w:rPr>
        <w:t>249,182,772</w:t>
      </w:r>
      <w:r>
        <w:rPr/>
        <w:t>股。</w:t>
      </w:r>
    </w:p>
    <w:p>
      <w:pPr>
        <w:pStyle w:val="BodyText"/>
        <w:spacing w:line="408" w:lineRule="auto"/>
        <w:ind w:right="1132" w:firstLine="421"/>
        <w:jc w:val="both"/>
      </w:pPr>
      <w:r>
        <w:rPr>
          <w:spacing w:val="-3"/>
        </w:rPr>
        <w:t>③</w:t>
      </w:r>
      <w:r>
        <w:rPr>
          <w:rFonts w:ascii="宋体" w:hAnsi="宋体" w:cs="宋体" w:eastAsia="宋体" w:hint="default"/>
          <w:spacing w:val="-3"/>
        </w:rPr>
        <w:t>2015</w:t>
      </w:r>
      <w:r>
        <w:rPr>
          <w:spacing w:val="-3"/>
        </w:rPr>
        <w:t>年度利润分配方案：以公司总股本</w:t>
      </w:r>
      <w:r>
        <w:rPr>
          <w:rFonts w:ascii="宋体" w:hAnsi="宋体" w:cs="宋体" w:eastAsia="宋体" w:hint="default"/>
          <w:spacing w:val="-3"/>
        </w:rPr>
        <w:t>161,221,848</w:t>
      </w:r>
      <w:r>
        <w:rPr>
          <w:spacing w:val="-3"/>
        </w:rPr>
        <w:t>股为基数，向全体股东每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0.20</w:t>
      </w:r>
      <w:r>
        <w:rPr>
          <w:rFonts w:ascii="宋体" w:hAnsi="宋体" w:cs="宋体" w:eastAsia="宋体" w:hint="default"/>
        </w:rPr>
        <w:t> </w:t>
      </w:r>
      <w:r>
        <w:rPr/>
        <w:t>元（含税），共计派发现金红利</w:t>
      </w:r>
      <w:r>
        <w:rPr>
          <w:rFonts w:ascii="宋体" w:hAnsi="宋体" w:cs="宋体" w:eastAsia="宋体" w:hint="default"/>
        </w:rPr>
        <w:t>3,224,436.96</w:t>
      </w:r>
      <w:r>
        <w:rPr/>
        <w:t>元（含税）。</w:t>
      </w:r>
    </w:p>
    <w:p>
      <w:pPr>
        <w:spacing w:line="240" w:lineRule="auto" w:before="6"/>
        <w:rPr>
          <w:rFonts w:ascii="宋体" w:hAnsi="宋体" w:cs="宋体" w:eastAsia="宋体" w:hint="default"/>
          <w:sz w:val="15"/>
          <w:szCs w:val="15"/>
        </w:rPr>
      </w:pPr>
    </w:p>
    <w:p>
      <w:pPr>
        <w:pStyle w:val="BodyText"/>
        <w:spacing w:line="240" w:lineRule="auto" w:before="0"/>
        <w:ind w:left="1134" w:right="1121"/>
        <w:jc w:val="left"/>
      </w:pPr>
      <w:r>
        <w:rPr/>
        <w:t>公司近三年（包括本报告期）普通股现金分红情况表</w:t>
      </w:r>
    </w:p>
    <w:p>
      <w:pPr>
        <w:spacing w:before="140"/>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1597"/>
        <w:gridCol w:w="1381"/>
        <w:gridCol w:w="1808"/>
        <w:gridCol w:w="1879"/>
        <w:gridCol w:w="1559"/>
        <w:gridCol w:w="1343"/>
      </w:tblGrid>
      <w:tr>
        <w:trPr>
          <w:trHeight w:val="171" w:hRule="exact"/>
        </w:trPr>
        <w:tc>
          <w:tcPr>
            <w:tcW w:w="1597" w:type="dxa"/>
            <w:vMerge w:val="restart"/>
            <w:tcBorders>
              <w:top w:val="single" w:sz="12" w:space="0" w:color="000000"/>
              <w:left w:val="single" w:sz="12" w:space="0" w:color="000000"/>
              <w:right w:val="single" w:sz="6" w:space="0" w:color="000000"/>
            </w:tcBorders>
            <w:shd w:val="clear" w:color="auto" w:fill="D2D2D2"/>
          </w:tcPr>
          <w:p>
            <w:pPr/>
          </w:p>
        </w:tc>
        <w:tc>
          <w:tcPr>
            <w:tcW w:w="1381" w:type="dxa"/>
            <w:tcBorders>
              <w:top w:val="single" w:sz="12" w:space="0" w:color="000000"/>
              <w:left w:val="single" w:sz="6" w:space="0" w:color="000000"/>
              <w:bottom w:val="nil" w:sz="6" w:space="0" w:color="auto"/>
              <w:right w:val="single" w:sz="6" w:space="0" w:color="000000"/>
            </w:tcBorders>
            <w:shd w:val="clear" w:color="auto" w:fill="D2D2D2"/>
          </w:tcPr>
          <w:p>
            <w:pPr/>
          </w:p>
        </w:tc>
        <w:tc>
          <w:tcPr>
            <w:tcW w:w="1808"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10"/>
              <w:ind w:left="85" w:right="87"/>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79"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10"/>
              <w:ind w:left="31" w:right="31"/>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559" w:type="dxa"/>
            <w:tcBorders>
              <w:top w:val="single" w:sz="12" w:space="0" w:color="000000"/>
              <w:left w:val="single" w:sz="6" w:space="0" w:color="000000"/>
              <w:bottom w:val="nil" w:sz="6" w:space="0" w:color="auto"/>
              <w:right w:val="single" w:sz="6" w:space="0" w:color="000000"/>
            </w:tcBorders>
            <w:shd w:val="clear" w:color="auto" w:fill="D2D2D2"/>
          </w:tcPr>
          <w:p>
            <w:pPr/>
          </w:p>
        </w:tc>
        <w:tc>
          <w:tcPr>
            <w:tcW w:w="1343"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56" w:hRule="exact"/>
        </w:trPr>
        <w:tc>
          <w:tcPr>
            <w:tcW w:w="1597" w:type="dxa"/>
            <w:vMerge/>
            <w:tcBorders>
              <w:left w:val="single" w:sz="12" w:space="0" w:color="000000"/>
              <w:bottom w:val="nil" w:sz="6" w:space="0" w:color="auto"/>
              <w:right w:val="single" w:sz="6" w:space="0" w:color="000000"/>
            </w:tcBorders>
            <w:shd w:val="clear" w:color="auto" w:fill="D2D2D2"/>
          </w:tcPr>
          <w:p>
            <w:pPr/>
          </w:p>
        </w:tc>
        <w:tc>
          <w:tcPr>
            <w:tcW w:w="13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808" w:type="dxa"/>
            <w:vMerge/>
            <w:tcBorders>
              <w:left w:val="single" w:sz="6" w:space="0" w:color="000000"/>
              <w:right w:val="single" w:sz="6" w:space="0" w:color="000000"/>
            </w:tcBorders>
            <w:shd w:val="clear" w:color="auto" w:fill="D2D2D2"/>
          </w:tcPr>
          <w:p>
            <w:pPr/>
          </w:p>
        </w:tc>
        <w:tc>
          <w:tcPr>
            <w:tcW w:w="1879" w:type="dxa"/>
            <w:vMerge/>
            <w:tcBorders>
              <w:left w:val="single" w:sz="6" w:space="0" w:color="000000"/>
              <w:right w:val="single" w:sz="6" w:space="0" w:color="000000"/>
            </w:tcBorders>
            <w:shd w:val="clear" w:color="auto" w:fill="D2D2D2"/>
          </w:tcPr>
          <w:p>
            <w:pPr/>
          </w:p>
        </w:tc>
        <w:tc>
          <w:tcPr>
            <w:tcW w:w="1559"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411" w:right="51"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343" w:type="dxa"/>
            <w:vMerge w:val="restart"/>
            <w:tcBorders>
              <w:top w:val="nil" w:sz="6" w:space="0" w:color="auto"/>
              <w:left w:val="single" w:sz="6" w:space="0" w:color="000000"/>
              <w:right w:val="single" w:sz="12" w:space="0" w:color="000000"/>
            </w:tcBorders>
            <w:shd w:val="clear" w:color="auto" w:fill="D2D2D2"/>
          </w:tcPr>
          <w:p>
            <w:pPr>
              <w:pStyle w:val="TableParagraph"/>
              <w:spacing w:line="316" w:lineRule="auto" w:before="10"/>
              <w:ind w:left="213" w:right="25"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12" w:hRule="exact"/>
        </w:trPr>
        <w:tc>
          <w:tcPr>
            <w:tcW w:w="1597"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81" w:type="dxa"/>
            <w:vMerge/>
            <w:tcBorders>
              <w:left w:val="single" w:sz="6" w:space="0" w:color="000000"/>
              <w:right w:val="single" w:sz="6" w:space="0" w:color="000000"/>
            </w:tcBorders>
            <w:shd w:val="clear" w:color="auto" w:fill="D2D2D2"/>
          </w:tcPr>
          <w:p>
            <w:pPr/>
          </w:p>
        </w:tc>
        <w:tc>
          <w:tcPr>
            <w:tcW w:w="1808" w:type="dxa"/>
            <w:vMerge/>
            <w:tcBorders>
              <w:left w:val="single" w:sz="6" w:space="0" w:color="000000"/>
              <w:right w:val="single" w:sz="6" w:space="0" w:color="000000"/>
            </w:tcBorders>
            <w:shd w:val="clear" w:color="auto" w:fill="D2D2D2"/>
          </w:tcPr>
          <w:p>
            <w:pPr/>
          </w:p>
        </w:tc>
        <w:tc>
          <w:tcPr>
            <w:tcW w:w="1879"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right w:val="single" w:sz="6" w:space="0" w:color="000000"/>
            </w:tcBorders>
            <w:shd w:val="clear" w:color="auto" w:fill="D2D2D2"/>
          </w:tcPr>
          <w:p>
            <w:pPr/>
          </w:p>
        </w:tc>
        <w:tc>
          <w:tcPr>
            <w:tcW w:w="1343" w:type="dxa"/>
            <w:vMerge/>
            <w:tcBorders>
              <w:left w:val="single" w:sz="6" w:space="0" w:color="000000"/>
              <w:right w:val="single" w:sz="12" w:space="0" w:color="000000"/>
            </w:tcBorders>
            <w:shd w:val="clear" w:color="auto" w:fill="D2D2D2"/>
          </w:tcPr>
          <w:p>
            <w:pPr/>
          </w:p>
        </w:tc>
      </w:tr>
      <w:tr>
        <w:trPr>
          <w:trHeight w:val="156" w:hRule="exact"/>
        </w:trPr>
        <w:tc>
          <w:tcPr>
            <w:tcW w:w="1597" w:type="dxa"/>
            <w:vMerge w:val="restart"/>
            <w:tcBorders>
              <w:top w:val="nil" w:sz="6" w:space="0" w:color="auto"/>
              <w:left w:val="single" w:sz="12" w:space="0" w:color="000000"/>
              <w:right w:val="single" w:sz="6" w:space="0" w:color="000000"/>
            </w:tcBorders>
            <w:shd w:val="clear" w:color="auto" w:fill="D2D2D2"/>
          </w:tcPr>
          <w:p>
            <w:pPr/>
          </w:p>
        </w:tc>
        <w:tc>
          <w:tcPr>
            <w:tcW w:w="1381" w:type="dxa"/>
            <w:vMerge/>
            <w:tcBorders>
              <w:left w:val="single" w:sz="6" w:space="0" w:color="000000"/>
              <w:bottom w:val="nil" w:sz="6" w:space="0" w:color="auto"/>
              <w:right w:val="single" w:sz="6" w:space="0" w:color="000000"/>
            </w:tcBorders>
            <w:shd w:val="clear" w:color="auto" w:fill="D2D2D2"/>
          </w:tcPr>
          <w:p>
            <w:pPr/>
          </w:p>
        </w:tc>
        <w:tc>
          <w:tcPr>
            <w:tcW w:w="1808" w:type="dxa"/>
            <w:vMerge/>
            <w:tcBorders>
              <w:left w:val="single" w:sz="6" w:space="0" w:color="000000"/>
              <w:right w:val="single" w:sz="6" w:space="0" w:color="000000"/>
            </w:tcBorders>
            <w:shd w:val="clear" w:color="auto" w:fill="D2D2D2"/>
          </w:tcPr>
          <w:p>
            <w:pPr/>
          </w:p>
        </w:tc>
        <w:tc>
          <w:tcPr>
            <w:tcW w:w="1879"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bottom w:val="nil" w:sz="6" w:space="0" w:color="auto"/>
              <w:right w:val="single" w:sz="6" w:space="0" w:color="000000"/>
            </w:tcBorders>
            <w:shd w:val="clear" w:color="auto" w:fill="D2D2D2"/>
          </w:tcPr>
          <w:p>
            <w:pPr/>
          </w:p>
        </w:tc>
        <w:tc>
          <w:tcPr>
            <w:tcW w:w="1343"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1597" w:type="dxa"/>
            <w:vMerge/>
            <w:tcBorders>
              <w:left w:val="single" w:sz="12" w:space="0" w:color="000000"/>
              <w:bottom w:val="single" w:sz="6" w:space="0" w:color="000000"/>
              <w:right w:val="single" w:sz="6" w:space="0" w:color="000000"/>
            </w:tcBorders>
            <w:shd w:val="clear" w:color="auto" w:fill="D2D2D2"/>
          </w:tcPr>
          <w:p>
            <w:pPr/>
          </w:p>
        </w:tc>
        <w:tc>
          <w:tcPr>
            <w:tcW w:w="1381"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8" w:type="dxa"/>
            <w:vMerge/>
            <w:tcBorders>
              <w:left w:val="single" w:sz="6" w:space="0" w:color="000000"/>
              <w:bottom w:val="single" w:sz="6" w:space="0" w:color="000000"/>
              <w:right w:val="single" w:sz="6" w:space="0" w:color="000000"/>
            </w:tcBorders>
            <w:shd w:val="clear" w:color="auto" w:fill="D2D2D2"/>
          </w:tcPr>
          <w:p>
            <w:pPr/>
          </w:p>
        </w:tc>
        <w:tc>
          <w:tcPr>
            <w:tcW w:w="1879" w:type="dxa"/>
            <w:vMerge/>
            <w:tcBorders>
              <w:left w:val="single" w:sz="6" w:space="0" w:color="000000"/>
              <w:bottom w:val="single" w:sz="6" w:space="0" w:color="000000"/>
              <w:right w:val="single" w:sz="6" w:space="0" w:color="000000"/>
            </w:tcBorders>
            <w:shd w:val="clear" w:color="auto" w:fill="D2D2D2"/>
          </w:tcPr>
          <w:p>
            <w:pPr/>
          </w:p>
        </w:tc>
        <w:tc>
          <w:tcPr>
            <w:tcW w:w="1559" w:type="dxa"/>
            <w:tcBorders>
              <w:top w:val="nil" w:sz="6" w:space="0" w:color="auto"/>
              <w:left w:val="single" w:sz="6" w:space="0" w:color="000000"/>
              <w:bottom w:val="single" w:sz="6" w:space="0" w:color="000000"/>
              <w:right w:val="single" w:sz="6" w:space="0" w:color="000000"/>
            </w:tcBorders>
            <w:shd w:val="clear" w:color="auto" w:fill="D2D2D2"/>
          </w:tcPr>
          <w:p>
            <w:pPr/>
          </w:p>
        </w:tc>
        <w:tc>
          <w:tcPr>
            <w:tcW w:w="1343"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-392,404,175.23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0.00</w:t>
            </w:r>
          </w:p>
        </w:tc>
        <w:tc>
          <w:tcPr>
            <w:tcW w:w="13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0.00%</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4,983,655.44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63,786,713.83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0.00</w:t>
            </w:r>
          </w:p>
        </w:tc>
        <w:tc>
          <w:tcPr>
            <w:tcW w:w="13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0.00%</w:t>
            </w:r>
          </w:p>
        </w:tc>
      </w:tr>
      <w:tr>
        <w:trPr>
          <w:trHeight w:val="421" w:hRule="exact"/>
        </w:trPr>
        <w:tc>
          <w:tcPr>
            <w:tcW w:w="159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3,224,436.96</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39,557,927.16</w:t>
            </w:r>
          </w:p>
        </w:tc>
        <w:tc>
          <w:tcPr>
            <w:tcW w:w="18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8.15%</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0.00</w:t>
            </w:r>
          </w:p>
        </w:tc>
        <w:tc>
          <w:tcPr>
            <w:tcW w:w="13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0.00%</w:t>
            </w:r>
          </w:p>
        </w:tc>
      </w:tr>
    </w:tbl>
    <w:p>
      <w:pPr>
        <w:pStyle w:val="BodyText"/>
        <w:spacing w:line="240" w:lineRule="auto" w:before="63"/>
        <w:ind w:left="1134" w:right="1121"/>
        <w:jc w:val="left"/>
      </w:pPr>
      <w:r>
        <w:rPr/>
        <w:t>公司报告期内盈利且母公司可供普通股股东分配利润为正但未提出普通股现金红利分配预案</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 适用 √</w:t>
      </w:r>
      <w:r>
        <w:rPr>
          <w:spacing w:val="-1"/>
        </w:rPr>
        <w:t> </w:t>
      </w:r>
      <w:r>
        <w:rPr/>
        <w:t>不适用</w:t>
      </w:r>
    </w:p>
    <w:p>
      <w:pPr>
        <w:pStyle w:val="Heading4"/>
        <w:spacing w:line="391" w:lineRule="auto" w:before="170"/>
        <w:ind w:left="1133" w:right="1121"/>
        <w:jc w:val="left"/>
        <w:rPr>
          <w:b w:val="0"/>
          <w:bCs w:val="0"/>
        </w:rPr>
      </w:pPr>
      <w:bookmarkStart w:name="二、承诺事项履行情况" w:id="63"/>
      <w:bookmarkEnd w:id="63"/>
      <w:r>
        <w:rPr>
          <w:b w:val="0"/>
          <w:bCs w:val="0"/>
        </w:rPr>
      </w:r>
      <w:r>
        <w:rPr>
          <w:sz w:val="24"/>
          <w:szCs w:val="24"/>
        </w:rPr>
        <w:t>二、承诺事项履行情况</w:t>
      </w:r>
      <w:r>
        <w:rPr>
          <w:w w:val="99"/>
          <w:sz w:val="24"/>
          <w:szCs w:val="24"/>
        </w:rPr>
        <w:t> </w:t>
      </w:r>
      <w:bookmarkStart w:name="1、公司实际控制人、股东、关联方、收购人以及公司等承诺相关方在报告期内履行完毕及" w:id="64"/>
      <w:bookmarkEnd w:id="64"/>
      <w:r>
        <w:rPr>
          <w:w w:val="99"/>
          <w:sz w:val="24"/>
          <w:szCs w:val="24"/>
        </w:rPr>
      </w:r>
      <w:r>
        <w:rPr>
          <w:rFonts w:ascii="宋体" w:hAnsi="宋体" w:cs="宋体" w:eastAsia="宋体" w:hint="default"/>
        </w:rPr>
        <w:t>1</w:t>
      </w:r>
      <w:r>
        <w:rPr/>
        <w:t>、公司实际控制人、股东、关联方、收购人以及公司等承诺相关方在报告期内履行完毕及截至报告期末</w:t>
      </w:r>
      <w:r>
        <w:rPr>
          <w:spacing w:val="-73"/>
        </w:rPr>
        <w:t> </w:t>
      </w:r>
      <w:r>
        <w:rPr>
          <w:spacing w:val="-73"/>
        </w:rPr>
      </w:r>
      <w:r>
        <w:rPr/>
        <w:t>尚未履行完毕的承诺事项</w:t>
      </w:r>
      <w:r>
        <w:rPr>
          <w:b w:val="0"/>
          <w:bCs w:val="0"/>
        </w:rPr>
      </w:r>
    </w:p>
    <w:p>
      <w:pPr>
        <w:pStyle w:val="BodyText"/>
        <w:spacing w:line="240" w:lineRule="auto" w:before="61"/>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56.036987pt;margin-top:129.779984pt;width:190.25pt;height:295.5pt;mso-position-horizontal-relative:page;mso-position-vertical-relative:page;z-index:-1095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本人今后如被光一科技选举为董事、</w:t>
                  </w:r>
                </w:p>
              </w:txbxContent>
            </v:textbox>
            <w10:wrap type="none"/>
          </v:shape>
        </w:pict>
      </w:r>
      <w:r>
        <w:rPr/>
        <w:pict>
          <v:group style="position:absolute;margin-left:397.299988pt;margin-top:129.779984pt;width:49pt;height:295.5pt;mso-position-horizontal-relative:page;mso-position-vertical-relative:page;z-index:-1095376" coordorigin="7946,2596" coordsize="980,5910">
            <v:shape style="position:absolute;left:7946;top:2596;width:980;height:5910" coordorigin="7946,2596" coordsize="980,5910" path="m7946,8505l8926,8505,8926,2596,7946,2596,7946,8505xe" filled="true" fillcolor="#ffffff" stroked="false">
              <v:path arrowok="t"/>
              <v:fill type="solid"/>
            </v:shape>
            <w10:wrap type="none"/>
          </v:group>
        </w:pict>
      </w:r>
      <w:r>
        <w:rPr/>
        <w:pict>
          <v:group style="position:absolute;margin-left:397.299988pt;margin-top:460.419983pt;width:49pt;height:295.5pt;mso-position-horizontal-relative:page;mso-position-vertical-relative:page;z-index:-1095352" coordorigin="7946,9208" coordsize="980,5910">
            <v:shape style="position:absolute;left:7946;top:9208;width:980;height:5910" coordorigin="7946,9208" coordsize="980,5910" path="m7946,15118l8926,15118,8926,9208,7946,9208,7946,15118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415" w:hRule="exact"/>
        </w:trPr>
        <w:tc>
          <w:tcPr>
            <w:tcW w:w="18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nil" w:sz="6" w:space="0" w:color="auto"/>
              <w:left w:val="nil" w:sz="6" w:space="0" w:color="auto"/>
              <w:bottom w:val="single" w:sz="12" w:space="0" w:color="000000"/>
              <w:right w:val="nil" w:sz="6" w:space="0" w:color="auto"/>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9"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4" w:right="18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6" w:type="dxa"/>
            <w:tcBorders>
              <w:top w:val="single" w:sz="6" w:space="0" w:color="000000"/>
              <w:left w:val="single" w:sz="14" w:space="0" w:color="D2D2D2"/>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6073" w:hRule="exact"/>
        </w:trPr>
        <w:tc>
          <w:tcPr>
            <w:tcW w:w="1845" w:type="dxa"/>
            <w:tcBorders>
              <w:top w:val="single" w:sz="6" w:space="0" w:color="000000"/>
              <w:left w:val="single" w:sz="12"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7" w:right="0"/>
              <w:jc w:val="left"/>
              <w:rPr>
                <w:rFonts w:ascii="宋体" w:hAnsi="宋体" w:cs="宋体" w:eastAsia="宋体" w:hint="default"/>
                <w:sz w:val="18"/>
                <w:szCs w:val="18"/>
              </w:rPr>
            </w:pPr>
            <w:r>
              <w:rPr>
                <w:rFonts w:ascii="宋体" w:hAnsi="宋体" w:cs="宋体" w:eastAsia="宋体" w:hint="default"/>
                <w:spacing w:val="-6"/>
                <w:sz w:val="18"/>
                <w:szCs w:val="18"/>
              </w:rPr>
              <w:t>任昌兆、任晶晶</w:t>
            </w:r>
          </w:p>
        </w:tc>
        <w:tc>
          <w:tcPr>
            <w:tcW w:w="8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0"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118" w:type="dxa"/>
            <w:vMerge w:val="restart"/>
            <w:tcBorders>
              <w:top w:val="single" w:sz="6" w:space="0" w:color="000000"/>
              <w:left w:val="single" w:sz="6" w:space="0" w:color="000000"/>
              <w:right w:val="single" w:sz="6" w:space="0" w:color="000000"/>
            </w:tcBorders>
          </w:tcPr>
          <w:p>
            <w:pPr>
              <w:pStyle w:val="TableParagraph"/>
              <w:spacing w:line="316" w:lineRule="auto" w:before="51"/>
              <w:ind w:left="20" w:right="1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 </w:t>
            </w:r>
            <w:r>
              <w:rPr>
                <w:rFonts w:ascii="宋体" w:hAnsi="宋体" w:cs="宋体" w:eastAsia="宋体" w:hint="default"/>
                <w:spacing w:val="10"/>
                <w:sz w:val="18"/>
                <w:szCs w:val="18"/>
              </w:rPr>
              <w:t>让本人因本次交易所取得的所支付股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 监事或者聘任为高级管理人员，则本人</w:t>
            </w:r>
            <w:r>
              <w:rPr>
                <w:rFonts w:ascii="宋体" w:hAnsi="宋体" w:cs="宋体" w:eastAsia="宋体" w:hint="default"/>
                <w:sz w:val="18"/>
                <w:szCs w:val="18"/>
              </w:rPr>
              <w:t> 承诺按照关于董事、监事及高管持股及 </w:t>
            </w:r>
            <w:r>
              <w:rPr>
                <w:rFonts w:ascii="宋体" w:hAnsi="宋体" w:cs="宋体" w:eastAsia="宋体" w:hint="default"/>
                <w:spacing w:val="4"/>
                <w:sz w:val="18"/>
                <w:szCs w:val="18"/>
              </w:rPr>
              <w:t>减持的规定履行持股锁定及减持义务</w:t>
            </w:r>
          </w:p>
          <w:p>
            <w:pPr>
              <w:pStyle w:val="TableParagraph"/>
              <w:spacing w:line="316" w:lineRule="auto" w:before="19"/>
              <w:ind w:left="20"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）为保证本次交易盈利预测补偿承诺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的可实现性，本人进一步承诺，如果在</w:t>
            </w:r>
            <w:r>
              <w:rPr>
                <w:rFonts w:ascii="宋体" w:hAnsi="宋体" w:cs="宋体" w:eastAsia="宋体" w:hint="default"/>
                <w:sz w:val="18"/>
                <w:szCs w:val="18"/>
              </w:rPr>
              <w:t> 前述</w:t>
            </w:r>
            <w:r>
              <w:rPr>
                <w:rFonts w:ascii="宋体" w:hAnsi="宋体" w:cs="宋体" w:eastAsia="宋体" w:hint="default"/>
                <w:spacing w:val="-42"/>
                <w:sz w:val="18"/>
                <w:szCs w:val="18"/>
              </w:rPr>
              <w:t> </w:t>
            </w:r>
            <w:r>
              <w:rPr>
                <w:rFonts w:ascii="宋体" w:hAnsi="宋体" w:cs="宋体" w:eastAsia="宋体" w:hint="default"/>
                <w:sz w:val="18"/>
                <w:szCs w:val="18"/>
              </w:rPr>
              <w:t>36</w:t>
            </w:r>
            <w:r>
              <w:rPr>
                <w:rFonts w:ascii="宋体" w:hAnsi="宋体" w:cs="宋体" w:eastAsia="宋体" w:hint="default"/>
                <w:spacing w:val="-42"/>
                <w:sz w:val="18"/>
                <w:szCs w:val="18"/>
              </w:rPr>
              <w:t> </w:t>
            </w:r>
            <w:r>
              <w:rPr>
                <w:rFonts w:ascii="宋体" w:hAnsi="宋体" w:cs="宋体" w:eastAsia="宋体" w:hint="default"/>
                <w:spacing w:val="-7"/>
                <w:sz w:val="18"/>
                <w:szCs w:val="18"/>
              </w:rPr>
              <w:t>个月锁定期届满后本人按照《发</w:t>
            </w:r>
            <w:r>
              <w:rPr>
                <w:rFonts w:ascii="宋体" w:hAnsi="宋体" w:cs="宋体" w:eastAsia="宋体" w:hint="default"/>
                <w:sz w:val="18"/>
                <w:szCs w:val="18"/>
              </w:rPr>
              <w:t> 行股份及支付现金购买资产协议》约定 负有股份补偿义务未履行的，则锁定期 自动延期至本人所负股份补偿义务履行 </w:t>
            </w:r>
            <w:r>
              <w:rPr>
                <w:rFonts w:ascii="宋体" w:hAnsi="宋体" w:cs="宋体" w:eastAsia="宋体" w:hint="default"/>
                <w:spacing w:val="-10"/>
                <w:sz w:val="18"/>
                <w:szCs w:val="18"/>
              </w:rPr>
              <w:t>完毕时止。（</w:t>
            </w:r>
            <w:r>
              <w:rPr>
                <w:rFonts w:ascii="宋体" w:hAnsi="宋体" w:cs="宋体" w:eastAsia="宋体" w:hint="default"/>
                <w:spacing w:val="-10"/>
                <w:sz w:val="18"/>
                <w:szCs w:val="18"/>
              </w:rPr>
              <w:t>3</w:t>
            </w:r>
            <w:r>
              <w:rPr>
                <w:rFonts w:ascii="宋体" w:hAnsi="宋体" w:cs="宋体" w:eastAsia="宋体" w:hint="default"/>
                <w:spacing w:val="-10"/>
                <w:sz w:val="18"/>
                <w:szCs w:val="18"/>
              </w:rPr>
              <w:t>）本函第一条所述</w:t>
            </w:r>
            <w:r>
              <w:rPr>
                <w:rFonts w:ascii="宋体" w:hAnsi="宋体" w:cs="宋体" w:eastAsia="宋体" w:hint="default"/>
                <w:spacing w:val="-10"/>
                <w:sz w:val="18"/>
                <w:szCs w:val="18"/>
              </w:rPr>
              <w:t>"</w:t>
            </w:r>
            <w:r>
              <w:rPr>
                <w:rFonts w:ascii="宋体" w:hAnsi="宋体" w:cs="宋体" w:eastAsia="宋体" w:hint="default"/>
                <w:spacing w:val="-10"/>
                <w:sz w:val="18"/>
                <w:szCs w:val="18"/>
              </w:rPr>
              <w:t>因本次</w:t>
            </w:r>
            <w:r>
              <w:rPr>
                <w:rFonts w:ascii="宋体" w:hAnsi="宋体" w:cs="宋体" w:eastAsia="宋体" w:hint="default"/>
                <w:spacing w:val="-79"/>
                <w:sz w:val="18"/>
                <w:szCs w:val="18"/>
              </w:rPr>
              <w:t> </w:t>
            </w:r>
            <w:r>
              <w:rPr>
                <w:rFonts w:ascii="宋体" w:hAnsi="宋体" w:cs="宋体" w:eastAsia="宋体" w:hint="default"/>
                <w:spacing w:val="4"/>
                <w:sz w:val="18"/>
                <w:szCs w:val="18"/>
              </w:rPr>
              <w:t>交易所取得的所支付股份</w:t>
            </w:r>
            <w:r>
              <w:rPr>
                <w:rFonts w:ascii="宋体" w:hAnsi="宋体" w:cs="宋体" w:eastAsia="宋体" w:hint="default"/>
                <w:spacing w:val="4"/>
                <w:sz w:val="18"/>
                <w:szCs w:val="18"/>
              </w:rPr>
              <w:t>"</w:t>
            </w:r>
            <w:r>
              <w:rPr>
                <w:rFonts w:ascii="宋体" w:hAnsi="宋体" w:cs="宋体" w:eastAsia="宋体" w:hint="default"/>
                <w:spacing w:val="4"/>
                <w:sz w:val="18"/>
                <w:szCs w:val="18"/>
              </w:rPr>
              <w:t>包括锁定期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内本人依据所支付股份按照光一科技分</w:t>
            </w:r>
            <w:r>
              <w:rPr>
                <w:rFonts w:ascii="宋体" w:hAnsi="宋体" w:cs="宋体" w:eastAsia="宋体" w:hint="default"/>
                <w:sz w:val="18"/>
                <w:szCs w:val="18"/>
              </w:rPr>
              <w:t> 配股票股利、资本公积转增股本等原因 </w:t>
            </w:r>
            <w:r>
              <w:rPr>
                <w:rFonts w:ascii="宋体" w:hAnsi="宋体" w:cs="宋体" w:eastAsia="宋体" w:hint="default"/>
                <w:spacing w:val="-5"/>
                <w:sz w:val="18"/>
                <w:szCs w:val="18"/>
              </w:rPr>
              <w:t>所取得的股份。（</w:t>
            </w:r>
            <w:r>
              <w:rPr>
                <w:rFonts w:ascii="宋体" w:hAnsi="宋体" w:cs="宋体" w:eastAsia="宋体" w:hint="default"/>
                <w:spacing w:val="-5"/>
                <w:sz w:val="18"/>
                <w:szCs w:val="18"/>
              </w:rPr>
              <w:t>4</w:t>
            </w:r>
            <w:r>
              <w:rPr>
                <w:rFonts w:ascii="宋体" w:hAnsi="宋体" w:cs="宋体" w:eastAsia="宋体" w:hint="default"/>
                <w:spacing w:val="-5"/>
                <w:sz w:val="18"/>
                <w:szCs w:val="18"/>
              </w:rPr>
              <w:t>）本人特别承诺：自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r>
              <w:rPr>
                <w:rFonts w:ascii="宋体" w:hAnsi="宋体" w:cs="宋体" w:eastAsia="宋体" w:hint="default"/>
                <w:spacing w:val="-64"/>
                <w:sz w:val="18"/>
                <w:szCs w:val="18"/>
              </w:rPr>
              <w:t> </w:t>
            </w:r>
            <w:r>
              <w:rPr>
                <w:rFonts w:ascii="宋体" w:hAnsi="宋体" w:cs="宋体" w:eastAsia="宋体" w:hint="default"/>
                <w:sz w:val="18"/>
                <w:szCs w:val="18"/>
              </w:rPr>
              <w:t>次</w:t>
            </w:r>
            <w:r>
              <w:rPr>
                <w:rFonts w:ascii="宋体" w:hAnsi="宋体" w:cs="宋体" w:eastAsia="宋体" w:hint="default"/>
                <w:spacing w:val="-64"/>
                <w:sz w:val="18"/>
                <w:szCs w:val="18"/>
              </w:rPr>
              <w:t> </w:t>
            </w:r>
            <w:r>
              <w:rPr>
                <w:rFonts w:ascii="宋体" w:hAnsi="宋体" w:cs="宋体" w:eastAsia="宋体" w:hint="default"/>
                <w:sz w:val="18"/>
                <w:szCs w:val="18"/>
              </w:rPr>
              <w:t>交</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64"/>
                <w:sz w:val="18"/>
                <w:szCs w:val="18"/>
              </w:rPr>
              <w:t> </w:t>
            </w:r>
            <w:r>
              <w:rPr>
                <w:rFonts w:ascii="宋体" w:hAnsi="宋体" w:cs="宋体" w:eastAsia="宋体" w:hint="default"/>
                <w:sz w:val="18"/>
                <w:szCs w:val="18"/>
              </w:rPr>
              <w:t>所</w:t>
            </w:r>
            <w:r>
              <w:rPr>
                <w:rFonts w:ascii="宋体" w:hAnsi="宋体" w:cs="宋体" w:eastAsia="宋体" w:hint="default"/>
                <w:spacing w:val="-65"/>
                <w:sz w:val="18"/>
                <w:szCs w:val="18"/>
              </w:rPr>
              <w:t> </w:t>
            </w:r>
            <w:r>
              <w:rPr>
                <w:rFonts w:ascii="宋体" w:hAnsi="宋体" w:cs="宋体" w:eastAsia="宋体" w:hint="default"/>
                <w:sz w:val="18"/>
                <w:szCs w:val="18"/>
              </w:rPr>
              <w:t>获</w:t>
            </w:r>
            <w:r>
              <w:rPr>
                <w:rFonts w:ascii="宋体" w:hAnsi="宋体" w:cs="宋体" w:eastAsia="宋体" w:hint="default"/>
                <w:spacing w:val="-64"/>
                <w:sz w:val="18"/>
                <w:szCs w:val="18"/>
              </w:rPr>
              <w:t> </w:t>
            </w:r>
            <w:r>
              <w:rPr>
                <w:rFonts w:ascii="宋体" w:hAnsi="宋体" w:cs="宋体" w:eastAsia="宋体" w:hint="default"/>
                <w:sz w:val="18"/>
                <w:szCs w:val="18"/>
              </w:rPr>
              <w:t>得</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份</w:t>
            </w:r>
            <w:r>
              <w:rPr>
                <w:rFonts w:ascii="宋体" w:hAnsi="宋体" w:cs="宋体" w:eastAsia="宋体" w:hint="default"/>
                <w:spacing w:val="-64"/>
                <w:sz w:val="18"/>
                <w:szCs w:val="18"/>
              </w:rPr>
              <w:t> </w:t>
            </w:r>
            <w:r>
              <w:rPr>
                <w:rFonts w:ascii="宋体" w:hAnsi="宋体" w:cs="宋体" w:eastAsia="宋体" w:hint="default"/>
                <w:sz w:val="18"/>
                <w:szCs w:val="18"/>
              </w:rPr>
              <w:t>锁</w:t>
            </w:r>
            <w:r>
              <w:rPr>
                <w:rFonts w:ascii="宋体" w:hAnsi="宋体" w:cs="宋体" w:eastAsia="宋体" w:hint="default"/>
                <w:spacing w:val="-65"/>
                <w:sz w:val="18"/>
                <w:szCs w:val="18"/>
              </w:rPr>
              <w:t> </w:t>
            </w:r>
            <w:r>
              <w:rPr>
                <w:rFonts w:ascii="宋体" w:hAnsi="宋体" w:cs="宋体" w:eastAsia="宋体" w:hint="default"/>
                <w:sz w:val="18"/>
                <w:szCs w:val="18"/>
              </w:rPr>
              <w:t>定</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结</w:t>
            </w:r>
            <w:r>
              <w:rPr>
                <w:rFonts w:ascii="宋体" w:hAnsi="宋体" w:cs="宋体" w:eastAsia="宋体" w:hint="default"/>
                <w:spacing w:val="-65"/>
                <w:sz w:val="18"/>
                <w:szCs w:val="18"/>
              </w:rPr>
              <w:t> </w:t>
            </w:r>
            <w:r>
              <w:rPr>
                <w:rFonts w:ascii="宋体" w:hAnsi="宋体" w:cs="宋体" w:eastAsia="宋体" w:hint="default"/>
                <w:sz w:val="18"/>
                <w:szCs w:val="18"/>
              </w:rPr>
              <w:t>束</w:t>
            </w:r>
            <w:r>
              <w:rPr>
                <w:rFonts w:ascii="宋体" w:hAnsi="宋体" w:cs="宋体" w:eastAsia="宋体" w:hint="default"/>
                <w:spacing w:val="-64"/>
                <w:sz w:val="18"/>
                <w:szCs w:val="18"/>
              </w:rPr>
              <w:t> </w:t>
            </w:r>
            <w:r>
              <w:rPr>
                <w:rFonts w:ascii="宋体" w:hAnsi="宋体" w:cs="宋体" w:eastAsia="宋体" w:hint="default"/>
                <w:sz w:val="18"/>
                <w:szCs w:val="18"/>
              </w:rPr>
              <w:t>至</w:t>
            </w:r>
            <w:r>
              <w:rPr>
                <w:rFonts w:ascii="宋体" w:hAnsi="宋体" w:cs="宋体" w:eastAsia="宋体" w:hint="default"/>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5"/>
                <w:sz w:val="18"/>
                <w:szCs w:val="18"/>
              </w:rPr>
              <w:t>日，本人每年可减持的</w:t>
            </w:r>
            <w:r>
              <w:rPr>
                <w:rFonts w:ascii="宋体" w:hAnsi="宋体" w:cs="宋体" w:eastAsia="宋体" w:hint="default"/>
                <w:sz w:val="18"/>
                <w:szCs w:val="18"/>
              </w:rPr>
              <w:t> 光一科技股份数量不超过上年末本人持 有光一科技股份总数的</w:t>
            </w:r>
            <w:r>
              <w:rPr>
                <w:rFonts w:ascii="宋体" w:hAnsi="宋体" w:cs="宋体" w:eastAsia="宋体" w:hint="default"/>
                <w:spacing w:val="1"/>
                <w:sz w:val="18"/>
                <w:szCs w:val="18"/>
              </w:rPr>
              <w:t> </w:t>
            </w:r>
            <w:r>
              <w:rPr>
                <w:rFonts w:ascii="宋体" w:hAnsi="宋体" w:cs="宋体" w:eastAsia="宋体" w:hint="default"/>
                <w:sz w:val="18"/>
                <w:szCs w:val="18"/>
              </w:rPr>
              <w:t>25%</w:t>
            </w:r>
            <w:r>
              <w:rPr>
                <w:rFonts w:ascii="宋体" w:hAnsi="宋体" w:cs="宋体" w:eastAsia="宋体" w:hint="default"/>
                <w:sz w:val="18"/>
                <w:szCs w:val="18"/>
              </w:rPr>
              <w:t>；在锁定期 内，本人持有的光一科技股份可用于股 份质押融资的总数不超过本人持有全部 光一科技股份数量的</w:t>
            </w:r>
            <w:r>
              <w:rPr>
                <w:rFonts w:ascii="宋体" w:hAnsi="宋体" w:cs="宋体" w:eastAsia="宋体" w:hint="default"/>
                <w:spacing w:val="1"/>
                <w:sz w:val="18"/>
                <w:szCs w:val="18"/>
              </w:rPr>
              <w:t> </w:t>
            </w:r>
            <w:r>
              <w:rPr>
                <w:rFonts w:ascii="宋体" w:hAnsi="宋体" w:cs="宋体" w:eastAsia="宋体" w:hint="default"/>
                <w:spacing w:val="-9"/>
                <w:sz w:val="18"/>
                <w:szCs w:val="18"/>
              </w:rPr>
              <w:t>85%</w:t>
            </w:r>
            <w:r>
              <w:rPr>
                <w:rFonts w:ascii="宋体" w:hAnsi="宋体" w:cs="宋体" w:eastAsia="宋体" w:hint="default"/>
                <w:spacing w:val="-9"/>
                <w:sz w:val="18"/>
                <w:szCs w:val="18"/>
              </w:rPr>
              <w:t>。（</w:t>
            </w:r>
            <w:r>
              <w:rPr>
                <w:rFonts w:ascii="宋体" w:hAnsi="宋体" w:cs="宋体" w:eastAsia="宋体" w:hint="default"/>
                <w:spacing w:val="-9"/>
                <w:sz w:val="18"/>
                <w:szCs w:val="18"/>
              </w:rPr>
              <w:t>5</w:t>
            </w:r>
            <w:r>
              <w:rPr>
                <w:rFonts w:ascii="宋体" w:hAnsi="宋体" w:cs="宋体" w:eastAsia="宋体" w:hint="default"/>
                <w:spacing w:val="-9"/>
                <w:sz w:val="18"/>
                <w:szCs w:val="18"/>
              </w:rPr>
              <w:t>）如果中</w:t>
            </w:r>
            <w:r>
              <w:rPr>
                <w:rFonts w:ascii="宋体" w:hAnsi="宋体" w:cs="宋体" w:eastAsia="宋体" w:hint="default"/>
                <w:sz w:val="18"/>
                <w:szCs w:val="18"/>
              </w:rPr>
              <w:t> 国证监会及或深圳证券交易所对于上述</w:t>
            </w:r>
            <w:r>
              <w:rPr>
                <w:rFonts w:ascii="宋体" w:hAnsi="宋体" w:cs="宋体" w:eastAsia="宋体" w:hint="default"/>
                <w:sz w:val="18"/>
                <w:szCs w:val="18"/>
              </w:rPr>
              <w:t> 锁定期安排有不同意见及或要求的，本 人将按照中国证监会及或深圳证券交易 所的意见对上述锁定期安排进行修订并 </w:t>
            </w:r>
            <w:r>
              <w:rPr>
                <w:rFonts w:ascii="宋体" w:hAnsi="宋体" w:cs="宋体" w:eastAsia="宋体" w:hint="default"/>
                <w:spacing w:val="-5"/>
                <w:sz w:val="18"/>
                <w:szCs w:val="18"/>
              </w:rPr>
              <w:t>予执行。（</w:t>
            </w:r>
            <w:r>
              <w:rPr>
                <w:rFonts w:ascii="宋体" w:hAnsi="宋体" w:cs="宋体" w:eastAsia="宋体" w:hint="default"/>
                <w:spacing w:val="-5"/>
                <w:sz w:val="18"/>
                <w:szCs w:val="18"/>
              </w:rPr>
              <w:t>6</w:t>
            </w:r>
            <w:r>
              <w:rPr>
                <w:rFonts w:ascii="宋体" w:hAnsi="宋体" w:cs="宋体" w:eastAsia="宋体" w:hint="default"/>
                <w:spacing w:val="-5"/>
                <w:sz w:val="18"/>
                <w:szCs w:val="18"/>
              </w:rPr>
              <w:t>）如本人根据《发行股份及</w:t>
            </w:r>
            <w:r>
              <w:rPr>
                <w:rFonts w:ascii="宋体" w:hAnsi="宋体" w:cs="宋体" w:eastAsia="宋体" w:hint="default"/>
                <w:sz w:val="18"/>
                <w:szCs w:val="18"/>
              </w:rPr>
              <w:t> 支付现金购买资产协议》约定负有股份 </w:t>
            </w:r>
            <w:r>
              <w:rPr>
                <w:rFonts w:ascii="宋体" w:hAnsi="宋体" w:cs="宋体" w:eastAsia="宋体" w:hint="default"/>
                <w:spacing w:val="-6"/>
                <w:sz w:val="18"/>
                <w:szCs w:val="18"/>
              </w:rPr>
              <w:t>补偿义务，则本人将在《专项审核报告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及《减值测试报告》（如有）披露后十个</w:t>
            </w:r>
            <w:r>
              <w:rPr>
                <w:rFonts w:ascii="宋体" w:hAnsi="宋体" w:cs="宋体" w:eastAsia="宋体" w:hint="default"/>
                <w:sz w:val="18"/>
                <w:szCs w:val="18"/>
              </w:rPr>
              <w:t> 工作日内向登记结算公司发出将本人应 补偿的股份划转至光一科技董事会设立 的专门账户并对该等用于支付补偿的股 份进行锁定的指令，并明确说明只有光 一科技有权做出解除该等锁定的指令。 光一科技应为本人办理《发行股份及支 付现金购买资产协议》约定的补偿股份 </w:t>
            </w:r>
            <w:r>
              <w:rPr>
                <w:rFonts w:ascii="宋体" w:hAnsi="宋体" w:cs="宋体" w:eastAsia="宋体" w:hint="default"/>
                <w:spacing w:val="-5"/>
                <w:sz w:val="18"/>
                <w:szCs w:val="18"/>
              </w:rPr>
              <w:t>划转手续提供协助及便利。（</w:t>
            </w:r>
            <w:r>
              <w:rPr>
                <w:rFonts w:ascii="宋体" w:hAnsi="宋体" w:cs="宋体" w:eastAsia="宋体" w:hint="default"/>
                <w:spacing w:val="-5"/>
                <w:sz w:val="18"/>
                <w:szCs w:val="18"/>
              </w:rPr>
              <w:t>7</w:t>
            </w:r>
            <w:r>
              <w:rPr>
                <w:rFonts w:ascii="宋体" w:hAnsi="宋体" w:cs="宋体" w:eastAsia="宋体" w:hint="default"/>
                <w:spacing w:val="-5"/>
                <w:sz w:val="18"/>
                <w:szCs w:val="18"/>
              </w:rPr>
              <w:t>）本人进</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1" w:hRule="exact"/>
        </w:trPr>
        <w:tc>
          <w:tcPr>
            <w:tcW w:w="184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vMerge/>
            <w:tcBorders>
              <w:left w:val="single" w:sz="8" w:space="0" w:color="D2D2D2"/>
              <w:right w:val="single" w:sz="6" w:space="0" w:color="000000"/>
            </w:tcBorders>
          </w:tcPr>
          <w:p>
            <w:pPr/>
          </w:p>
        </w:tc>
        <w:tc>
          <w:tcPr>
            <w:tcW w:w="851" w:type="dxa"/>
            <w:vMerge/>
            <w:tcBorders>
              <w:left w:val="single" w:sz="6" w:space="0" w:color="000000"/>
              <w:right w:val="single" w:sz="6" w:space="0" w:color="000000"/>
            </w:tcBorders>
          </w:tcPr>
          <w:p>
            <w:pPr/>
          </w:p>
        </w:tc>
        <w:tc>
          <w:tcPr>
            <w:tcW w:w="3118"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6080" w:hRule="exact"/>
        </w:trPr>
        <w:tc>
          <w:tcPr>
            <w:tcW w:w="1845"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276" w:type="dxa"/>
            <w:vMerge/>
            <w:tcBorders>
              <w:left w:val="single" w:sz="8" w:space="0" w:color="D2D2D2"/>
              <w:bottom w:val="single" w:sz="12" w:space="0" w:color="000000"/>
              <w:right w:val="single" w:sz="6" w:space="0" w:color="000000"/>
            </w:tcBorders>
          </w:tcPr>
          <w:p>
            <w:pPr/>
          </w:p>
        </w:tc>
        <w:tc>
          <w:tcPr>
            <w:tcW w:w="851" w:type="dxa"/>
            <w:vMerge/>
            <w:tcBorders>
              <w:left w:val="single" w:sz="6" w:space="0" w:color="000000"/>
              <w:bottom w:val="single" w:sz="12" w:space="0" w:color="000000"/>
              <w:right w:val="single" w:sz="6" w:space="0" w:color="000000"/>
            </w:tcBorders>
          </w:tcPr>
          <w:p>
            <w:pPr/>
          </w:p>
        </w:tc>
        <w:tc>
          <w:tcPr>
            <w:tcW w:w="3118" w:type="dxa"/>
            <w:vMerge/>
            <w:tcBorders>
              <w:left w:val="single" w:sz="6" w:space="0" w:color="000000"/>
              <w:bottom w:val="single" w:sz="12" w:space="0" w:color="000000"/>
              <w:right w:val="single" w:sz="6" w:space="0" w:color="000000"/>
            </w:tcBorders>
          </w:tcPr>
          <w:p>
            <w:pPr/>
          </w:p>
        </w:tc>
        <w:tc>
          <w:tcPr>
            <w:tcW w:w="994" w:type="dxa"/>
            <w:vMerge/>
            <w:tcBorders>
              <w:left w:val="single" w:sz="6" w:space="0" w:color="000000"/>
              <w:bottom w:val="single" w:sz="12" w:space="0" w:color="000000"/>
              <w:right w:val="single" w:sz="6" w:space="0" w:color="000000"/>
            </w:tcBorders>
          </w:tcPr>
          <w:p>
            <w:pPr/>
          </w:p>
        </w:tc>
        <w:tc>
          <w:tcPr>
            <w:tcW w:w="850" w:type="dxa"/>
            <w:vMerge/>
            <w:tcBorders>
              <w:left w:val="single" w:sz="6" w:space="0" w:color="000000"/>
              <w:bottom w:val="single" w:sz="12" w:space="0" w:color="000000"/>
              <w:right w:val="single" w:sz="6" w:space="0" w:color="000000"/>
            </w:tcBorders>
          </w:tcPr>
          <w:p>
            <w:pPr/>
          </w:p>
        </w:tc>
        <w:tc>
          <w:tcPr>
            <w:tcW w:w="920" w:type="dxa"/>
            <w:vMerge/>
            <w:tcBorders>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65.036987pt;margin-top:169.87999pt;width:181.25pt;height:279.8pt;mso-position-horizontal-relative:page;mso-position-vertical-relative:page;z-index:-1095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约定负有股份补偿义务未履行的，</w:t>
                  </w:r>
                </w:p>
              </w:txbxContent>
            </v:textbox>
            <w10:wrap type="none"/>
          </v:shape>
        </w:pict>
      </w:r>
      <w:r>
        <w:rPr/>
        <w:pict>
          <v:group style="position:absolute;margin-left:397.299988pt;margin-top:169.87999pt;width:49pt;height:279.8pt;mso-position-horizontal-relative:page;mso-position-vertical-relative:page;z-index:-1095304" coordorigin="7946,3398" coordsize="980,5596">
            <v:shape style="position:absolute;left:7946;top:3398;width:980;height:5596" coordorigin="7946,3398" coordsize="980,5596" path="m7946,8994l8926,8994,8926,3398,7946,3398,7946,8994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327"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311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一步承诺，本人因本次交易所取得的所</w:t>
            </w:r>
          </w:p>
        </w:tc>
        <w:tc>
          <w:tcPr>
            <w:tcW w:w="994" w:type="dxa"/>
            <w:vMerge w:val="restart"/>
            <w:tcBorders>
              <w:top w:val="single" w:sz="12" w:space="0" w:color="000000"/>
              <w:left w:val="single" w:sz="6" w:space="0" w:color="000000"/>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支付股份在转让时会同时遵守当时有效</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的《公司法</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深圳证券交</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易所创业板股票上市规则》等法律、法</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规</w:t>
            </w:r>
            <w:r>
              <w:rPr>
                <w:rFonts w:ascii="宋体" w:hAnsi="宋体" w:cs="宋体" w:eastAsia="宋体" w:hint="default"/>
                <w:spacing w:val="-89"/>
                <w:sz w:val="18"/>
                <w:szCs w:val="18"/>
              </w:rPr>
              <w:t>、</w:t>
            </w:r>
            <w:r>
              <w:rPr>
                <w:rFonts w:ascii="宋体" w:hAnsi="宋体" w:cs="宋体" w:eastAsia="宋体" w:hint="default"/>
                <w:sz w:val="18"/>
                <w:szCs w:val="18"/>
              </w:rPr>
              <w:t>规章和规范性文件以及光一科</w:t>
            </w:r>
            <w:r>
              <w:rPr>
                <w:rFonts w:ascii="宋体" w:hAnsi="宋体" w:cs="宋体" w:eastAsia="宋体" w:hint="default"/>
                <w:spacing w:val="-89"/>
                <w:sz w:val="18"/>
                <w:szCs w:val="18"/>
              </w:rPr>
              <w:t>技</w:t>
            </w:r>
            <w:r>
              <w:rPr>
                <w:rFonts w:ascii="宋体" w:hAnsi="宋体" w:cs="宋体" w:eastAsia="宋体" w:hint="default"/>
                <w:sz w:val="18"/>
                <w:szCs w:val="18"/>
              </w:rPr>
              <w:t>《公</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31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司章程》的相关规定。</w:t>
            </w: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31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让本公司因本次交易所取得的所支付股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）为</w:t>
            </w:r>
            <w:r>
              <w:rPr>
                <w:rFonts w:ascii="宋体" w:hAnsi="宋体" w:cs="宋体" w:eastAsia="宋体" w:hint="default"/>
                <w:spacing w:val="1"/>
                <w:sz w:val="18"/>
                <w:szCs w:val="18"/>
              </w:rPr>
              <w:t>保</w:t>
            </w:r>
            <w:r>
              <w:rPr>
                <w:rFonts w:ascii="宋体" w:hAnsi="宋体" w:cs="宋体" w:eastAsia="宋体" w:hint="default"/>
                <w:sz w:val="18"/>
                <w:szCs w:val="18"/>
              </w:rPr>
              <w:t>证本次交易</w:t>
            </w:r>
            <w:r>
              <w:rPr>
                <w:rFonts w:ascii="宋体" w:hAnsi="宋体" w:cs="宋体" w:eastAsia="宋体" w:hint="default"/>
                <w:spacing w:val="1"/>
                <w:sz w:val="18"/>
                <w:szCs w:val="18"/>
              </w:rPr>
              <w:t>盈</w:t>
            </w:r>
            <w:r>
              <w:rPr>
                <w:rFonts w:ascii="宋体" w:hAnsi="宋体" w:cs="宋体" w:eastAsia="宋体" w:hint="default"/>
                <w:sz w:val="18"/>
                <w:szCs w:val="18"/>
              </w:rPr>
              <w:t>利预测补偿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承诺的可实现性，本公司进一步承诺，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如果在前述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个月锁定期届满后本公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司按照《发行股份及支付现金购买资产</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则锁定期自动延期至本公司所负股份补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偿义务履行</w:t>
            </w:r>
            <w:r>
              <w:rPr>
                <w:rFonts w:ascii="宋体" w:hAnsi="宋体" w:cs="宋体" w:eastAsia="宋体" w:hint="default"/>
                <w:spacing w:val="1"/>
                <w:sz w:val="18"/>
                <w:szCs w:val="18"/>
              </w:rPr>
              <w:t>完</w:t>
            </w:r>
            <w:r>
              <w:rPr>
                <w:rFonts w:ascii="宋体" w:hAnsi="宋体" w:cs="宋体" w:eastAsia="宋体" w:hint="default"/>
                <w:sz w:val="18"/>
                <w:szCs w:val="18"/>
              </w:rPr>
              <w:t>毕时止</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1"/>
                <w:sz w:val="18"/>
                <w:szCs w:val="18"/>
              </w:rPr>
              <w:t>）</w:t>
            </w:r>
            <w:r>
              <w:rPr>
                <w:rFonts w:ascii="宋体" w:hAnsi="宋体" w:cs="宋体" w:eastAsia="宋体" w:hint="default"/>
                <w:sz w:val="18"/>
                <w:szCs w:val="18"/>
              </w:rPr>
              <w:t>本函第一条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所述</w:t>
            </w:r>
            <w:r>
              <w:rPr>
                <w:rFonts w:ascii="宋体" w:hAnsi="宋体" w:cs="宋体" w:eastAsia="宋体" w:hint="default"/>
                <w:sz w:val="18"/>
                <w:szCs w:val="18"/>
              </w:rPr>
              <w:t>"</w:t>
            </w:r>
            <w:r>
              <w:rPr>
                <w:rFonts w:ascii="宋体" w:hAnsi="宋体" w:cs="宋体" w:eastAsia="宋体" w:hint="default"/>
                <w:sz w:val="18"/>
                <w:szCs w:val="18"/>
              </w:rPr>
              <w:t>因本次交易所取得的所支付股份</w:t>
            </w:r>
            <w:r>
              <w:rPr>
                <w:rFonts w:ascii="宋体" w:hAnsi="宋体" w:cs="宋体" w:eastAsia="宋体" w:hint="default"/>
                <w:sz w:val="18"/>
                <w:szCs w:val="18"/>
              </w:rPr>
              <w:t>"</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包括锁定期内本公司依据所支付股份按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照光一科技分配股票股利、资本公积转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增股本等原</w:t>
            </w:r>
            <w:r>
              <w:rPr>
                <w:rFonts w:ascii="宋体" w:hAnsi="宋体" w:cs="宋体" w:eastAsia="宋体" w:hint="default"/>
                <w:spacing w:val="1"/>
                <w:sz w:val="18"/>
                <w:szCs w:val="18"/>
              </w:rPr>
              <w:t>因</w:t>
            </w:r>
            <w:r>
              <w:rPr>
                <w:rFonts w:ascii="宋体" w:hAnsi="宋体" w:cs="宋体" w:eastAsia="宋体" w:hint="default"/>
                <w:sz w:val="18"/>
                <w:szCs w:val="18"/>
              </w:rPr>
              <w:t>所取得的股份</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司特别承诺：自本次交易所获得股份锁</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定期结束至</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1"/>
                <w:sz w:val="18"/>
                <w:szCs w:val="18"/>
              </w:rPr>
              <w:t>日</w:t>
            </w:r>
            <w:r>
              <w:rPr>
                <w:rFonts w:ascii="宋体" w:hAnsi="宋体" w:cs="宋体" w:eastAsia="宋体" w:hint="default"/>
                <w:spacing w:val="-88"/>
                <w:sz w:val="18"/>
                <w:szCs w:val="18"/>
              </w:rPr>
              <w:t>，</w:t>
            </w:r>
            <w:r>
              <w:rPr>
                <w:rFonts w:ascii="宋体" w:hAnsi="宋体" w:cs="宋体" w:eastAsia="宋体" w:hint="default"/>
                <w:sz w:val="18"/>
                <w:szCs w:val="18"/>
              </w:rPr>
              <w:t>本公司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每年可减持的光一科技股份数量不超过</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0"/>
                <w:sz w:val="18"/>
                <w:szCs w:val="18"/>
              </w:rPr>
              <w:t>上年末本人持有光一科技股份总数的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0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5"/>
                <w:sz w:val="18"/>
                <w:szCs w:val="18"/>
              </w:rPr>
              <w:t>25%</w:t>
            </w:r>
            <w:r>
              <w:rPr>
                <w:rFonts w:ascii="宋体" w:hAnsi="宋体" w:cs="宋体" w:eastAsia="宋体" w:hint="default"/>
                <w:spacing w:val="-5"/>
                <w:sz w:val="18"/>
                <w:szCs w:val="18"/>
              </w:rPr>
              <w:t>；在锁定期内，本公司持有的光一科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634"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316" w:lineRule="auto" w:before="1"/>
              <w:ind w:left="20" w:right="158"/>
              <w:jc w:val="left"/>
              <w:rPr>
                <w:rFonts w:ascii="宋体" w:hAnsi="宋体" w:cs="宋体" w:eastAsia="宋体" w:hint="default"/>
                <w:sz w:val="18"/>
                <w:szCs w:val="18"/>
              </w:rPr>
            </w:pPr>
            <w:r>
              <w:rPr>
                <w:rFonts w:ascii="宋体" w:hAnsi="宋体" w:cs="宋体" w:eastAsia="宋体" w:hint="default"/>
                <w:sz w:val="18"/>
                <w:szCs w:val="18"/>
              </w:rPr>
              <w:t>湖北乾瀚投资 有限公司</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316" w:lineRule="auto" w:before="1"/>
              <w:ind w:left="20"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316" w:lineRule="auto" w:before="20"/>
              <w:ind w:left="20" w:right="19"/>
              <w:jc w:val="left"/>
              <w:rPr>
                <w:rFonts w:ascii="宋体" w:hAnsi="宋体" w:cs="宋体" w:eastAsia="宋体" w:hint="default"/>
                <w:sz w:val="18"/>
                <w:szCs w:val="18"/>
              </w:rPr>
            </w:pPr>
            <w:r>
              <w:rPr>
                <w:rFonts w:ascii="宋体" w:hAnsi="宋体" w:cs="宋体" w:eastAsia="宋体" w:hint="default"/>
                <w:sz w:val="18"/>
                <w:szCs w:val="18"/>
              </w:rPr>
              <w:t>技股份可用于股份质押融资的总数不超 过本公司持有全部光一科技股份数量的</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85%</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5"/>
                <w:sz w:val="18"/>
                <w:szCs w:val="18"/>
              </w:rPr>
              <w:t>）</w:t>
            </w:r>
            <w:r>
              <w:rPr>
                <w:rFonts w:ascii="宋体" w:hAnsi="宋体" w:cs="宋体" w:eastAsia="宋体" w:hint="default"/>
                <w:sz w:val="18"/>
                <w:szCs w:val="18"/>
              </w:rPr>
              <w:t>如</w:t>
            </w:r>
            <w:r>
              <w:rPr>
                <w:rFonts w:ascii="宋体" w:hAnsi="宋体" w:cs="宋体" w:eastAsia="宋体" w:hint="default"/>
                <w:spacing w:val="1"/>
                <w:sz w:val="18"/>
                <w:szCs w:val="18"/>
              </w:rPr>
              <w:t>果</w:t>
            </w:r>
            <w:r>
              <w:rPr>
                <w:rFonts w:ascii="宋体" w:hAnsi="宋体" w:cs="宋体" w:eastAsia="宋体" w:hint="default"/>
                <w:sz w:val="18"/>
                <w:szCs w:val="18"/>
              </w:rPr>
              <w:t>中国证监会及或深圳证券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交易所对于上述锁定期安排有不同意见</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及或要求的，本公司将按照中国证监会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及或深圳证券交易所的意见对上述锁定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期安排进行</w:t>
            </w:r>
            <w:r>
              <w:rPr>
                <w:rFonts w:ascii="宋体" w:hAnsi="宋体" w:cs="宋体" w:eastAsia="宋体" w:hint="default"/>
                <w:spacing w:val="1"/>
                <w:sz w:val="18"/>
                <w:szCs w:val="18"/>
              </w:rPr>
              <w:t>修</w:t>
            </w:r>
            <w:r>
              <w:rPr>
                <w:rFonts w:ascii="宋体" w:hAnsi="宋体" w:cs="宋体" w:eastAsia="宋体" w:hint="default"/>
                <w:sz w:val="18"/>
                <w:szCs w:val="18"/>
              </w:rPr>
              <w:t>订并予执行</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6</w:t>
            </w:r>
            <w:r>
              <w:rPr>
                <w:rFonts w:ascii="宋体" w:hAnsi="宋体" w:cs="宋体" w:eastAsia="宋体" w:hint="default"/>
                <w:sz w:val="18"/>
                <w:szCs w:val="18"/>
              </w:rPr>
              <w:t>）如本公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司根据《发行股份及支付现金购买资产</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协议》约定负有股份补偿义务，则本公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司将在《专项审核报告》及《减值测试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135"/>
                <w:sz w:val="18"/>
                <w:szCs w:val="18"/>
              </w:rPr>
              <w:t>》</w:t>
            </w:r>
            <w:r>
              <w:rPr>
                <w:rFonts w:ascii="宋体" w:hAnsi="宋体" w:cs="宋体" w:eastAsia="宋体" w:hint="default"/>
                <w:sz w:val="18"/>
                <w:szCs w:val="18"/>
              </w:rPr>
              <w:t>（如有</w:t>
            </w:r>
            <w:r>
              <w:rPr>
                <w:rFonts w:ascii="宋体" w:hAnsi="宋体" w:cs="宋体" w:eastAsia="宋体" w:hint="default"/>
                <w:spacing w:val="-44"/>
                <w:sz w:val="18"/>
                <w:szCs w:val="18"/>
              </w:rPr>
              <w:t>）</w:t>
            </w:r>
            <w:r>
              <w:rPr>
                <w:rFonts w:ascii="宋体" w:hAnsi="宋体" w:cs="宋体" w:eastAsia="宋体" w:hint="default"/>
                <w:sz w:val="18"/>
                <w:szCs w:val="18"/>
              </w:rPr>
              <w:t>披露后十个工作日内向登</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记结算公司发出将本公司应补偿的股份</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划转至光一科技董事会设立的专门账户</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并对该等用于支付补偿的股份进行锁定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的指令，并明确说明只有光一科技有权</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做出解除该等锁定的指令。光一科技应</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为本公司办理《发行股份及支付现金购</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买资产协议》约定的补偿股份划转手续</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提供协助及</w:t>
            </w:r>
            <w:r>
              <w:rPr>
                <w:rFonts w:ascii="宋体" w:hAnsi="宋体" w:cs="宋体" w:eastAsia="宋体" w:hint="default"/>
                <w:spacing w:val="1"/>
                <w:sz w:val="18"/>
                <w:szCs w:val="18"/>
              </w:rPr>
              <w:t>便</w:t>
            </w:r>
            <w:r>
              <w:rPr>
                <w:rFonts w:ascii="宋体" w:hAnsi="宋体" w:cs="宋体" w:eastAsia="宋体" w:hint="default"/>
                <w:sz w:val="18"/>
                <w:szCs w:val="18"/>
              </w:rPr>
              <w:t>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）本</w:t>
            </w:r>
            <w:r>
              <w:rPr>
                <w:rFonts w:ascii="宋体" w:hAnsi="宋体" w:cs="宋体" w:eastAsia="宋体" w:hint="default"/>
                <w:spacing w:val="1"/>
                <w:sz w:val="18"/>
                <w:szCs w:val="18"/>
              </w:rPr>
              <w:t>公</w:t>
            </w:r>
            <w:r>
              <w:rPr>
                <w:rFonts w:ascii="宋体" w:hAnsi="宋体" w:cs="宋体" w:eastAsia="宋体" w:hint="default"/>
                <w:sz w:val="18"/>
                <w:szCs w:val="18"/>
              </w:rPr>
              <w:t>司进一步承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31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诺，本公司因本次交易所取得的所支付</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56.036987pt;margin-top:154.279984pt;width:190.25pt;height:288.650pt;mso-position-horizontal-relative:page;mso-position-vertical-relative:page;z-index:-1095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本人今后如被光一科技选举为董事、</w:t>
                  </w:r>
                </w:p>
              </w:txbxContent>
            </v:textbox>
            <w10:wrap type="none"/>
          </v:shape>
        </w:pict>
      </w:r>
      <w:r>
        <w:rPr/>
        <w:pict>
          <v:shape style="position:absolute;margin-left:346.037018pt;margin-top:478.059998pt;width:100.25pt;height:288.650pt;mso-position-horizontal-relative:page;mso-position-vertical-relative:page;z-index:-1095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1"/>
                    <w:ind w:left="0" w:right="0" w:firstLine="0"/>
                    <w:jc w:val="left"/>
                    <w:rPr>
                      <w:rFonts w:ascii="宋体" w:hAnsi="宋体" w:cs="宋体" w:eastAsia="宋体" w:hint="default"/>
                      <w:sz w:val="18"/>
                      <w:szCs w:val="18"/>
                    </w:rPr>
                  </w:pPr>
                  <w:r>
                    <w:rPr>
                      <w:rFonts w:ascii="宋体" w:hAnsi="宋体" w:cs="宋体" w:eastAsia="宋体" w:hint="default"/>
                      <w:sz w:val="18"/>
                      <w:szCs w:val="18"/>
                    </w:rPr>
                    <w:t>《公司章程》</w:t>
                  </w:r>
                </w:p>
              </w:txbxContent>
            </v:textbox>
            <w10:wrap type="none"/>
          </v:shape>
        </w:pict>
      </w:r>
      <w:r>
        <w:rPr/>
        <w:pict>
          <v:group style="position:absolute;margin-left:397.299988pt;margin-top:73.499985pt;width:49pt;height:369.4pt;mso-position-horizontal-relative:page;mso-position-vertical-relative:page;z-index:-1095232" coordorigin="7946,1470" coordsize="980,7388">
            <v:group style="position:absolute;left:7946;top:1470;width:980;height:1600" coordorigin="7946,1470" coordsize="980,1600">
              <v:shape style="position:absolute;left:7946;top:1470;width:980;height:1600" coordorigin="7946,1470" coordsize="980,1600" path="m7946,3070l8926,3070,8926,1470,7946,1470,7946,3070xe" filled="true" fillcolor="#ffffff" stroked="false">
                <v:path arrowok="t"/>
                <v:fill type="solid"/>
              </v:shape>
            </v:group>
            <v:group style="position:absolute;left:7946;top:3086;width:980;height:5773" coordorigin="7946,3086" coordsize="980,5773">
              <v:shape style="position:absolute;left:7946;top:3086;width:980;height:5773" coordorigin="7946,3086" coordsize="980,5773" path="m7946,8858l8926,8858,8926,3086,7946,3086,7946,8858xe" filled="true" fillcolor="#ffffff" stroked="false">
                <v:path arrowok="t"/>
                <v:fill type="solid"/>
              </v:shape>
            </v:group>
            <w10:wrap type="none"/>
          </v:group>
        </w:pict>
      </w:r>
      <w:r>
        <w:rPr/>
        <w:pict>
          <v:group style="position:absolute;margin-left:397.299988pt;margin-top:460.47998pt;width:49pt;height:306.2pt;mso-position-horizontal-relative:page;mso-position-vertical-relative:page;z-index:-1095208" coordorigin="7946,9210" coordsize="980,6124">
            <v:group style="position:absolute;left:7946;top:9561;width:980;height:5773" coordorigin="7946,9561" coordsize="980,5773">
              <v:shape style="position:absolute;left:7946;top:9561;width:980;height:5773" coordorigin="7946,9561" coordsize="980,5773" path="m7946,15334l8926,15334,8926,9561,7946,9561,7946,15334xe" filled="true" fillcolor="#ffffff" stroked="false">
                <v:path arrowok="t"/>
                <v:fill type="solid"/>
              </v:shape>
            </v:group>
            <v:group style="position:absolute;left:7966;top:9210;width:938;height:352" coordorigin="7966,9210" coordsize="938,352">
              <v:shape style="position:absolute;left:7966;top:9210;width:938;height:352" coordorigin="7966,9210" coordsize="938,352" path="m7966,9561l8904,9561,8904,9210,7966,9210,7966,9561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327"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311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0"/>
                <w:sz w:val="18"/>
                <w:szCs w:val="18"/>
              </w:rPr>
              <w:t>股份在转让时会同时遵守当时有效的</w:t>
            </w:r>
          </w:p>
        </w:tc>
        <w:tc>
          <w:tcPr>
            <w:tcW w:w="994" w:type="dxa"/>
            <w:tcBorders>
              <w:top w:val="single" w:sz="12" w:space="0" w:color="000000"/>
              <w:left w:val="single" w:sz="6" w:space="0" w:color="000000"/>
              <w:bottom w:val="nil" w:sz="6" w:space="0" w:color="auto"/>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深</w:t>
            </w:r>
            <w:r>
              <w:rPr>
                <w:rFonts w:ascii="宋体" w:hAnsi="宋体" w:cs="宋体" w:eastAsia="宋体" w:hint="default"/>
                <w:sz w:val="18"/>
                <w:szCs w:val="18"/>
              </w:rPr>
              <w:t>圳证券交易</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所创业板股票上市规则》等法律、法规</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规章和规范性文件以及光一科技《公司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31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章程》的相关规定。</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31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个月内不转</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0"/>
                <w:sz w:val="18"/>
                <w:szCs w:val="18"/>
              </w:rPr>
              <w:t>让本人因本次交易所取得的所支付股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份。</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监事或者聘任为高级管理人员，则本人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承诺按照关于董事、监事及高管持股及</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减持的规定履行持股锁定及减持义务</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88"/>
                <w:sz w:val="18"/>
                <w:szCs w:val="18"/>
              </w:rPr>
              <w:t>）</w:t>
            </w:r>
            <w:r>
              <w:rPr>
                <w:rFonts w:ascii="宋体" w:hAnsi="宋体" w:cs="宋体" w:eastAsia="宋体" w:hint="default"/>
                <w:sz w:val="18"/>
                <w:szCs w:val="18"/>
              </w:rPr>
              <w:t>为保证本次交易盈利预测补偿承诺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的可实现性，本人进一步承诺，如果在</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前述</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锁</w:t>
            </w:r>
            <w:r>
              <w:rPr>
                <w:rFonts w:ascii="宋体" w:hAnsi="宋体" w:cs="宋体" w:eastAsia="宋体" w:hint="default"/>
                <w:sz w:val="18"/>
                <w:szCs w:val="18"/>
              </w:rPr>
              <w:t>定期届满后本人按</w:t>
            </w:r>
            <w:r>
              <w:rPr>
                <w:rFonts w:ascii="宋体" w:hAnsi="宋体" w:cs="宋体" w:eastAsia="宋体" w:hint="default"/>
                <w:spacing w:val="-88"/>
                <w:sz w:val="18"/>
                <w:szCs w:val="18"/>
              </w:rPr>
              <w:t>照</w:t>
            </w:r>
            <w:r>
              <w:rPr>
                <w:rFonts w:ascii="宋体" w:hAnsi="宋体" w:cs="宋体" w:eastAsia="宋体" w:hint="default"/>
                <w:sz w:val="18"/>
                <w:szCs w:val="18"/>
              </w:rPr>
              <w:t>《发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行股份及支付现金购买资产协议》约定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负有股份补偿义务未履行的，则锁定期</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自动延期至本人所负股份补偿义务履行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完毕时止</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w:t>
            </w:r>
            <w:r>
              <w:rPr>
                <w:rFonts w:ascii="宋体" w:hAnsi="宋体" w:cs="宋体" w:eastAsia="宋体" w:hint="default"/>
                <w:sz w:val="18"/>
                <w:szCs w:val="18"/>
              </w:rPr>
              <w:t>本函第一条所述</w:t>
            </w:r>
            <w:r>
              <w:rPr>
                <w:rFonts w:ascii="宋体" w:hAnsi="宋体" w:cs="宋体" w:eastAsia="宋体" w:hint="default"/>
                <w:sz w:val="18"/>
                <w:szCs w:val="18"/>
              </w:rPr>
              <w:t>"</w:t>
            </w:r>
            <w:r>
              <w:rPr>
                <w:rFonts w:ascii="宋体" w:hAnsi="宋体" w:cs="宋体" w:eastAsia="宋体" w:hint="default"/>
                <w:sz w:val="18"/>
                <w:szCs w:val="18"/>
              </w:rPr>
              <w:t>因本次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交易所取得的所支付股份</w:t>
            </w:r>
            <w:r>
              <w:rPr>
                <w:rFonts w:ascii="宋体" w:hAnsi="宋体" w:cs="宋体" w:eastAsia="宋体" w:hint="default"/>
                <w:spacing w:val="4"/>
                <w:sz w:val="18"/>
                <w:szCs w:val="18"/>
              </w:rPr>
              <w:t>"</w:t>
            </w:r>
            <w:r>
              <w:rPr>
                <w:rFonts w:ascii="宋体" w:hAnsi="宋体" w:cs="宋体" w:eastAsia="宋体" w:hint="default"/>
                <w:spacing w:val="4"/>
                <w:sz w:val="18"/>
                <w:szCs w:val="18"/>
              </w:rPr>
              <w:t>包括锁定期</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内本人依据所支付股份按照光一科技分</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配股票股利、资本公积转增股本等原因</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所取得的股份</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）如果中</w:t>
            </w:r>
            <w:r>
              <w:rPr>
                <w:rFonts w:ascii="宋体" w:hAnsi="宋体" w:cs="宋体" w:eastAsia="宋体" w:hint="default"/>
                <w:spacing w:val="1"/>
                <w:sz w:val="18"/>
                <w:szCs w:val="18"/>
              </w:rPr>
              <w:t>国</w:t>
            </w:r>
            <w:r>
              <w:rPr>
                <w:rFonts w:ascii="宋体" w:hAnsi="宋体" w:cs="宋体" w:eastAsia="宋体" w:hint="default"/>
                <w:sz w:val="18"/>
                <w:szCs w:val="18"/>
              </w:rPr>
              <w:t>证监会及</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1560"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0" w:right="19"/>
              <w:jc w:val="left"/>
              <w:rPr>
                <w:rFonts w:ascii="宋体" w:hAnsi="宋体" w:cs="宋体" w:eastAsia="宋体" w:hint="default"/>
                <w:sz w:val="18"/>
                <w:szCs w:val="18"/>
              </w:rPr>
            </w:pPr>
            <w:r>
              <w:rPr>
                <w:rFonts w:ascii="宋体" w:hAnsi="宋体" w:cs="宋体" w:eastAsia="宋体" w:hint="default"/>
                <w:sz w:val="18"/>
                <w:szCs w:val="18"/>
              </w:rPr>
              <w:t>桂长钟、李善 </w:t>
            </w:r>
            <w:r>
              <w:rPr>
                <w:rFonts w:ascii="宋体" w:hAnsi="宋体" w:cs="宋体" w:eastAsia="宋体" w:hint="default"/>
                <w:spacing w:val="-6"/>
                <w:sz w:val="18"/>
                <w:szCs w:val="18"/>
              </w:rPr>
              <w:t>元、周军、田裕</w:t>
            </w:r>
            <w:r>
              <w:rPr>
                <w:rFonts w:ascii="宋体" w:hAnsi="宋体" w:cs="宋体" w:eastAsia="宋体" w:hint="default"/>
                <w:sz w:val="18"/>
                <w:szCs w:val="18"/>
              </w:rPr>
              <w:t> </w:t>
            </w:r>
            <w:r>
              <w:rPr>
                <w:rFonts w:ascii="宋体" w:hAnsi="宋体" w:cs="宋体" w:eastAsia="宋体" w:hint="default"/>
                <w:spacing w:val="-6"/>
                <w:sz w:val="18"/>
                <w:szCs w:val="18"/>
              </w:rPr>
              <w:t>树、方旭东、李</w:t>
            </w:r>
            <w:r>
              <w:rPr>
                <w:rFonts w:ascii="宋体" w:hAnsi="宋体" w:cs="宋体" w:eastAsia="宋体" w:hint="default"/>
                <w:sz w:val="18"/>
                <w:szCs w:val="18"/>
              </w:rPr>
              <w:t> 强、徐光涛</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0"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118" w:type="dxa"/>
            <w:tcBorders>
              <w:top w:val="nil" w:sz="6" w:space="0" w:color="auto"/>
              <w:left w:val="single" w:sz="6" w:space="0" w:color="000000"/>
              <w:bottom w:val="nil" w:sz="6" w:space="0" w:color="auto"/>
              <w:right w:val="single" w:sz="14" w:space="0" w:color="FFFFFF"/>
            </w:tcBorders>
          </w:tcPr>
          <w:p>
            <w:pPr>
              <w:pStyle w:val="TableParagraph"/>
              <w:spacing w:line="316" w:lineRule="auto" w:before="10"/>
              <w:ind w:left="20" w:right="8"/>
              <w:jc w:val="left"/>
              <w:rPr>
                <w:rFonts w:ascii="宋体" w:hAnsi="宋体" w:cs="宋体" w:eastAsia="宋体" w:hint="default"/>
                <w:sz w:val="18"/>
                <w:szCs w:val="18"/>
              </w:rPr>
            </w:pPr>
            <w:r>
              <w:rPr>
                <w:rFonts w:ascii="宋体" w:hAnsi="宋体" w:cs="宋体" w:eastAsia="宋体" w:hint="default"/>
                <w:sz w:val="18"/>
                <w:szCs w:val="18"/>
              </w:rPr>
              <w:t>或深圳证券交易所对于上述锁定期安排 有不同意见及或要求的，本人将按照中 国证监会及或深圳证券交易所的意见对 </w:t>
            </w:r>
            <w:r>
              <w:rPr>
                <w:rFonts w:ascii="宋体" w:hAnsi="宋体" w:cs="宋体" w:eastAsia="宋体" w:hint="default"/>
                <w:spacing w:val="-10"/>
                <w:sz w:val="18"/>
                <w:szCs w:val="18"/>
              </w:rPr>
              <w:t>上述锁定期安排进行修订并予执行。（</w:t>
            </w:r>
            <w:r>
              <w:rPr>
                <w:rFonts w:ascii="宋体" w:hAnsi="宋体" w:cs="宋体" w:eastAsia="宋体" w:hint="default"/>
                <w:spacing w:val="-10"/>
                <w:sz w:val="18"/>
                <w:szCs w:val="18"/>
              </w:rPr>
              <w:t>5</w:t>
            </w:r>
            <w:r>
              <w:rPr>
                <w:rFonts w:ascii="宋体" w:hAnsi="宋体" w:cs="宋体" w:eastAsia="宋体" w:hint="default"/>
                <w:spacing w:val="-88"/>
                <w:sz w:val="18"/>
                <w:szCs w:val="18"/>
              </w:rPr>
              <w:t> </w:t>
            </w:r>
            <w:r>
              <w:rPr>
                <w:rFonts w:ascii="宋体" w:hAnsi="宋体" w:cs="宋体" w:eastAsia="宋体" w:hint="default"/>
                <w:sz w:val="18"/>
                <w:szCs w:val="18"/>
              </w:rPr>
              <w:t>如本人根据《发行股份及支付现金购买</w:t>
            </w:r>
          </w:p>
        </w:tc>
        <w:tc>
          <w:tcPr>
            <w:tcW w:w="994" w:type="dxa"/>
            <w:tcBorders>
              <w:top w:val="nil" w:sz="6" w:space="0" w:color="auto"/>
              <w:left w:val="single" w:sz="14" w:space="0" w:color="FFFFFF"/>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195" w:lineRule="exact" w:before="76"/>
              <w:ind w:left="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19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资产协议》约定负有股份补偿义务，则</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本人将在《专项审核报告》及《减值测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试报告</w:t>
            </w:r>
            <w:r>
              <w:rPr>
                <w:rFonts w:ascii="宋体" w:hAnsi="宋体" w:cs="宋体" w:eastAsia="宋体" w:hint="default"/>
                <w:spacing w:val="-135"/>
                <w:sz w:val="18"/>
                <w:szCs w:val="18"/>
              </w:rPr>
              <w:t>》</w:t>
            </w:r>
            <w:r>
              <w:rPr>
                <w:rFonts w:ascii="宋体" w:hAnsi="宋体" w:cs="宋体" w:eastAsia="宋体" w:hint="default"/>
                <w:sz w:val="18"/>
                <w:szCs w:val="18"/>
              </w:rPr>
              <w:t>（如有</w:t>
            </w:r>
            <w:r>
              <w:rPr>
                <w:rFonts w:ascii="宋体" w:hAnsi="宋体" w:cs="宋体" w:eastAsia="宋体" w:hint="default"/>
                <w:spacing w:val="-45"/>
                <w:sz w:val="18"/>
                <w:szCs w:val="18"/>
              </w:rPr>
              <w:t>）</w:t>
            </w:r>
            <w:r>
              <w:rPr>
                <w:rFonts w:ascii="宋体" w:hAnsi="宋体" w:cs="宋体" w:eastAsia="宋体" w:hint="default"/>
                <w:sz w:val="18"/>
                <w:szCs w:val="18"/>
              </w:rPr>
              <w:t>披露后十个工作日内向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登记结算公司发出将本人应补偿的股份</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划转至光一科技董事会设立的专门账户</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并对该等用于支付补偿的股份进行锁定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的指令，并明确说明只有光一科技有权</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做出解除该等锁定的指令。光一科技应</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为本人办理《发行股份及支付现金购买</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资产协议》约定的补偿股份划转手续提</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供协助及便利</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）本人进</w:t>
            </w:r>
            <w:r>
              <w:rPr>
                <w:rFonts w:ascii="宋体" w:hAnsi="宋体" w:cs="宋体" w:eastAsia="宋体" w:hint="default"/>
                <w:spacing w:val="1"/>
                <w:sz w:val="18"/>
                <w:szCs w:val="18"/>
              </w:rPr>
              <w:t>一</w:t>
            </w:r>
            <w:r>
              <w:rPr>
                <w:rFonts w:ascii="宋体" w:hAnsi="宋体" w:cs="宋体" w:eastAsia="宋体" w:hint="default"/>
                <w:sz w:val="18"/>
                <w:szCs w:val="18"/>
              </w:rPr>
              <w:t>步承诺，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本人因本次交易所取得的所支付股份在</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0"/>
                <w:sz w:val="18"/>
                <w:szCs w:val="18"/>
              </w:rPr>
              <w:t>转让时会同时遵守当时有效的《公司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《证券法</w:t>
            </w:r>
            <w:r>
              <w:rPr>
                <w:rFonts w:ascii="宋体" w:hAnsi="宋体" w:cs="宋体" w:eastAsia="宋体" w:hint="default"/>
                <w:spacing w:val="-8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《深圳证券</w:t>
            </w:r>
            <w:r>
              <w:rPr>
                <w:rFonts w:ascii="宋体" w:hAnsi="宋体" w:cs="宋体" w:eastAsia="宋体" w:hint="default"/>
                <w:spacing w:val="1"/>
                <w:sz w:val="18"/>
                <w:szCs w:val="18"/>
              </w:rPr>
              <w:t>交</w:t>
            </w:r>
            <w:r>
              <w:rPr>
                <w:rFonts w:ascii="宋体" w:hAnsi="宋体" w:cs="宋体" w:eastAsia="宋体" w:hint="default"/>
                <w:sz w:val="18"/>
                <w:szCs w:val="18"/>
              </w:rPr>
              <w:t>易所创业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板股票上市规则》等法律、法规、规章</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和规范性文件以及光一科技</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66"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31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13799" w:hRule="exact"/>
        </w:trPr>
        <w:tc>
          <w:tcPr>
            <w:tcW w:w="1845" w:type="dxa"/>
            <w:tcBorders>
              <w:top w:val="single" w:sz="12" w:space="0" w:color="000000"/>
              <w:left w:val="single" w:sz="12" w:space="0" w:color="000000"/>
              <w:bottom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12"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0" w:right="-23"/>
              <w:jc w:val="left"/>
              <w:rPr>
                <w:rFonts w:ascii="宋体" w:hAnsi="宋体" w:cs="宋体" w:eastAsia="宋体" w:hint="default"/>
                <w:sz w:val="18"/>
                <w:szCs w:val="18"/>
              </w:rPr>
            </w:pPr>
            <w:r>
              <w:rPr>
                <w:rFonts w:ascii="宋体" w:hAnsi="宋体" w:cs="宋体" w:eastAsia="宋体" w:hint="default"/>
                <w:sz w:val="18"/>
                <w:szCs w:val="18"/>
              </w:rPr>
              <w:t>任昌兆、任晶 </w:t>
            </w:r>
            <w:r>
              <w:rPr>
                <w:rFonts w:ascii="宋体" w:hAnsi="宋体" w:cs="宋体" w:eastAsia="宋体" w:hint="default"/>
                <w:spacing w:val="-6"/>
                <w:sz w:val="18"/>
                <w:szCs w:val="18"/>
              </w:rPr>
              <w:t>晶、桂长钟、李</w:t>
            </w:r>
            <w:r>
              <w:rPr>
                <w:rFonts w:ascii="宋体" w:hAnsi="宋体" w:cs="宋体" w:eastAsia="宋体" w:hint="default"/>
                <w:sz w:val="18"/>
                <w:szCs w:val="18"/>
              </w:rPr>
              <w:t> </w:t>
            </w:r>
            <w:r>
              <w:rPr>
                <w:rFonts w:ascii="宋体" w:hAnsi="宋体" w:cs="宋体" w:eastAsia="宋体" w:hint="default"/>
                <w:spacing w:val="-6"/>
                <w:sz w:val="18"/>
                <w:szCs w:val="18"/>
              </w:rPr>
              <w:t>善元、周军、田</w:t>
            </w:r>
            <w:r>
              <w:rPr>
                <w:rFonts w:ascii="宋体" w:hAnsi="宋体" w:cs="宋体" w:eastAsia="宋体" w:hint="default"/>
                <w:sz w:val="18"/>
                <w:szCs w:val="18"/>
              </w:rPr>
              <w:t> 裕树、方旭东、 </w:t>
            </w:r>
            <w:r>
              <w:rPr>
                <w:rFonts w:ascii="宋体" w:hAnsi="宋体" w:cs="宋体" w:eastAsia="宋体" w:hint="default"/>
                <w:spacing w:val="-6"/>
                <w:sz w:val="18"/>
                <w:szCs w:val="18"/>
              </w:rPr>
              <w:t>李强、徐光涛及</w:t>
            </w:r>
            <w:r>
              <w:rPr>
                <w:rFonts w:ascii="宋体" w:hAnsi="宋体" w:cs="宋体" w:eastAsia="宋体" w:hint="default"/>
                <w:sz w:val="18"/>
                <w:szCs w:val="18"/>
              </w:rPr>
              <w:t> 湖北乾瀚投资 有限公司</w:t>
            </w:r>
          </w:p>
        </w:tc>
        <w:tc>
          <w:tcPr>
            <w:tcW w:w="851" w:type="dxa"/>
            <w:tcBorders>
              <w:top w:val="single" w:sz="12" w:space="0" w:color="000000"/>
              <w:left w:val="single" w:sz="9" w:space="0" w:color="FFFFFF"/>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16"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20" w:right="18"/>
              <w:jc w:val="both"/>
              <w:rPr>
                <w:rFonts w:ascii="宋体" w:hAnsi="宋体" w:cs="宋体" w:eastAsia="宋体" w:hint="default"/>
                <w:sz w:val="18"/>
                <w:szCs w:val="18"/>
              </w:rPr>
            </w:pPr>
            <w:r>
              <w:rPr>
                <w:rFonts w:ascii="宋体" w:hAnsi="宋体" w:cs="宋体" w:eastAsia="宋体" w:hint="default"/>
                <w:spacing w:val="-10"/>
                <w:sz w:val="18"/>
                <w:szCs w:val="18"/>
              </w:rPr>
              <w:t>根据《盈利承诺及补偿协议》、《盈利承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诺及补偿之补充协议》，承诺索瑞电气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2014</w:t>
            </w:r>
            <w:r>
              <w:rPr>
                <w:rFonts w:ascii="宋体" w:hAnsi="宋体" w:cs="宋体" w:eastAsia="宋体" w:hint="default"/>
                <w:spacing w:val="-29"/>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29"/>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30"/>
                <w:sz w:val="18"/>
                <w:szCs w:val="18"/>
              </w:rPr>
              <w:t> </w:t>
            </w:r>
            <w:r>
              <w:rPr>
                <w:rFonts w:ascii="宋体" w:hAnsi="宋体" w:cs="宋体" w:eastAsia="宋体" w:hint="default"/>
                <w:sz w:val="18"/>
                <w:szCs w:val="18"/>
              </w:rPr>
              <w:t>年度实现 的净利润比较扣非后的净利润按照孰低 原则确定分别不低于</w:t>
            </w:r>
            <w:r>
              <w:rPr>
                <w:rFonts w:ascii="宋体" w:hAnsi="宋体" w:cs="宋体" w:eastAsia="宋体" w:hint="default"/>
                <w:spacing w:val="-46"/>
                <w:sz w:val="18"/>
                <w:szCs w:val="18"/>
              </w:rPr>
              <w:t> </w:t>
            </w:r>
            <w:r>
              <w:rPr>
                <w:rFonts w:ascii="宋体" w:hAnsi="宋体" w:cs="宋体" w:eastAsia="宋体" w:hint="default"/>
                <w:sz w:val="18"/>
                <w:szCs w:val="18"/>
              </w:rPr>
              <w:t>7,500</w:t>
            </w:r>
            <w:r>
              <w:rPr>
                <w:rFonts w:ascii="宋体" w:hAnsi="宋体" w:cs="宋体" w:eastAsia="宋体" w:hint="default"/>
                <w:spacing w:val="-45"/>
                <w:sz w:val="18"/>
                <w:szCs w:val="18"/>
              </w:rPr>
              <w:t> </w:t>
            </w:r>
            <w:r>
              <w:rPr>
                <w:rFonts w:ascii="宋体" w:hAnsi="宋体" w:cs="宋体" w:eastAsia="宋体" w:hint="default"/>
                <w:spacing w:val="-11"/>
                <w:sz w:val="18"/>
                <w:szCs w:val="18"/>
              </w:rPr>
              <w:t>万元、</w:t>
            </w:r>
            <w:r>
              <w:rPr>
                <w:rFonts w:ascii="宋体" w:hAnsi="宋体" w:cs="宋体" w:eastAsia="宋体" w:hint="default"/>
                <w:spacing w:val="-11"/>
                <w:sz w:val="18"/>
                <w:szCs w:val="18"/>
              </w:rPr>
              <w:t>8,100</w:t>
            </w:r>
          </w:p>
          <w:p>
            <w:pPr>
              <w:pStyle w:val="TableParagraph"/>
              <w:spacing w:line="316" w:lineRule="auto" w:before="19"/>
              <w:ind w:left="20" w:right="6"/>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8,400</w:t>
            </w:r>
            <w:r>
              <w:rPr>
                <w:rFonts w:ascii="宋体" w:hAnsi="宋体" w:cs="宋体" w:eastAsia="宋体" w:hint="default"/>
                <w:spacing w:val="-45"/>
                <w:sz w:val="18"/>
                <w:szCs w:val="18"/>
              </w:rPr>
              <w:t> </w:t>
            </w:r>
            <w:r>
              <w:rPr>
                <w:rFonts w:ascii="宋体" w:hAnsi="宋体" w:cs="宋体" w:eastAsia="宋体" w:hint="default"/>
                <w:sz w:val="18"/>
                <w:szCs w:val="18"/>
              </w:rPr>
              <w:t>万元。若标的资产在</w:t>
            </w:r>
            <w:r>
              <w:rPr>
                <w:rFonts w:ascii="宋体" w:hAnsi="宋体" w:cs="宋体" w:eastAsia="宋体" w:hint="default"/>
                <w:spacing w:val="-45"/>
                <w:sz w:val="18"/>
                <w:szCs w:val="18"/>
              </w:rPr>
              <w:t> </w:t>
            </w:r>
            <w:r>
              <w:rPr>
                <w:rFonts w:ascii="宋体" w:hAnsi="宋体" w:cs="宋体" w:eastAsia="宋体" w:hint="default"/>
                <w:sz w:val="18"/>
                <w:szCs w:val="18"/>
              </w:rPr>
              <w:t>2014 </w:t>
            </w:r>
            <w:r>
              <w:rPr>
                <w:rFonts w:ascii="宋体" w:hAnsi="宋体" w:cs="宋体" w:eastAsia="宋体" w:hint="default"/>
                <w:sz w:val="18"/>
                <w:szCs w:val="18"/>
              </w:rPr>
              <w:t>年度无法完成交割，则索瑞电气的盈利 承诺期变更为</w:t>
            </w:r>
            <w:r>
              <w:rPr>
                <w:rFonts w:ascii="宋体" w:hAnsi="宋体" w:cs="宋体" w:eastAsia="宋体" w:hint="default"/>
                <w:spacing w:val="-29"/>
                <w:sz w:val="18"/>
                <w:szCs w:val="18"/>
              </w:rPr>
              <w:t> </w:t>
            </w:r>
            <w:r>
              <w:rPr>
                <w:rFonts w:ascii="宋体" w:hAnsi="宋体" w:cs="宋体" w:eastAsia="宋体" w:hint="default"/>
                <w:sz w:val="18"/>
                <w:szCs w:val="18"/>
              </w:rPr>
              <w:t>2014</w:t>
            </w:r>
            <w:r>
              <w:rPr>
                <w:rFonts w:ascii="宋体" w:hAnsi="宋体" w:cs="宋体" w:eastAsia="宋体" w:hint="default"/>
                <w:spacing w:val="-29"/>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29"/>
                <w:sz w:val="18"/>
                <w:szCs w:val="18"/>
              </w:rPr>
              <w:t> </w:t>
            </w:r>
            <w:r>
              <w:rPr>
                <w:rFonts w:ascii="宋体" w:hAnsi="宋体" w:cs="宋体" w:eastAsia="宋体" w:hint="default"/>
                <w:sz w:val="18"/>
                <w:szCs w:val="18"/>
              </w:rPr>
              <w:t>年度、 </w:t>
            </w:r>
            <w:r>
              <w:rPr>
                <w:rFonts w:ascii="宋体" w:hAnsi="宋体" w:cs="宋体" w:eastAsia="宋体" w:hint="default"/>
                <w:sz w:val="18"/>
                <w:szCs w:val="18"/>
              </w:rPr>
              <w:t>2016</w:t>
            </w:r>
            <w:r>
              <w:rPr>
                <w:rFonts w:ascii="宋体" w:hAnsi="宋体" w:cs="宋体" w:eastAsia="宋体" w:hint="default"/>
                <w:spacing w:val="-67"/>
                <w:sz w:val="18"/>
                <w:szCs w:val="18"/>
              </w:rPr>
              <w:t> </w:t>
            </w:r>
            <w:r>
              <w:rPr>
                <w:rFonts w:ascii="宋体" w:hAnsi="宋体" w:cs="宋体" w:eastAsia="宋体" w:hint="default"/>
                <w:sz w:val="18"/>
                <w:szCs w:val="18"/>
              </w:rPr>
              <w:t>年度以及</w:t>
            </w:r>
            <w:r>
              <w:rPr>
                <w:rFonts w:ascii="宋体" w:hAnsi="宋体" w:cs="宋体" w:eastAsia="宋体" w:hint="default"/>
                <w:spacing w:val="-68"/>
                <w:sz w:val="18"/>
                <w:szCs w:val="18"/>
              </w:rPr>
              <w:t> </w:t>
            </w:r>
            <w:r>
              <w:rPr>
                <w:rFonts w:ascii="宋体" w:hAnsi="宋体" w:cs="宋体" w:eastAsia="宋体" w:hint="default"/>
                <w:sz w:val="18"/>
                <w:szCs w:val="18"/>
              </w:rPr>
              <w:t>2017</w:t>
            </w:r>
            <w:r>
              <w:rPr>
                <w:rFonts w:ascii="宋体" w:hAnsi="宋体" w:cs="宋体" w:eastAsia="宋体" w:hint="default"/>
                <w:spacing w:val="-68"/>
                <w:sz w:val="18"/>
                <w:szCs w:val="18"/>
              </w:rPr>
              <w:t> </w:t>
            </w:r>
            <w:r>
              <w:rPr>
                <w:rFonts w:ascii="宋体" w:hAnsi="宋体" w:cs="宋体" w:eastAsia="宋体" w:hint="default"/>
                <w:spacing w:val="-13"/>
                <w:sz w:val="18"/>
                <w:szCs w:val="18"/>
              </w:rPr>
              <w:t>年度，索瑞电气</w:t>
            </w:r>
            <w:r>
              <w:rPr>
                <w:rFonts w:ascii="宋体" w:hAnsi="宋体" w:cs="宋体" w:eastAsia="宋体" w:hint="default"/>
                <w:spacing w:val="-68"/>
                <w:sz w:val="18"/>
                <w:szCs w:val="18"/>
              </w:rPr>
              <w:t> </w:t>
            </w:r>
            <w:r>
              <w:rPr>
                <w:rFonts w:ascii="宋体" w:hAnsi="宋体" w:cs="宋体" w:eastAsia="宋体" w:hint="default"/>
                <w:sz w:val="18"/>
                <w:szCs w:val="18"/>
              </w:rPr>
              <w:t>2014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29"/>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29"/>
                <w:sz w:val="18"/>
                <w:szCs w:val="18"/>
              </w:rPr>
              <w:t> </w:t>
            </w:r>
            <w:r>
              <w:rPr>
                <w:rFonts w:ascii="宋体" w:hAnsi="宋体" w:cs="宋体" w:eastAsia="宋体" w:hint="default"/>
                <w:sz w:val="18"/>
                <w:szCs w:val="18"/>
              </w:rPr>
              <w:t>年度以及</w:t>
            </w:r>
            <w:r>
              <w:rPr>
                <w:rFonts w:ascii="宋体" w:hAnsi="宋体" w:cs="宋体" w:eastAsia="宋体" w:hint="default"/>
                <w:spacing w:val="-29"/>
                <w:sz w:val="18"/>
                <w:szCs w:val="18"/>
              </w:rPr>
              <w:t> </w:t>
            </w:r>
            <w:r>
              <w:rPr>
                <w:rFonts w:ascii="宋体" w:hAnsi="宋体" w:cs="宋体" w:eastAsia="宋体" w:hint="default"/>
                <w:sz w:val="18"/>
                <w:szCs w:val="18"/>
              </w:rPr>
              <w:t>2017 </w:t>
            </w:r>
            <w:r>
              <w:rPr>
                <w:rFonts w:ascii="宋体" w:hAnsi="宋体" w:cs="宋体" w:eastAsia="宋体" w:hint="default"/>
                <w:sz w:val="18"/>
                <w:szCs w:val="18"/>
              </w:rPr>
              <w:t>年度实现的净利润比较扣非后的净利润 按照孰低原则确定分别不低于</w:t>
            </w:r>
            <w:r>
              <w:rPr>
                <w:rFonts w:ascii="宋体" w:hAnsi="宋体" w:cs="宋体" w:eastAsia="宋体" w:hint="default"/>
                <w:spacing w:val="-44"/>
                <w:sz w:val="18"/>
                <w:szCs w:val="18"/>
              </w:rPr>
              <w:t> </w:t>
            </w:r>
            <w:r>
              <w:rPr>
                <w:rFonts w:ascii="宋体" w:hAnsi="宋体" w:cs="宋体" w:eastAsia="宋体" w:hint="default"/>
                <w:sz w:val="18"/>
                <w:szCs w:val="18"/>
              </w:rPr>
              <w:t>7,500</w:t>
            </w:r>
            <w:r>
              <w:rPr>
                <w:rFonts w:ascii="宋体" w:hAnsi="宋体" w:cs="宋体" w:eastAsia="宋体" w:hint="default"/>
                <w:spacing w:val="-45"/>
                <w:sz w:val="18"/>
                <w:szCs w:val="18"/>
              </w:rPr>
              <w:t> </w:t>
            </w:r>
            <w:r>
              <w:rPr>
                <w:rFonts w:ascii="宋体" w:hAnsi="宋体" w:cs="宋体" w:eastAsia="宋体" w:hint="default"/>
                <w:sz w:val="18"/>
                <w:szCs w:val="18"/>
              </w:rPr>
              <w:t>万 </w:t>
            </w:r>
            <w:r>
              <w:rPr>
                <w:rFonts w:ascii="宋体" w:hAnsi="宋体" w:cs="宋体" w:eastAsia="宋体" w:hint="default"/>
                <w:spacing w:val="-4"/>
                <w:sz w:val="18"/>
                <w:szCs w:val="18"/>
              </w:rPr>
              <w:t>元、</w:t>
            </w:r>
            <w:r>
              <w:rPr>
                <w:rFonts w:ascii="宋体" w:hAnsi="宋体" w:cs="宋体" w:eastAsia="宋体" w:hint="default"/>
                <w:spacing w:val="-4"/>
                <w:sz w:val="18"/>
                <w:szCs w:val="18"/>
              </w:rPr>
              <w:t>8,100</w:t>
            </w:r>
            <w:r>
              <w:rPr>
                <w:rFonts w:ascii="宋体" w:hAnsi="宋体" w:cs="宋体" w:eastAsia="宋体" w:hint="default"/>
                <w:spacing w:val="-44"/>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8,400</w:t>
            </w:r>
            <w:r>
              <w:rPr>
                <w:rFonts w:ascii="宋体" w:hAnsi="宋体" w:cs="宋体" w:eastAsia="宋体" w:hint="default"/>
                <w:spacing w:val="-44"/>
                <w:sz w:val="18"/>
                <w:szCs w:val="18"/>
              </w:rPr>
              <w:t> </w:t>
            </w:r>
            <w:r>
              <w:rPr>
                <w:rFonts w:ascii="宋体" w:hAnsi="宋体" w:cs="宋体" w:eastAsia="宋体" w:hint="default"/>
                <w:sz w:val="18"/>
                <w:szCs w:val="18"/>
              </w:rPr>
              <w:t>万元以及</w:t>
            </w:r>
            <w:r>
              <w:rPr>
                <w:rFonts w:ascii="宋体" w:hAnsi="宋体" w:cs="宋体" w:eastAsia="宋体" w:hint="default"/>
                <w:spacing w:val="-44"/>
                <w:sz w:val="18"/>
                <w:szCs w:val="18"/>
              </w:rPr>
              <w:t> </w:t>
            </w:r>
            <w:r>
              <w:rPr>
                <w:rFonts w:ascii="宋体" w:hAnsi="宋体" w:cs="宋体" w:eastAsia="宋体" w:hint="default"/>
                <w:sz w:val="18"/>
                <w:szCs w:val="18"/>
              </w:rPr>
              <w:t>8,700 </w:t>
            </w:r>
            <w:r>
              <w:rPr>
                <w:rFonts w:ascii="宋体" w:hAnsi="宋体" w:cs="宋体" w:eastAsia="宋体" w:hint="default"/>
                <w:spacing w:val="-5"/>
                <w:sz w:val="18"/>
                <w:szCs w:val="18"/>
              </w:rPr>
              <w:t>万元。（</w:t>
            </w:r>
            <w:r>
              <w:rPr>
                <w:rFonts w:ascii="宋体" w:hAnsi="宋体" w:cs="宋体" w:eastAsia="宋体" w:hint="default"/>
                <w:spacing w:val="-5"/>
                <w:sz w:val="18"/>
                <w:szCs w:val="18"/>
              </w:rPr>
              <w:t>1</w:t>
            </w:r>
            <w:r>
              <w:rPr>
                <w:rFonts w:ascii="宋体" w:hAnsi="宋体" w:cs="宋体" w:eastAsia="宋体" w:hint="default"/>
                <w:spacing w:val="-5"/>
                <w:sz w:val="18"/>
                <w:szCs w:val="18"/>
              </w:rPr>
              <w:t>）对盈利承诺的补偿如索瑞电</w:t>
            </w:r>
            <w:r>
              <w:rPr>
                <w:rFonts w:ascii="宋体" w:hAnsi="宋体" w:cs="宋体" w:eastAsia="宋体" w:hint="default"/>
                <w:sz w:val="18"/>
                <w:szCs w:val="18"/>
              </w:rPr>
              <w:t> </w:t>
            </w:r>
            <w:r>
              <w:rPr>
                <w:rFonts w:ascii="宋体" w:hAnsi="宋体" w:cs="宋体" w:eastAsia="宋体" w:hint="default"/>
                <w:spacing w:val="10"/>
                <w:sz w:val="18"/>
                <w:szCs w:val="18"/>
              </w:rPr>
              <w:t>气在盈利承诺期内未能实现承诺净利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润，则盈利承诺补偿义务人应在盈利承</w:t>
            </w:r>
            <w:r>
              <w:rPr>
                <w:rFonts w:ascii="宋体" w:hAnsi="宋体" w:cs="宋体" w:eastAsia="宋体" w:hint="default"/>
                <w:sz w:val="18"/>
                <w:szCs w:val="18"/>
              </w:rPr>
              <w:t> 诺期内各年度《专项审核报告》在指定 媒体披露后的十个工作日内，向光一科 技支付补偿。当期的补偿金额按照如下 </w:t>
            </w:r>
            <w:r>
              <w:rPr>
                <w:rFonts w:ascii="宋体" w:hAnsi="宋体" w:cs="宋体" w:eastAsia="宋体" w:hint="default"/>
                <w:spacing w:val="-5"/>
                <w:sz w:val="18"/>
                <w:szCs w:val="18"/>
              </w:rPr>
              <w:t>方式计算：当期应补偿金额</w:t>
            </w:r>
            <w:r>
              <w:rPr>
                <w:rFonts w:ascii="宋体" w:hAnsi="宋体" w:cs="宋体" w:eastAsia="宋体" w:hint="default"/>
                <w:spacing w:val="-5"/>
                <w:sz w:val="18"/>
                <w:szCs w:val="18"/>
              </w:rPr>
              <w:t>=</w:t>
            </w:r>
            <w:r>
              <w:rPr>
                <w:rFonts w:ascii="宋体" w:hAnsi="宋体" w:cs="宋体" w:eastAsia="宋体" w:hint="default"/>
                <w:spacing w:val="-5"/>
                <w:sz w:val="18"/>
                <w:szCs w:val="18"/>
              </w:rPr>
              <w:t>（截至当期</w:t>
            </w:r>
            <w:r>
              <w:rPr>
                <w:rFonts w:ascii="宋体" w:hAnsi="宋体" w:cs="宋体" w:eastAsia="宋体" w:hint="default"/>
                <w:sz w:val="18"/>
                <w:szCs w:val="18"/>
              </w:rPr>
              <w:t> 期末累计承诺净利润数－截至当期期末</w:t>
            </w:r>
            <w:r>
              <w:rPr>
                <w:rFonts w:ascii="宋体" w:hAnsi="宋体" w:cs="宋体" w:eastAsia="宋体" w:hint="default"/>
                <w:sz w:val="18"/>
                <w:szCs w:val="18"/>
              </w:rPr>
              <w:t> 累计实际实现净利润数）÷盈利承诺期 内各年度承诺净利润之和×本次交易的 总对价－已补偿金额。如索瑞电气在承 诺期内未能实现承诺净利润，则盈利承 诺补偿义务人应以当年应补偿金额为基 数按照其在本次交易中所获对价占盈利 承诺补偿义务人本次交易所获交易对价 总额的比例确定其单方应补偿金额。承 </w:t>
            </w:r>
            <w:r>
              <w:rPr>
                <w:rFonts w:ascii="宋体" w:hAnsi="宋体" w:cs="宋体" w:eastAsia="宋体" w:hint="default"/>
                <w:spacing w:val="10"/>
                <w:sz w:val="18"/>
                <w:szCs w:val="18"/>
              </w:rPr>
              <w:t>诺期内，索瑞电气累计未实现利润在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pacing w:val="-4"/>
                <w:sz w:val="18"/>
                <w:szCs w:val="18"/>
              </w:rPr>
              <w:t>万元以下的（含</w:t>
            </w:r>
            <w:r>
              <w:rPr>
                <w:rFonts w:ascii="宋体" w:hAnsi="宋体" w:cs="宋体" w:eastAsia="宋体" w:hint="default"/>
                <w:spacing w:val="-45"/>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pacing w:val="-16"/>
                <w:sz w:val="18"/>
                <w:szCs w:val="18"/>
              </w:rPr>
              <w:t>万元整），盈利</w:t>
            </w:r>
            <w:r>
              <w:rPr>
                <w:rFonts w:ascii="宋体" w:hAnsi="宋体" w:cs="宋体" w:eastAsia="宋体" w:hint="default"/>
                <w:sz w:val="18"/>
                <w:szCs w:val="18"/>
              </w:rPr>
              <w:t> 承诺补偿义务人用现金进行补偿，累计 未实现利润超过</w:t>
            </w:r>
            <w:r>
              <w:rPr>
                <w:rFonts w:ascii="宋体" w:hAnsi="宋体" w:cs="宋体" w:eastAsia="宋体" w:hint="default"/>
                <w:spacing w:val="-44"/>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万元且盈利承诺补 偿义务人所获得股份对价不足补偿时， </w:t>
            </w:r>
            <w:r>
              <w:rPr>
                <w:rFonts w:ascii="宋体" w:hAnsi="宋体" w:cs="宋体" w:eastAsia="宋体" w:hint="default"/>
                <w:spacing w:val="11"/>
                <w:sz w:val="18"/>
                <w:szCs w:val="18"/>
              </w:rPr>
              <w:t>各盈利承诺补偿义务人用现金进行补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偿。以股份方式补偿的具体补偿方式如</w:t>
            </w:r>
            <w:r>
              <w:rPr>
                <w:rFonts w:ascii="宋体" w:hAnsi="宋体" w:cs="宋体" w:eastAsia="宋体" w:hint="default"/>
                <w:sz w:val="18"/>
                <w:szCs w:val="18"/>
              </w:rPr>
              <w:t> </w:t>
            </w:r>
            <w:r>
              <w:rPr>
                <w:rFonts w:ascii="宋体" w:hAnsi="宋体" w:cs="宋体" w:eastAsia="宋体" w:hint="default"/>
                <w:spacing w:val="-5"/>
                <w:sz w:val="18"/>
                <w:szCs w:val="18"/>
              </w:rPr>
              <w:t>下：当期应补偿股份数量</w:t>
            </w:r>
            <w:r>
              <w:rPr>
                <w:rFonts w:ascii="宋体" w:hAnsi="宋体" w:cs="宋体" w:eastAsia="宋体" w:hint="default"/>
                <w:spacing w:val="-5"/>
                <w:sz w:val="18"/>
                <w:szCs w:val="18"/>
              </w:rPr>
              <w:t>=</w:t>
            </w:r>
            <w:r>
              <w:rPr>
                <w:rFonts w:ascii="宋体" w:hAnsi="宋体" w:cs="宋体" w:eastAsia="宋体" w:hint="default"/>
                <w:spacing w:val="-5"/>
                <w:sz w:val="18"/>
                <w:szCs w:val="18"/>
              </w:rPr>
              <w:t>当期应补偿金</w:t>
            </w:r>
            <w:r>
              <w:rPr>
                <w:rFonts w:ascii="宋体" w:hAnsi="宋体" w:cs="宋体" w:eastAsia="宋体" w:hint="default"/>
                <w:spacing w:val="-88"/>
                <w:sz w:val="18"/>
                <w:szCs w:val="18"/>
              </w:rPr>
              <w:t> </w:t>
            </w:r>
            <w:r>
              <w:rPr>
                <w:rFonts w:ascii="宋体" w:hAnsi="宋体" w:cs="宋体" w:eastAsia="宋体" w:hint="default"/>
                <w:spacing w:val="-5"/>
                <w:sz w:val="18"/>
                <w:szCs w:val="18"/>
              </w:rPr>
              <w:t>额</w:t>
            </w:r>
            <w:r>
              <w:rPr>
                <w:rFonts w:ascii="宋体" w:hAnsi="宋体" w:cs="宋体" w:eastAsia="宋体" w:hint="default"/>
                <w:spacing w:val="-5"/>
                <w:sz w:val="18"/>
                <w:szCs w:val="18"/>
              </w:rPr>
              <w:t>/</w:t>
            </w:r>
            <w:r>
              <w:rPr>
                <w:rFonts w:ascii="宋体" w:hAnsi="宋体" w:cs="宋体" w:eastAsia="宋体" w:hint="default"/>
                <w:spacing w:val="-5"/>
                <w:sz w:val="18"/>
                <w:szCs w:val="18"/>
              </w:rPr>
              <w:t>本次发行股份的价格。光一科技在承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诺期内实施资本公积金转增股本或分配</w:t>
            </w:r>
            <w:r>
              <w:rPr>
                <w:rFonts w:ascii="宋体" w:hAnsi="宋体" w:cs="宋体" w:eastAsia="宋体" w:hint="default"/>
                <w:sz w:val="18"/>
                <w:szCs w:val="18"/>
              </w:rPr>
              <w:t> 股票股利的，则应补偿股份数量相应调 </w:t>
            </w:r>
            <w:r>
              <w:rPr>
                <w:rFonts w:ascii="宋体" w:hAnsi="宋体" w:cs="宋体" w:eastAsia="宋体" w:hint="default"/>
                <w:spacing w:val="-5"/>
                <w:sz w:val="18"/>
                <w:szCs w:val="18"/>
              </w:rPr>
              <w:t>整为：当期应补偿股份数量（调整后）</w:t>
            </w:r>
            <w:r>
              <w:rPr>
                <w:rFonts w:ascii="宋体" w:hAnsi="宋体" w:cs="宋体" w:eastAsia="宋体" w:hint="default"/>
                <w:spacing w:val="-5"/>
                <w:sz w:val="18"/>
                <w:szCs w:val="18"/>
              </w:rPr>
              <w:t>=</w:t>
            </w:r>
            <w:r>
              <w:rPr>
                <w:rFonts w:ascii="宋体" w:hAnsi="宋体" w:cs="宋体" w:eastAsia="宋体" w:hint="default"/>
                <w:spacing w:val="-87"/>
                <w:sz w:val="18"/>
                <w:szCs w:val="18"/>
              </w:rPr>
              <w:t> </w:t>
            </w:r>
            <w:r>
              <w:rPr>
                <w:rFonts w:ascii="宋体" w:hAnsi="宋体" w:cs="宋体" w:eastAsia="宋体" w:hint="default"/>
                <w:spacing w:val="-5"/>
                <w:sz w:val="18"/>
                <w:szCs w:val="18"/>
              </w:rPr>
              <w:t>当期应补偿股份数（调整前）×（</w:t>
            </w:r>
            <w:r>
              <w:rPr>
                <w:rFonts w:ascii="宋体" w:hAnsi="宋体" w:cs="宋体" w:eastAsia="宋体" w:hint="default"/>
                <w:spacing w:val="-5"/>
                <w:sz w:val="18"/>
                <w:szCs w:val="18"/>
              </w:rPr>
              <w:t>1</w:t>
            </w:r>
            <w:r>
              <w:rPr>
                <w:rFonts w:ascii="宋体" w:hAnsi="宋体" w:cs="宋体" w:eastAsia="宋体" w:hint="default"/>
                <w:spacing w:val="-5"/>
                <w:sz w:val="18"/>
                <w:szCs w:val="18"/>
              </w:rPr>
              <w:t>＋转</w:t>
            </w:r>
            <w:r>
              <w:rPr>
                <w:rFonts w:ascii="宋体" w:hAnsi="宋体" w:cs="宋体" w:eastAsia="宋体" w:hint="default"/>
                <w:spacing w:val="-88"/>
                <w:sz w:val="18"/>
                <w:szCs w:val="18"/>
              </w:rPr>
              <w:t> </w:t>
            </w:r>
            <w:r>
              <w:rPr>
                <w:rFonts w:ascii="宋体" w:hAnsi="宋体" w:cs="宋体" w:eastAsia="宋体" w:hint="default"/>
                <w:spacing w:val="-10"/>
                <w:sz w:val="18"/>
                <w:szCs w:val="18"/>
              </w:rPr>
              <w:t>增或送股比例）。交易对方在盈利承诺期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内已分得的现金股利应作相应返还，计</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1.059998pt;margin-top:669.099976pt;width:55.25pt;height:30.2pt;mso-position-horizontal-relative:page;mso-position-vertical-relative:page;z-index:-109518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7.299988pt;margin-top:669.099976pt;width:49pt;height:30.2pt;mso-position-horizontal-relative:page;mso-position-vertical-relative:page;z-index:-1095160" coordorigin="7946,13382" coordsize="980,604">
            <v:shape style="position:absolute;left:7946;top:13382;width:980;height:604" coordorigin="7946,13382" coordsize="980,604" path="m7946,13986l8926,13986,8926,13382,7946,13382,7946,13986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327"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311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算公式为</w:t>
            </w:r>
            <w:r>
              <w:rPr>
                <w:rFonts w:ascii="宋体" w:hAnsi="宋体" w:cs="宋体" w:eastAsia="宋体" w:hint="default"/>
                <w:spacing w:val="-88"/>
                <w:sz w:val="18"/>
                <w:szCs w:val="18"/>
              </w:rPr>
              <w:t>：</w:t>
            </w:r>
            <w:r>
              <w:rPr>
                <w:rFonts w:ascii="宋体" w:hAnsi="宋体" w:cs="宋体" w:eastAsia="宋体" w:hint="default"/>
                <w:sz w:val="18"/>
                <w:szCs w:val="18"/>
              </w:rPr>
              <w:t>返还金额</w:t>
            </w:r>
            <w:r>
              <w:rPr>
                <w:rFonts w:ascii="宋体" w:hAnsi="宋体" w:cs="宋体" w:eastAsia="宋体" w:hint="default"/>
                <w:sz w:val="18"/>
                <w:szCs w:val="18"/>
              </w:rPr>
              <w:t>=</w:t>
            </w:r>
            <w:r>
              <w:rPr>
                <w:rFonts w:ascii="宋体" w:hAnsi="宋体" w:cs="宋体" w:eastAsia="宋体" w:hint="default"/>
                <w:sz w:val="18"/>
                <w:szCs w:val="18"/>
              </w:rPr>
              <w:t>截至补偿前每股已</w:t>
            </w:r>
          </w:p>
        </w:tc>
        <w:tc>
          <w:tcPr>
            <w:tcW w:w="994" w:type="dxa"/>
            <w:vMerge w:val="restart"/>
            <w:tcBorders>
              <w:top w:val="single" w:sz="12" w:space="0" w:color="000000"/>
              <w:left w:val="single" w:sz="6" w:space="0" w:color="000000"/>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获得的现金股利（以税后金额为准）×</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当期应补偿股份数量。盈利承诺补偿义</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务人应按照协议的约定，当期应补偿的</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股份，由光一科技董事会负责办理光一</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科技以总价 </w:t>
            </w:r>
            <w:r>
              <w:rPr>
                <w:rFonts w:ascii="宋体" w:hAnsi="宋体" w:cs="宋体" w:eastAsia="宋体" w:hint="default"/>
                <w:sz w:val="18"/>
                <w:szCs w:val="18"/>
              </w:rPr>
              <w:t>1.00</w:t>
            </w:r>
            <w:r>
              <w:rPr>
                <w:rFonts w:ascii="宋体" w:hAnsi="宋体" w:cs="宋体" w:eastAsia="宋体" w:hint="default"/>
                <w:spacing w:val="2"/>
                <w:sz w:val="18"/>
                <w:szCs w:val="18"/>
              </w:rPr>
              <w:t> </w:t>
            </w:r>
            <w:r>
              <w:rPr>
                <w:rFonts w:ascii="宋体" w:hAnsi="宋体" w:cs="宋体" w:eastAsia="宋体" w:hint="default"/>
                <w:sz w:val="18"/>
                <w:szCs w:val="18"/>
              </w:rPr>
              <w:t>元的价格向盈利承诺</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补偿义务人定向回购并注销当期应补偿</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的股份的具体手续。若光一科技上述应</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补偿股份回购并注销事宜因未获得股东</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大会审议通过或因未获得相关债权人认</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可等原因而无法实施的，则盈利承诺补</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偿义务人承诺在上述情形发生后的</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个</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月内，将该等股份按照本次补偿的股权</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登记日在册的上市公司其他股东各自所</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持上市公司股份占上市公司其他股东所</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持全部上市公司股份的比例赠送给上市</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公司其他股东。在各年计算的应补偿金</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额少于或等于</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时，按</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取值，即已经</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补偿的金额不冲回。计算结果如出现小</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数的，应舍去取整。无论如何，盈利承</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诺补偿义务人向光一科技支付的补偿总</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额不超过盈利承诺补偿义务人取得的股</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5"/>
                <w:sz w:val="18"/>
                <w:szCs w:val="18"/>
              </w:rPr>
              <w:t>份对价和现金对价之和。</w:t>
            </w:r>
            <w:r>
              <w:rPr>
                <w:rFonts w:ascii="宋体" w:hAnsi="宋体" w:cs="宋体" w:eastAsia="宋体" w:hint="default"/>
                <w:spacing w:val="-5"/>
                <w:sz w:val="18"/>
                <w:szCs w:val="18"/>
              </w:rPr>
              <w:t>2</w:t>
            </w:r>
            <w:r>
              <w:rPr>
                <w:rFonts w:ascii="宋体" w:hAnsi="宋体" w:cs="宋体" w:eastAsia="宋体" w:hint="default"/>
                <w:spacing w:val="-5"/>
                <w:sz w:val="18"/>
                <w:szCs w:val="18"/>
              </w:rPr>
              <w:t>、减值测试及</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补偿在盈利承诺期届满后四个月内，光</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一科技聘请具有证券、期货业务资格的</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会计师事务所对光一科技购买的标的股</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权进行减值测试，并出具《减值测试报</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。如：标</w:t>
            </w:r>
            <w:r>
              <w:rPr>
                <w:rFonts w:ascii="宋体" w:hAnsi="宋体" w:cs="宋体" w:eastAsia="宋体" w:hint="default"/>
                <w:spacing w:val="1"/>
                <w:sz w:val="18"/>
                <w:szCs w:val="18"/>
              </w:rPr>
              <w:t>的</w:t>
            </w:r>
            <w:r>
              <w:rPr>
                <w:rFonts w:ascii="宋体" w:hAnsi="宋体" w:cs="宋体" w:eastAsia="宋体" w:hint="default"/>
                <w:sz w:val="18"/>
                <w:szCs w:val="18"/>
              </w:rPr>
              <w:t>股权期末减</w:t>
            </w:r>
            <w:r>
              <w:rPr>
                <w:rFonts w:ascii="宋体" w:hAnsi="宋体" w:cs="宋体" w:eastAsia="宋体" w:hint="default"/>
                <w:spacing w:val="1"/>
                <w:sz w:val="18"/>
                <w:szCs w:val="18"/>
              </w:rPr>
              <w:t>值</w:t>
            </w:r>
            <w:r>
              <w:rPr>
                <w:rFonts w:ascii="宋体" w:hAnsi="宋体" w:cs="宋体" w:eastAsia="宋体" w:hint="default"/>
                <w:sz w:val="18"/>
                <w:szCs w:val="18"/>
              </w:rPr>
              <w:t>额</w:t>
            </w:r>
            <w:r>
              <w:rPr>
                <w:rFonts w:ascii="宋体" w:hAnsi="宋体" w:cs="宋体" w:eastAsia="宋体" w:hint="default"/>
                <w:sz w:val="18"/>
                <w:szCs w:val="18"/>
              </w:rPr>
              <w:t>&gt;</w:t>
            </w:r>
            <w:r>
              <w:rPr>
                <w:rFonts w:ascii="宋体" w:hAnsi="宋体" w:cs="宋体" w:eastAsia="宋体" w:hint="default"/>
                <w:sz w:val="18"/>
                <w:szCs w:val="18"/>
              </w:rPr>
              <w:t>盈利承</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诺期内已补偿股份总数×本次发行股份</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价格＋盈利承诺期内已补偿现金，则盈</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0"/>
                <w:sz w:val="18"/>
                <w:szCs w:val="18"/>
              </w:rPr>
              <w:t>利承诺补偿义务人对光一科技另行补</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偿。补偿时，先以盈利承诺补偿义务人</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因本次交易所取得的尚未出售的股份进</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行补偿，不足部分以现金补偿。因标的</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股权减值应补偿金额的计算公式为：应</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补偿金额</w:t>
            </w:r>
            <w:r>
              <w:rPr>
                <w:rFonts w:ascii="宋体" w:hAnsi="宋体" w:cs="宋体" w:eastAsia="宋体" w:hint="default"/>
                <w:spacing w:val="4"/>
                <w:sz w:val="18"/>
                <w:szCs w:val="18"/>
              </w:rPr>
              <w:t>=</w:t>
            </w:r>
            <w:r>
              <w:rPr>
                <w:rFonts w:ascii="宋体" w:hAnsi="宋体" w:cs="宋体" w:eastAsia="宋体" w:hint="default"/>
                <w:spacing w:val="4"/>
                <w:sz w:val="18"/>
                <w:szCs w:val="18"/>
              </w:rPr>
              <w:t>期末减值额－盈利承诺期内</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因实际利润未达到承诺利润已支付的补</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31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偿额。</w:t>
            </w: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任昌兆、任晶</w:t>
            </w:r>
          </w:p>
        </w:tc>
        <w:tc>
          <w:tcPr>
            <w:tcW w:w="851" w:type="dxa"/>
            <w:tcBorders>
              <w:top w:val="single" w:sz="6" w:space="0" w:color="000000"/>
              <w:left w:val="single" w:sz="6" w:space="0" w:color="000000"/>
              <w:bottom w:val="nil" w:sz="6" w:space="0" w:color="auto"/>
              <w:right w:val="single" w:sz="6" w:space="0" w:color="000000"/>
            </w:tcBorders>
          </w:tcPr>
          <w:p>
            <w:pPr/>
          </w:p>
        </w:tc>
        <w:tc>
          <w:tcPr>
            <w:tcW w:w="31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关于重大资产重组相关事项的承诺</w:t>
            </w:r>
            <w:r>
              <w:rPr>
                <w:rFonts w:ascii="宋体" w:hAnsi="宋体" w:cs="宋体" w:eastAsia="宋体" w:hint="default"/>
                <w:spacing w:val="-178"/>
                <w:sz w:val="18"/>
                <w:szCs w:val="18"/>
              </w:rPr>
              <w:t>：</w:t>
            </w:r>
            <w:r>
              <w:rPr>
                <w:rFonts w:ascii="宋体" w:hAnsi="宋体" w:cs="宋体" w:eastAsia="宋体" w:hint="default"/>
                <w:sz w:val="18"/>
                <w:szCs w:val="18"/>
              </w:rPr>
              <w:t>（</w:t>
            </w:r>
            <w:r>
              <w:rPr>
                <w:rFonts w:ascii="宋体" w:hAnsi="宋体" w:cs="宋体" w:eastAsia="宋体" w:hint="default"/>
                <w:sz w:val="18"/>
                <w:szCs w:val="18"/>
              </w:rPr>
              <w:t>1</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0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晶、魏法旭、郑</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0"/>
                <w:sz w:val="18"/>
                <w:szCs w:val="18"/>
              </w:rPr>
              <w:t>本人是具有完全民事行为能力的自然</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634"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316" w:lineRule="auto" w:before="20"/>
              <w:ind w:left="20" w:right="-23"/>
              <w:jc w:val="left"/>
              <w:rPr>
                <w:rFonts w:ascii="宋体" w:hAnsi="宋体" w:cs="宋体" w:eastAsia="宋体" w:hint="default"/>
                <w:sz w:val="18"/>
                <w:szCs w:val="18"/>
              </w:rPr>
            </w:pPr>
            <w:r>
              <w:rPr>
                <w:rFonts w:ascii="宋体" w:hAnsi="宋体" w:cs="宋体" w:eastAsia="宋体" w:hint="default"/>
                <w:sz w:val="18"/>
                <w:szCs w:val="18"/>
              </w:rPr>
              <w:t>丽蓉、邓丽萍、 赵业香、桂长</w:t>
            </w:r>
          </w:p>
        </w:tc>
        <w:tc>
          <w:tcPr>
            <w:tcW w:w="851" w:type="dxa"/>
            <w:tcBorders>
              <w:top w:val="nil" w:sz="6" w:space="0" w:color="auto"/>
              <w:left w:val="single" w:sz="9" w:space="0" w:color="FFFFFF"/>
              <w:bottom w:val="nil" w:sz="6" w:space="0" w:color="auto"/>
              <w:right w:val="single" w:sz="6" w:space="0" w:color="000000"/>
            </w:tcBorders>
          </w:tcPr>
          <w:p>
            <w:pPr>
              <w:pStyle w:val="TableParagraph"/>
              <w:spacing w:line="240" w:lineRule="auto" w:before="157"/>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316" w:lineRule="auto" w:before="20"/>
              <w:ind w:left="20" w:right="18"/>
              <w:jc w:val="left"/>
              <w:rPr>
                <w:rFonts w:ascii="宋体" w:hAnsi="宋体" w:cs="宋体" w:eastAsia="宋体" w:hint="default"/>
                <w:sz w:val="18"/>
                <w:szCs w:val="18"/>
              </w:rPr>
            </w:pPr>
            <w:r>
              <w:rPr>
                <w:rFonts w:ascii="宋体" w:hAnsi="宋体" w:cs="宋体" w:eastAsia="宋体" w:hint="default"/>
                <w:spacing w:val="-5"/>
                <w:sz w:val="18"/>
                <w:szCs w:val="18"/>
              </w:rPr>
              <w:t>人。（</w:t>
            </w:r>
            <w:r>
              <w:rPr>
                <w:rFonts w:ascii="宋体" w:hAnsi="宋体" w:cs="宋体" w:eastAsia="宋体" w:hint="default"/>
                <w:spacing w:val="-5"/>
                <w:sz w:val="18"/>
                <w:szCs w:val="18"/>
              </w:rPr>
              <w:t>2</w:t>
            </w:r>
            <w:r>
              <w:rPr>
                <w:rFonts w:ascii="宋体" w:hAnsi="宋体" w:cs="宋体" w:eastAsia="宋体" w:hint="default"/>
                <w:spacing w:val="-5"/>
                <w:sz w:val="18"/>
                <w:szCs w:val="18"/>
              </w:rPr>
              <w:t>）本人已依法对索瑞电气履行了</w:t>
            </w:r>
            <w:r>
              <w:rPr>
                <w:rFonts w:ascii="宋体" w:hAnsi="宋体" w:cs="宋体" w:eastAsia="宋体" w:hint="default"/>
                <w:sz w:val="18"/>
                <w:szCs w:val="18"/>
              </w:rPr>
              <w:t> 出资义务，不存在任何虚假出资、延期</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钟、李善元、梁</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出资、抽逃出资等违反本人作为索瑞电</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蓉、廖庆生、郑</w:t>
            </w:r>
          </w:p>
        </w:tc>
        <w:tc>
          <w:tcPr>
            <w:tcW w:w="851" w:type="dxa"/>
            <w:tcBorders>
              <w:top w:val="nil" w:sz="6" w:space="0" w:color="auto"/>
              <w:left w:val="single" w:sz="6" w:space="0" w:color="000000"/>
              <w:bottom w:val="single" w:sz="12" w:space="0" w:color="000000"/>
              <w:right w:val="single" w:sz="6" w:space="0" w:color="000000"/>
            </w:tcBorders>
          </w:tcPr>
          <w:p>
            <w:pPr/>
          </w:p>
        </w:tc>
        <w:tc>
          <w:tcPr>
            <w:tcW w:w="31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0"/>
                <w:sz w:val="18"/>
                <w:szCs w:val="18"/>
              </w:rPr>
              <w:t>气股东所应当承担的义务及责任的行</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19.037018pt;margin-top:73.499985pt;width:127.25pt;height:594.85pt;mso-position-horizontal-relative:page;mso-position-vertical-relative:page;z-index:-1095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0"/>
                      <w:szCs w:val="20"/>
                    </w:rPr>
                  </w:pPr>
                </w:p>
                <w:p>
                  <w:pPr>
                    <w:spacing w:line="316" w:lineRule="auto" w:before="0"/>
                    <w:ind w:left="0" w:right="922" w:firstLine="540"/>
                    <w:jc w:val="left"/>
                    <w:rPr>
                      <w:rFonts w:ascii="宋体" w:hAnsi="宋体" w:cs="宋体" w:eastAsia="宋体" w:hint="default"/>
                      <w:sz w:val="18"/>
                      <w:szCs w:val="18"/>
                    </w:rPr>
                  </w:pPr>
                  <w:r>
                    <w:rPr>
                      <w:rFonts w:ascii="宋体" w:hAnsi="宋体" w:cs="宋体" w:eastAsia="宋体" w:hint="default"/>
                      <w:sz w:val="18"/>
                      <w:szCs w:val="18"/>
                    </w:rPr>
                    <w:t>（包括配偶、 兄弟姐妹及其配偶、</w:t>
                  </w:r>
                </w:p>
              </w:txbxContent>
            </v:textbox>
            <w10:wrap type="none"/>
          </v:shape>
        </w:pict>
      </w:r>
    </w:p>
    <w:p>
      <w:pPr>
        <w:spacing w:line="240" w:lineRule="auto" w:before="7"/>
        <w:rPr>
          <w:rFonts w:ascii="Times New Roman" w:hAnsi="Times New Roman" w:cs="Times New Roman" w:eastAsia="Times New Roman" w:hint="default"/>
          <w:sz w:val="14"/>
          <w:szCs w:val="14"/>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7"/>
      </w:tblGrid>
      <w:tr>
        <w:trPr>
          <w:trHeight w:val="11919"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20"/>
              <w:jc w:val="left"/>
              <w:rPr>
                <w:rFonts w:ascii="宋体" w:hAnsi="宋体" w:cs="宋体" w:eastAsia="宋体" w:hint="default"/>
                <w:sz w:val="18"/>
                <w:szCs w:val="18"/>
              </w:rPr>
            </w:pPr>
            <w:r>
              <w:rPr>
                <w:rFonts w:ascii="宋体" w:hAnsi="宋体" w:cs="宋体" w:eastAsia="宋体" w:hint="default"/>
                <w:spacing w:val="-6"/>
                <w:sz w:val="18"/>
                <w:szCs w:val="18"/>
              </w:rPr>
              <w:t>立筠、周军、田</w:t>
            </w:r>
            <w:r>
              <w:rPr>
                <w:rFonts w:ascii="宋体" w:hAnsi="宋体" w:cs="宋体" w:eastAsia="宋体" w:hint="default"/>
                <w:sz w:val="18"/>
                <w:szCs w:val="18"/>
              </w:rPr>
              <w:t> 裕树、张天祯、 王平、方旭东、 何传柏、郭明 </w:t>
            </w:r>
            <w:r>
              <w:rPr>
                <w:rFonts w:ascii="宋体" w:hAnsi="宋体" w:cs="宋体" w:eastAsia="宋体" w:hint="default"/>
                <w:spacing w:val="-6"/>
                <w:sz w:val="18"/>
                <w:szCs w:val="18"/>
              </w:rPr>
              <w:t>亮、毛为国、门</w:t>
            </w:r>
            <w:r>
              <w:rPr>
                <w:rFonts w:ascii="宋体" w:hAnsi="宋体" w:cs="宋体" w:eastAsia="宋体" w:hint="default"/>
                <w:sz w:val="18"/>
                <w:szCs w:val="18"/>
              </w:rPr>
              <w:t> </w:t>
            </w:r>
            <w:r>
              <w:rPr>
                <w:rFonts w:ascii="宋体" w:hAnsi="宋体" w:cs="宋体" w:eastAsia="宋体" w:hint="default"/>
                <w:spacing w:val="-6"/>
                <w:sz w:val="18"/>
                <w:szCs w:val="18"/>
              </w:rPr>
              <w:t>崇喜、李强、徐</w:t>
            </w:r>
            <w:r>
              <w:rPr>
                <w:rFonts w:ascii="宋体" w:hAnsi="宋体" w:cs="宋体" w:eastAsia="宋体" w:hint="default"/>
                <w:sz w:val="18"/>
                <w:szCs w:val="18"/>
              </w:rPr>
              <w:t> </w:t>
            </w:r>
            <w:r>
              <w:rPr>
                <w:rFonts w:ascii="宋体" w:hAnsi="宋体" w:cs="宋体" w:eastAsia="宋体" w:hint="default"/>
                <w:spacing w:val="-6"/>
                <w:sz w:val="18"/>
                <w:szCs w:val="18"/>
              </w:rPr>
              <w:t>光涛、文涛、罗</w:t>
            </w:r>
            <w:r>
              <w:rPr>
                <w:rFonts w:ascii="宋体" w:hAnsi="宋体" w:cs="宋体" w:eastAsia="宋体" w:hint="default"/>
                <w:sz w:val="18"/>
                <w:szCs w:val="18"/>
              </w:rPr>
              <w:t> </w:t>
            </w:r>
            <w:r>
              <w:rPr>
                <w:rFonts w:ascii="宋体" w:hAnsi="宋体" w:cs="宋体" w:eastAsia="宋体" w:hint="default"/>
                <w:spacing w:val="-6"/>
                <w:sz w:val="18"/>
                <w:szCs w:val="18"/>
              </w:rPr>
              <w:t>丹、彭娥昌、张</w:t>
            </w:r>
            <w:r>
              <w:rPr>
                <w:rFonts w:ascii="宋体" w:hAnsi="宋体" w:cs="宋体" w:eastAsia="宋体" w:hint="default"/>
                <w:sz w:val="18"/>
                <w:szCs w:val="18"/>
              </w:rPr>
              <w:t> 红、陈世勇</w:t>
            </w:r>
          </w:p>
        </w:tc>
        <w:tc>
          <w:tcPr>
            <w:tcW w:w="851" w:type="dxa"/>
            <w:tcBorders>
              <w:top w:val="single" w:sz="12" w:space="0" w:color="000000"/>
              <w:left w:val="single" w:sz="6" w:space="0" w:color="000000"/>
              <w:bottom w:val="single" w:sz="6" w:space="0" w:color="000000"/>
              <w:right w:val="single" w:sz="6" w:space="0" w:color="000000"/>
            </w:tcBorders>
          </w:tcPr>
          <w:p>
            <w:pPr/>
          </w:p>
        </w:tc>
        <w:tc>
          <w:tcPr>
            <w:tcW w:w="3118"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0" w:right="18"/>
              <w:jc w:val="left"/>
              <w:rPr>
                <w:rFonts w:ascii="宋体" w:hAnsi="宋体" w:cs="宋体" w:eastAsia="宋体" w:hint="default"/>
                <w:sz w:val="18"/>
                <w:szCs w:val="18"/>
              </w:rPr>
            </w:pPr>
            <w:r>
              <w:rPr>
                <w:rFonts w:ascii="宋体" w:hAnsi="宋体" w:cs="宋体" w:eastAsia="宋体" w:hint="default"/>
                <w:spacing w:val="-5"/>
                <w:sz w:val="18"/>
                <w:szCs w:val="18"/>
              </w:rPr>
              <w:t>为。（</w:t>
            </w:r>
            <w:r>
              <w:rPr>
                <w:rFonts w:ascii="宋体" w:hAnsi="宋体" w:cs="宋体" w:eastAsia="宋体" w:hint="default"/>
                <w:spacing w:val="-5"/>
                <w:sz w:val="18"/>
                <w:szCs w:val="18"/>
              </w:rPr>
              <w:t>3</w:t>
            </w:r>
            <w:r>
              <w:rPr>
                <w:rFonts w:ascii="宋体" w:hAnsi="宋体" w:cs="宋体" w:eastAsia="宋体" w:hint="default"/>
                <w:spacing w:val="-5"/>
                <w:sz w:val="18"/>
                <w:szCs w:val="18"/>
              </w:rPr>
              <w:t>）本人保证不存在以委托持股、</w:t>
            </w:r>
            <w:r>
              <w:rPr>
                <w:rFonts w:ascii="宋体" w:hAnsi="宋体" w:cs="宋体" w:eastAsia="宋体" w:hint="default"/>
                <w:sz w:val="18"/>
                <w:szCs w:val="18"/>
              </w:rPr>
              <w:t> 信托持股或其他类似的方式为他人代持 索瑞电气股权或由他人代本人代持索瑞 电气股权的情形。本人保证合法持有且 有权转让索瑞电气股权，本人所持索瑞 电气股权不存在任何质押、查封、冻结 </w:t>
            </w:r>
            <w:r>
              <w:rPr>
                <w:rFonts w:ascii="宋体" w:hAnsi="宋体" w:cs="宋体" w:eastAsia="宋体" w:hint="default"/>
                <w:spacing w:val="-5"/>
                <w:sz w:val="18"/>
                <w:szCs w:val="18"/>
              </w:rPr>
              <w:t>或其他任何限制转让的情形。（</w:t>
            </w:r>
            <w:r>
              <w:rPr>
                <w:rFonts w:ascii="宋体" w:hAnsi="宋体" w:cs="宋体" w:eastAsia="宋体" w:hint="default"/>
                <w:spacing w:val="-5"/>
                <w:sz w:val="18"/>
                <w:szCs w:val="18"/>
              </w:rPr>
              <w:t>4</w:t>
            </w:r>
            <w:r>
              <w:rPr>
                <w:rFonts w:ascii="宋体" w:hAnsi="宋体" w:cs="宋体" w:eastAsia="宋体" w:hint="default"/>
                <w:spacing w:val="-5"/>
                <w:sz w:val="18"/>
                <w:szCs w:val="18"/>
              </w:rPr>
              <w:t>）本次</w:t>
            </w:r>
            <w:r>
              <w:rPr>
                <w:rFonts w:ascii="宋体" w:hAnsi="宋体" w:cs="宋体" w:eastAsia="宋体" w:hint="default"/>
                <w:spacing w:val="-88"/>
                <w:sz w:val="18"/>
                <w:szCs w:val="18"/>
              </w:rPr>
              <w:t> </w:t>
            </w:r>
            <w:r>
              <w:rPr>
                <w:rFonts w:ascii="宋体" w:hAnsi="宋体" w:cs="宋体" w:eastAsia="宋体" w:hint="default"/>
                <w:sz w:val="18"/>
                <w:szCs w:val="18"/>
              </w:rPr>
              <w:t>交易的标的资产权属清晰，不存在任何</w:t>
            </w:r>
            <w:r>
              <w:rPr>
                <w:rFonts w:ascii="宋体" w:hAnsi="宋体" w:cs="宋体" w:eastAsia="宋体" w:hint="default"/>
                <w:sz w:val="18"/>
                <w:szCs w:val="18"/>
              </w:rPr>
              <w:t> 争议或潜在纠纷，不存在质押、查封、 冻结或任何其他限制或禁止该等股权转 让的情形，标的资产过户或转移不存在 </w:t>
            </w:r>
            <w:r>
              <w:rPr>
                <w:rFonts w:ascii="宋体" w:hAnsi="宋体" w:cs="宋体" w:eastAsia="宋体" w:hint="default"/>
                <w:spacing w:val="-5"/>
                <w:sz w:val="18"/>
                <w:szCs w:val="18"/>
              </w:rPr>
              <w:t>法律障碍。（</w:t>
            </w:r>
            <w:r>
              <w:rPr>
                <w:rFonts w:ascii="宋体" w:hAnsi="宋体" w:cs="宋体" w:eastAsia="宋体" w:hint="default"/>
                <w:spacing w:val="-5"/>
                <w:sz w:val="18"/>
                <w:szCs w:val="18"/>
              </w:rPr>
              <w:t>5</w:t>
            </w:r>
            <w:r>
              <w:rPr>
                <w:rFonts w:ascii="宋体" w:hAnsi="宋体" w:cs="宋体" w:eastAsia="宋体" w:hint="default"/>
                <w:spacing w:val="-5"/>
                <w:sz w:val="18"/>
                <w:szCs w:val="18"/>
              </w:rPr>
              <w:t>）截至本函出具之日，本</w:t>
            </w:r>
            <w:r>
              <w:rPr>
                <w:rFonts w:ascii="宋体" w:hAnsi="宋体" w:cs="宋体" w:eastAsia="宋体" w:hint="default"/>
                <w:sz w:val="18"/>
                <w:szCs w:val="18"/>
              </w:rPr>
              <w:t> 人及本人关系密切的近亲属 父母及配偶的父母、</w:t>
            </w:r>
          </w:p>
          <w:p>
            <w:pPr>
              <w:pStyle w:val="TableParagraph"/>
              <w:spacing w:line="316" w:lineRule="auto" w:before="19"/>
              <w:ind w:left="20" w:right="18"/>
              <w:jc w:val="both"/>
              <w:rPr>
                <w:rFonts w:ascii="宋体" w:hAnsi="宋体" w:cs="宋体" w:eastAsia="宋体" w:hint="default"/>
                <w:sz w:val="18"/>
                <w:szCs w:val="18"/>
              </w:rPr>
            </w:pPr>
            <w:r>
              <w:rPr>
                <w:rFonts w:ascii="宋体" w:hAnsi="宋体" w:cs="宋体" w:eastAsia="宋体" w:hint="default"/>
                <w:sz w:val="18"/>
                <w:szCs w:val="18"/>
              </w:rPr>
              <w:t>年满</w:t>
            </w:r>
            <w:r>
              <w:rPr>
                <w:rFonts w:ascii="宋体" w:hAnsi="宋体" w:cs="宋体" w:eastAsia="宋体" w:hint="default"/>
                <w:spacing w:val="-42"/>
                <w:sz w:val="18"/>
                <w:szCs w:val="18"/>
              </w:rPr>
              <w:t> </w:t>
            </w:r>
            <w:r>
              <w:rPr>
                <w:rFonts w:ascii="宋体" w:hAnsi="宋体" w:cs="宋体" w:eastAsia="宋体" w:hint="default"/>
                <w:sz w:val="18"/>
                <w:szCs w:val="18"/>
              </w:rPr>
              <w:t>18</w:t>
            </w:r>
            <w:r>
              <w:rPr>
                <w:rFonts w:ascii="宋体" w:hAnsi="宋体" w:cs="宋体" w:eastAsia="宋体" w:hint="default"/>
                <w:spacing w:val="-42"/>
                <w:sz w:val="18"/>
                <w:szCs w:val="18"/>
              </w:rPr>
              <w:t> </w:t>
            </w:r>
            <w:r>
              <w:rPr>
                <w:rFonts w:ascii="宋体" w:hAnsi="宋体" w:cs="宋体" w:eastAsia="宋体" w:hint="default"/>
                <w:spacing w:val="-7"/>
                <w:sz w:val="18"/>
                <w:szCs w:val="18"/>
              </w:rPr>
              <w:t>周岁的子女及其配偶、配偶的兄</w:t>
            </w:r>
            <w:r>
              <w:rPr>
                <w:rFonts w:ascii="宋体" w:hAnsi="宋体" w:cs="宋体" w:eastAsia="宋体" w:hint="default"/>
                <w:sz w:val="18"/>
                <w:szCs w:val="18"/>
              </w:rPr>
              <w:t> 弟姐妹和子女配偶的父母）不存在占用 索瑞电气资金的情形。本人承诺本人及 本人关系密切的近亲属未来不会以任何 方式向索瑞电气借款或占用索瑞电气的 </w:t>
            </w:r>
            <w:r>
              <w:rPr>
                <w:rFonts w:ascii="宋体" w:hAnsi="宋体" w:cs="宋体" w:eastAsia="宋体" w:hint="default"/>
                <w:spacing w:val="-5"/>
                <w:sz w:val="18"/>
                <w:szCs w:val="18"/>
              </w:rPr>
              <w:t>资金。（</w:t>
            </w:r>
            <w:r>
              <w:rPr>
                <w:rFonts w:ascii="宋体" w:hAnsi="宋体" w:cs="宋体" w:eastAsia="宋体" w:hint="default"/>
                <w:spacing w:val="-5"/>
                <w:sz w:val="18"/>
                <w:szCs w:val="18"/>
              </w:rPr>
              <w:t>6</w:t>
            </w:r>
            <w:r>
              <w:rPr>
                <w:rFonts w:ascii="宋体" w:hAnsi="宋体" w:cs="宋体" w:eastAsia="宋体" w:hint="default"/>
                <w:spacing w:val="-5"/>
                <w:sz w:val="18"/>
                <w:szCs w:val="18"/>
              </w:rPr>
              <w:t>）在本次交易完成后，本人将</w:t>
            </w:r>
            <w:r>
              <w:rPr>
                <w:rFonts w:ascii="宋体" w:hAnsi="宋体" w:cs="宋体" w:eastAsia="宋体" w:hint="default"/>
                <w:sz w:val="18"/>
                <w:szCs w:val="18"/>
              </w:rPr>
              <w:t> </w:t>
            </w:r>
            <w:r>
              <w:rPr>
                <w:rFonts w:ascii="宋体" w:hAnsi="宋体" w:cs="宋体" w:eastAsia="宋体" w:hint="default"/>
                <w:spacing w:val="-10"/>
                <w:sz w:val="18"/>
                <w:szCs w:val="18"/>
              </w:rPr>
              <w:t>按照《公司法》、《证券法》和其他有关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法律法规对上市公司的要求，合法合规</w:t>
            </w:r>
            <w:r>
              <w:rPr>
                <w:rFonts w:ascii="宋体" w:hAnsi="宋体" w:cs="宋体" w:eastAsia="宋体" w:hint="default"/>
                <w:sz w:val="18"/>
                <w:szCs w:val="18"/>
              </w:rPr>
              <w:t> 地行使股东权利并履行相应的义务，采 取切实有效措施保证光一科技及其子公 司在业务、资产、人员、机构和财务等 方面的独立和完整，同时确保光一科技 在采购、生产、销售、知识产权等方面 保持独立，使光一科技具有完全和完整 </w:t>
            </w:r>
            <w:r>
              <w:rPr>
                <w:rFonts w:ascii="宋体" w:hAnsi="宋体" w:cs="宋体" w:eastAsia="宋体" w:hint="default"/>
                <w:spacing w:val="-5"/>
                <w:sz w:val="18"/>
                <w:szCs w:val="18"/>
              </w:rPr>
              <w:t>的独立经营能力。（</w:t>
            </w:r>
            <w:r>
              <w:rPr>
                <w:rFonts w:ascii="宋体" w:hAnsi="宋体" w:cs="宋体" w:eastAsia="宋体" w:hint="default"/>
                <w:spacing w:val="-5"/>
                <w:sz w:val="18"/>
                <w:szCs w:val="18"/>
              </w:rPr>
              <w:t>7</w:t>
            </w:r>
            <w:r>
              <w:rPr>
                <w:rFonts w:ascii="宋体" w:hAnsi="宋体" w:cs="宋体" w:eastAsia="宋体" w:hint="default"/>
                <w:spacing w:val="-5"/>
                <w:sz w:val="18"/>
                <w:szCs w:val="18"/>
              </w:rPr>
              <w:t>）本人保证为本次</w:t>
            </w:r>
            <w:r>
              <w:rPr>
                <w:rFonts w:ascii="宋体" w:hAnsi="宋体" w:cs="宋体" w:eastAsia="宋体" w:hint="default"/>
                <w:sz w:val="18"/>
                <w:szCs w:val="18"/>
              </w:rPr>
              <w:t> 交易所提供信息的真实、准确和完整， 不存在虚假记载、误导性陈述或者重大 遗漏，并对所提供信息的真实性、准确 </w:t>
            </w:r>
            <w:r>
              <w:rPr>
                <w:rFonts w:ascii="宋体" w:hAnsi="宋体" w:cs="宋体" w:eastAsia="宋体" w:hint="default"/>
                <w:spacing w:val="10"/>
                <w:sz w:val="18"/>
                <w:szCs w:val="18"/>
              </w:rPr>
              <w:t>性和完整性承担个别和连带的法律责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任。（</w:t>
            </w:r>
            <w:r>
              <w:rPr>
                <w:rFonts w:ascii="宋体" w:hAnsi="宋体" w:cs="宋体" w:eastAsia="宋体" w:hint="default"/>
                <w:spacing w:val="-5"/>
                <w:sz w:val="18"/>
                <w:szCs w:val="18"/>
              </w:rPr>
              <w:t>8</w:t>
            </w:r>
            <w:r>
              <w:rPr>
                <w:rFonts w:ascii="宋体" w:hAnsi="宋体" w:cs="宋体" w:eastAsia="宋体" w:hint="default"/>
                <w:spacing w:val="-5"/>
                <w:sz w:val="18"/>
                <w:szCs w:val="18"/>
              </w:rPr>
              <w:t>）本承诺函自出具之日起具有法</w:t>
            </w:r>
            <w:r>
              <w:rPr>
                <w:rFonts w:ascii="宋体" w:hAnsi="宋体" w:cs="宋体" w:eastAsia="宋体" w:hint="default"/>
                <w:sz w:val="18"/>
                <w:szCs w:val="18"/>
              </w:rPr>
              <w:t> 律效力，构成对本人具有法律约束力的 法律文件，本人保证本承诺函的内容没 有任何虚假记载、误导性陈述或重大遗 漏。</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1189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49pt;height:594.85pt;mso-position-horizontal-relative:char;mso-position-vertical-relative:line" coordorigin="0,0" coordsize="980,11897">
                  <v:group style="position:absolute;left:0;top:0;width:980;height:11897" coordorigin="0,0" coordsize="980,11897">
                    <v:shape style="position:absolute;left:0;top:0;width:980;height:11897" coordorigin="0,0" coordsize="980,11897" path="m0,11896l980,11896,980,0,0,0,0,11896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850" w:type="dxa"/>
            <w:tcBorders>
              <w:top w:val="single" w:sz="12" w:space="0" w:color="000000"/>
              <w:left w:val="single" w:sz="6" w:space="0" w:color="000000"/>
              <w:bottom w:val="single" w:sz="6" w:space="0" w:color="000000"/>
              <w:right w:val="single" w:sz="6" w:space="0" w:color="000000"/>
            </w:tcBorders>
          </w:tcPr>
          <w:p>
            <w:pPr/>
          </w:p>
        </w:tc>
        <w:tc>
          <w:tcPr>
            <w:tcW w:w="927" w:type="dxa"/>
            <w:tcBorders>
              <w:top w:val="single" w:sz="12" w:space="0" w:color="000000"/>
              <w:left w:val="single" w:sz="6" w:space="0" w:color="000000"/>
              <w:bottom w:val="single" w:sz="6" w:space="0" w:color="000000"/>
              <w:right w:val="single" w:sz="12" w:space="0" w:color="000000"/>
            </w:tcBorders>
          </w:tcPr>
          <w:p>
            <w:pPr/>
          </w:p>
        </w:tc>
      </w:tr>
      <w:tr>
        <w:trPr>
          <w:trHeight w:val="1935"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9"/>
              <w:jc w:val="left"/>
              <w:rPr>
                <w:rFonts w:ascii="宋体" w:hAnsi="宋体" w:cs="宋体" w:eastAsia="宋体" w:hint="default"/>
                <w:sz w:val="18"/>
                <w:szCs w:val="18"/>
              </w:rPr>
            </w:pPr>
            <w:r>
              <w:rPr>
                <w:rFonts w:ascii="宋体" w:hAnsi="宋体" w:cs="宋体" w:eastAsia="宋体" w:hint="default"/>
                <w:sz w:val="18"/>
                <w:szCs w:val="18"/>
              </w:rPr>
              <w:t>湖北乾瀚投资 </w:t>
            </w:r>
            <w:r>
              <w:rPr>
                <w:rFonts w:ascii="宋体" w:hAnsi="宋体" w:cs="宋体" w:eastAsia="宋体" w:hint="default"/>
                <w:spacing w:val="-6"/>
                <w:sz w:val="18"/>
                <w:szCs w:val="18"/>
              </w:rPr>
              <w:t>有限公司、公安</w:t>
            </w:r>
            <w:r>
              <w:rPr>
                <w:rFonts w:ascii="宋体" w:hAnsi="宋体" w:cs="宋体" w:eastAsia="宋体" w:hint="default"/>
                <w:sz w:val="18"/>
                <w:szCs w:val="18"/>
              </w:rPr>
              <w:t> 县鑫旺投资有 </w:t>
            </w:r>
            <w:r>
              <w:rPr>
                <w:rFonts w:ascii="宋体" w:hAnsi="宋体" w:cs="宋体" w:eastAsia="宋体" w:hint="default"/>
                <w:spacing w:val="-6"/>
                <w:sz w:val="18"/>
                <w:szCs w:val="18"/>
              </w:rPr>
              <w:t>限公司、深圳市</w:t>
            </w:r>
            <w:r>
              <w:rPr>
                <w:rFonts w:ascii="宋体" w:hAnsi="宋体" w:cs="宋体" w:eastAsia="宋体" w:hint="default"/>
                <w:sz w:val="18"/>
                <w:szCs w:val="18"/>
              </w:rPr>
              <w:t> 创新投资集团 </w:t>
            </w:r>
            <w:r>
              <w:rPr>
                <w:rFonts w:ascii="宋体" w:hAnsi="宋体" w:cs="宋体" w:eastAsia="宋体" w:hint="default"/>
                <w:spacing w:val="-6"/>
                <w:sz w:val="18"/>
                <w:szCs w:val="18"/>
              </w:rPr>
              <w:t>有限公司、北京</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8"/>
              <w:jc w:val="both"/>
              <w:rPr>
                <w:rFonts w:ascii="宋体" w:hAnsi="宋体" w:cs="宋体" w:eastAsia="宋体" w:hint="default"/>
                <w:sz w:val="18"/>
                <w:szCs w:val="18"/>
              </w:rPr>
            </w:pPr>
            <w:r>
              <w:rPr>
                <w:rFonts w:ascii="宋体" w:hAnsi="宋体" w:cs="宋体" w:eastAsia="宋体" w:hint="default"/>
                <w:spacing w:val="-5"/>
                <w:sz w:val="18"/>
                <w:szCs w:val="18"/>
              </w:rPr>
              <w:t>关于重大资产重组事项的承诺：（</w:t>
            </w:r>
            <w:r>
              <w:rPr>
                <w:rFonts w:ascii="宋体" w:hAnsi="宋体" w:cs="宋体" w:eastAsia="宋体" w:hint="default"/>
                <w:spacing w:val="-5"/>
                <w:sz w:val="18"/>
                <w:szCs w:val="18"/>
              </w:rPr>
              <w:t>1</w:t>
            </w:r>
            <w:r>
              <w:rPr>
                <w:rFonts w:ascii="宋体" w:hAnsi="宋体" w:cs="宋体" w:eastAsia="宋体" w:hint="default"/>
                <w:spacing w:val="-5"/>
                <w:sz w:val="18"/>
                <w:szCs w:val="18"/>
              </w:rPr>
              <w:t>）本</w:t>
            </w:r>
            <w:r>
              <w:rPr>
                <w:rFonts w:ascii="宋体" w:hAnsi="宋体" w:cs="宋体" w:eastAsia="宋体" w:hint="default"/>
                <w:sz w:val="18"/>
                <w:szCs w:val="18"/>
              </w:rPr>
              <w:t> </w:t>
            </w:r>
            <w:r>
              <w:rPr>
                <w:rFonts w:ascii="宋体" w:hAnsi="宋体" w:cs="宋体" w:eastAsia="宋体" w:hint="default"/>
                <w:spacing w:val="10"/>
                <w:sz w:val="18"/>
                <w:szCs w:val="18"/>
              </w:rPr>
              <w:t>公司是依法成立且合法存续的有限公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司。（</w:t>
            </w:r>
            <w:r>
              <w:rPr>
                <w:rFonts w:ascii="宋体" w:hAnsi="宋体" w:cs="宋体" w:eastAsia="宋体" w:hint="default"/>
                <w:spacing w:val="-5"/>
                <w:sz w:val="18"/>
                <w:szCs w:val="18"/>
              </w:rPr>
              <w:t>2</w:t>
            </w:r>
            <w:r>
              <w:rPr>
                <w:rFonts w:ascii="宋体" w:hAnsi="宋体" w:cs="宋体" w:eastAsia="宋体" w:hint="default"/>
                <w:spacing w:val="-5"/>
                <w:sz w:val="18"/>
                <w:szCs w:val="18"/>
              </w:rPr>
              <w:t>）本公司已依法对索瑞电气履行</w:t>
            </w:r>
            <w:r>
              <w:rPr>
                <w:rFonts w:ascii="宋体" w:hAnsi="宋体" w:cs="宋体" w:eastAsia="宋体" w:hint="default"/>
                <w:sz w:val="18"/>
                <w:szCs w:val="18"/>
              </w:rPr>
              <w:t> 了出资义务，不存在任何虚假出资、延 期出资、抽逃出资等违反本公司作为索 瑞电气股东所应当承担的义务及责任的</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65.036987pt;margin-top:73.499985pt;width:181.25pt;height:563.65pt;mso-position-horizontal-relative:page;mso-position-vertical-relative:page;z-index:-1095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冻结或其他任何限制转让的情形。</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2160" w:right="0" w:firstLine="0"/>
                    <w:jc w:val="left"/>
                    <w:rPr>
                      <w:rFonts w:ascii="宋体" w:hAnsi="宋体" w:cs="宋体" w:eastAsia="宋体" w:hint="default"/>
                      <w:sz w:val="18"/>
                      <w:szCs w:val="18"/>
                    </w:rPr>
                  </w:pPr>
                  <w:r>
                    <w:rPr>
                      <w:rFonts w:ascii="宋体" w:hAnsi="宋体" w:cs="宋体" w:eastAsia="宋体" w:hint="default"/>
                      <w:sz w:val="18"/>
                      <w:szCs w:val="18"/>
                    </w:rPr>
                    <w:t>质押、</w:t>
                  </w:r>
                </w:p>
              </w:txbxContent>
            </v:textbox>
            <w10:wrap type="none"/>
          </v:shape>
        </w:pict>
      </w:r>
    </w:p>
    <w:p>
      <w:pPr>
        <w:spacing w:line="240" w:lineRule="auto" w:before="7"/>
        <w:rPr>
          <w:rFonts w:ascii="Times New Roman" w:hAnsi="Times New Roman" w:cs="Times New Roman" w:eastAsia="Times New Roman" w:hint="default"/>
          <w:sz w:val="14"/>
          <w:szCs w:val="14"/>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7"/>
      </w:tblGrid>
      <w:tr>
        <w:trPr>
          <w:trHeight w:val="11295"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19"/>
              <w:jc w:val="left"/>
              <w:rPr>
                <w:rFonts w:ascii="宋体" w:hAnsi="宋体" w:cs="宋体" w:eastAsia="宋体" w:hint="default"/>
                <w:sz w:val="18"/>
                <w:szCs w:val="18"/>
              </w:rPr>
            </w:pPr>
            <w:r>
              <w:rPr>
                <w:rFonts w:ascii="宋体" w:hAnsi="宋体" w:cs="宋体" w:eastAsia="宋体" w:hint="default"/>
                <w:sz w:val="18"/>
                <w:szCs w:val="18"/>
              </w:rPr>
              <w:t>红土鑫洲创业 </w:t>
            </w:r>
            <w:r>
              <w:rPr>
                <w:rFonts w:ascii="宋体" w:hAnsi="宋体" w:cs="宋体" w:eastAsia="宋体" w:hint="default"/>
                <w:spacing w:val="-6"/>
                <w:sz w:val="18"/>
                <w:szCs w:val="18"/>
              </w:rPr>
              <w:t>投资中心（有限</w:t>
            </w:r>
            <w:r>
              <w:rPr>
                <w:rFonts w:ascii="宋体" w:hAnsi="宋体" w:cs="宋体" w:eastAsia="宋体" w:hint="default"/>
                <w:sz w:val="18"/>
                <w:szCs w:val="18"/>
              </w:rPr>
              <w:t> </w:t>
            </w:r>
            <w:r>
              <w:rPr>
                <w:rFonts w:ascii="宋体" w:hAnsi="宋体" w:cs="宋体" w:eastAsia="宋体" w:hint="default"/>
                <w:spacing w:val="-13"/>
                <w:sz w:val="18"/>
                <w:szCs w:val="18"/>
              </w:rPr>
              <w:t>合伙）、南昌红</w:t>
            </w:r>
            <w:r>
              <w:rPr>
                <w:rFonts w:ascii="宋体" w:hAnsi="宋体" w:cs="宋体" w:eastAsia="宋体" w:hint="default"/>
                <w:sz w:val="18"/>
                <w:szCs w:val="18"/>
              </w:rPr>
              <w:t> 土创新资本创 业投资有限公 </w:t>
            </w:r>
            <w:r>
              <w:rPr>
                <w:rFonts w:ascii="宋体" w:hAnsi="宋体" w:cs="宋体" w:eastAsia="宋体" w:hint="default"/>
                <w:spacing w:val="-6"/>
                <w:sz w:val="18"/>
                <w:szCs w:val="18"/>
              </w:rPr>
              <w:t>司、湖北红土创</w:t>
            </w:r>
            <w:r>
              <w:rPr>
                <w:rFonts w:ascii="宋体" w:hAnsi="宋体" w:cs="宋体" w:eastAsia="宋体" w:hint="default"/>
                <w:sz w:val="18"/>
                <w:szCs w:val="18"/>
              </w:rPr>
              <w:t> 业投资有限公 司</w:t>
            </w:r>
          </w:p>
        </w:tc>
        <w:tc>
          <w:tcPr>
            <w:tcW w:w="851" w:type="dxa"/>
            <w:tcBorders>
              <w:top w:val="single" w:sz="12" w:space="0" w:color="000000"/>
              <w:left w:val="single" w:sz="6" w:space="0" w:color="000000"/>
              <w:bottom w:val="single" w:sz="6" w:space="0" w:color="000000"/>
              <w:right w:val="single" w:sz="6" w:space="0" w:color="000000"/>
            </w:tcBorders>
          </w:tcPr>
          <w:p>
            <w:pPr/>
          </w:p>
        </w:tc>
        <w:tc>
          <w:tcPr>
            <w:tcW w:w="3118"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0" w:right="18"/>
              <w:jc w:val="both"/>
              <w:rPr>
                <w:rFonts w:ascii="宋体" w:hAnsi="宋体" w:cs="宋体" w:eastAsia="宋体" w:hint="default"/>
                <w:sz w:val="18"/>
                <w:szCs w:val="18"/>
              </w:rPr>
            </w:pPr>
            <w:r>
              <w:rPr>
                <w:rFonts w:ascii="宋体" w:hAnsi="宋体" w:cs="宋体" w:eastAsia="宋体" w:hint="default"/>
                <w:spacing w:val="-5"/>
                <w:sz w:val="18"/>
                <w:szCs w:val="18"/>
              </w:rPr>
              <w:t>行为。（</w:t>
            </w:r>
            <w:r>
              <w:rPr>
                <w:rFonts w:ascii="宋体" w:hAnsi="宋体" w:cs="宋体" w:eastAsia="宋体" w:hint="default"/>
                <w:spacing w:val="-5"/>
                <w:sz w:val="18"/>
                <w:szCs w:val="18"/>
              </w:rPr>
              <w:t>3</w:t>
            </w:r>
            <w:r>
              <w:rPr>
                <w:rFonts w:ascii="宋体" w:hAnsi="宋体" w:cs="宋体" w:eastAsia="宋体" w:hint="default"/>
                <w:spacing w:val="-5"/>
                <w:sz w:val="18"/>
                <w:szCs w:val="18"/>
              </w:rPr>
              <w:t>）本公司保证不存在以委托持</w:t>
            </w:r>
            <w:r>
              <w:rPr>
                <w:rFonts w:ascii="宋体" w:hAnsi="宋体" w:cs="宋体" w:eastAsia="宋体" w:hint="default"/>
                <w:sz w:val="18"/>
                <w:szCs w:val="18"/>
              </w:rPr>
              <w:t> 股、信托持股或其他类似的方式为他人 代持索瑞电气股权或由他人代本公司代 持索瑞电气股权的情形。本公司保证合 法持有且有权转让索瑞电气股权，本公 司所持索瑞电气股权不存在任何质押、 查封、</w:t>
            </w:r>
          </w:p>
          <w:p>
            <w:pPr>
              <w:pStyle w:val="TableParagraph"/>
              <w:spacing w:line="316" w:lineRule="auto" w:before="19"/>
              <w:ind w:left="20"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4</w:t>
            </w:r>
            <w:r>
              <w:rPr>
                <w:rFonts w:ascii="宋体" w:hAnsi="宋体" w:cs="宋体" w:eastAsia="宋体" w:hint="default"/>
                <w:spacing w:val="-5"/>
                <w:sz w:val="18"/>
                <w:szCs w:val="18"/>
              </w:rPr>
              <w:t>）本次交易的标的资产权属清晰，不</w:t>
            </w:r>
            <w:r>
              <w:rPr>
                <w:rFonts w:ascii="宋体" w:hAnsi="宋体" w:cs="宋体" w:eastAsia="宋体" w:hint="default"/>
                <w:sz w:val="18"/>
                <w:szCs w:val="18"/>
              </w:rPr>
              <w:t> </w:t>
            </w:r>
            <w:r>
              <w:rPr>
                <w:rFonts w:ascii="宋体" w:hAnsi="宋体" w:cs="宋体" w:eastAsia="宋体" w:hint="default"/>
                <w:spacing w:val="-6"/>
                <w:sz w:val="18"/>
                <w:szCs w:val="18"/>
              </w:rPr>
              <w:t>存在任何争议或潜在纠纷，不存在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查封、冻结或任何其他限制或禁止该等</w:t>
            </w:r>
            <w:r>
              <w:rPr>
                <w:rFonts w:ascii="宋体" w:hAnsi="宋体" w:cs="宋体" w:eastAsia="宋体" w:hint="default"/>
                <w:sz w:val="18"/>
                <w:szCs w:val="18"/>
              </w:rPr>
              <w:t> 股权转让的情形，标的资产过户或转移 </w:t>
            </w:r>
            <w:r>
              <w:rPr>
                <w:rFonts w:ascii="宋体" w:hAnsi="宋体" w:cs="宋体" w:eastAsia="宋体" w:hint="default"/>
                <w:spacing w:val="-5"/>
                <w:sz w:val="18"/>
                <w:szCs w:val="18"/>
              </w:rPr>
              <w:t>不存在法律障碍。（</w:t>
            </w:r>
            <w:r>
              <w:rPr>
                <w:rFonts w:ascii="宋体" w:hAnsi="宋体" w:cs="宋体" w:eastAsia="宋体" w:hint="default"/>
                <w:spacing w:val="-5"/>
                <w:sz w:val="18"/>
                <w:szCs w:val="18"/>
              </w:rPr>
              <w:t>5</w:t>
            </w:r>
            <w:r>
              <w:rPr>
                <w:rFonts w:ascii="宋体" w:hAnsi="宋体" w:cs="宋体" w:eastAsia="宋体" w:hint="default"/>
                <w:spacing w:val="-5"/>
                <w:sz w:val="18"/>
                <w:szCs w:val="18"/>
              </w:rPr>
              <w:t>）截至本函出具之</w:t>
            </w:r>
            <w:r>
              <w:rPr>
                <w:rFonts w:ascii="宋体" w:hAnsi="宋体" w:cs="宋体" w:eastAsia="宋体" w:hint="default"/>
                <w:sz w:val="18"/>
                <w:szCs w:val="18"/>
              </w:rPr>
              <w:t> 日，本公司及本公司的董事、监事及高 级管理人员不存在占用索瑞电气资金的 情形。本公司承诺本公司及本公司的董 事、监事及高级管理人员未来不会以任 何方式向索瑞电气借款或占用索瑞电气 </w:t>
            </w:r>
            <w:r>
              <w:rPr>
                <w:rFonts w:ascii="宋体" w:hAnsi="宋体" w:cs="宋体" w:eastAsia="宋体" w:hint="default"/>
                <w:spacing w:val="-5"/>
                <w:sz w:val="18"/>
                <w:szCs w:val="18"/>
              </w:rPr>
              <w:t>的资金。（</w:t>
            </w:r>
            <w:r>
              <w:rPr>
                <w:rFonts w:ascii="宋体" w:hAnsi="宋体" w:cs="宋体" w:eastAsia="宋体" w:hint="default"/>
                <w:spacing w:val="-5"/>
                <w:sz w:val="18"/>
                <w:szCs w:val="18"/>
              </w:rPr>
              <w:t>6</w:t>
            </w:r>
            <w:r>
              <w:rPr>
                <w:rFonts w:ascii="宋体" w:hAnsi="宋体" w:cs="宋体" w:eastAsia="宋体" w:hint="default"/>
                <w:spacing w:val="-5"/>
                <w:sz w:val="18"/>
                <w:szCs w:val="18"/>
              </w:rPr>
              <w:t>）在本次交易完成后，本公</w:t>
            </w:r>
            <w:r>
              <w:rPr>
                <w:rFonts w:ascii="宋体" w:hAnsi="宋体" w:cs="宋体" w:eastAsia="宋体" w:hint="default"/>
                <w:sz w:val="18"/>
                <w:szCs w:val="18"/>
              </w:rPr>
              <w:t> </w:t>
            </w:r>
            <w:r>
              <w:rPr>
                <w:rFonts w:ascii="宋体" w:hAnsi="宋体" w:cs="宋体" w:eastAsia="宋体" w:hint="default"/>
                <w:spacing w:val="-10"/>
                <w:sz w:val="18"/>
                <w:szCs w:val="18"/>
              </w:rPr>
              <w:t>司将按照《公司法》、《证券法》和其他</w:t>
            </w:r>
            <w:r>
              <w:rPr>
                <w:rFonts w:ascii="宋体" w:hAnsi="宋体" w:cs="宋体" w:eastAsia="宋体" w:hint="default"/>
                <w:sz w:val="18"/>
                <w:szCs w:val="18"/>
              </w:rPr>
              <w:t> 有关法律法规对上市公司的要求，合法 </w:t>
            </w:r>
            <w:r>
              <w:rPr>
                <w:rFonts w:ascii="宋体" w:hAnsi="宋体" w:cs="宋体" w:eastAsia="宋体" w:hint="default"/>
                <w:spacing w:val="10"/>
                <w:sz w:val="18"/>
                <w:szCs w:val="18"/>
              </w:rPr>
              <w:t>合规地行使股东权利并履行相应的义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务，采取切实有效措施保证光一科技及</w:t>
            </w:r>
            <w:r>
              <w:rPr>
                <w:rFonts w:ascii="宋体" w:hAnsi="宋体" w:cs="宋体" w:eastAsia="宋体" w:hint="default"/>
                <w:sz w:val="18"/>
                <w:szCs w:val="18"/>
              </w:rPr>
              <w:t> 其子公司在业务、资产、人员、机构和 财务等方面的独立和完整，同时确保光 一科技在采购、生产、销售、知识产权 等方面保持独立，使光一科技具有完全 </w:t>
            </w:r>
            <w:r>
              <w:rPr>
                <w:rFonts w:ascii="宋体" w:hAnsi="宋体" w:cs="宋体" w:eastAsia="宋体" w:hint="default"/>
                <w:spacing w:val="-5"/>
                <w:sz w:val="18"/>
                <w:szCs w:val="18"/>
              </w:rPr>
              <w:t>和完整的独立经营能力。（</w:t>
            </w:r>
            <w:r>
              <w:rPr>
                <w:rFonts w:ascii="宋体" w:hAnsi="宋体" w:cs="宋体" w:eastAsia="宋体" w:hint="default"/>
                <w:spacing w:val="-5"/>
                <w:sz w:val="18"/>
                <w:szCs w:val="18"/>
              </w:rPr>
              <w:t>7</w:t>
            </w:r>
            <w:r>
              <w:rPr>
                <w:rFonts w:ascii="宋体" w:hAnsi="宋体" w:cs="宋体" w:eastAsia="宋体" w:hint="default"/>
                <w:spacing w:val="-5"/>
                <w:sz w:val="18"/>
                <w:szCs w:val="18"/>
              </w:rPr>
              <w:t>）本公司保</w:t>
            </w:r>
            <w:r>
              <w:rPr>
                <w:rFonts w:ascii="宋体" w:hAnsi="宋体" w:cs="宋体" w:eastAsia="宋体" w:hint="default"/>
                <w:sz w:val="18"/>
                <w:szCs w:val="18"/>
              </w:rPr>
              <w:t> 证为本次交易所提供信息的真实、准确</w:t>
            </w:r>
            <w:r>
              <w:rPr>
                <w:rFonts w:ascii="宋体" w:hAnsi="宋体" w:cs="宋体" w:eastAsia="宋体" w:hint="default"/>
                <w:sz w:val="18"/>
                <w:szCs w:val="18"/>
              </w:rPr>
              <w:t> 和完整，不存在虚假记载、误导性陈述 或者重大遗漏，并对所提供信息的真实 性、准确性和完整性承担个别和连带的 </w:t>
            </w:r>
            <w:r>
              <w:rPr>
                <w:rFonts w:ascii="宋体" w:hAnsi="宋体" w:cs="宋体" w:eastAsia="宋体" w:hint="default"/>
                <w:spacing w:val="-5"/>
                <w:sz w:val="18"/>
                <w:szCs w:val="18"/>
              </w:rPr>
              <w:t>法律责任。（</w:t>
            </w:r>
            <w:r>
              <w:rPr>
                <w:rFonts w:ascii="宋体" w:hAnsi="宋体" w:cs="宋体" w:eastAsia="宋体" w:hint="default"/>
                <w:spacing w:val="-5"/>
                <w:sz w:val="18"/>
                <w:szCs w:val="18"/>
              </w:rPr>
              <w:t>8</w:t>
            </w:r>
            <w:r>
              <w:rPr>
                <w:rFonts w:ascii="宋体" w:hAnsi="宋体" w:cs="宋体" w:eastAsia="宋体" w:hint="default"/>
                <w:spacing w:val="-5"/>
                <w:sz w:val="18"/>
                <w:szCs w:val="18"/>
              </w:rPr>
              <w:t>）本承诺函自出具之日起</w:t>
            </w:r>
            <w:r>
              <w:rPr>
                <w:rFonts w:ascii="宋体" w:hAnsi="宋体" w:cs="宋体" w:eastAsia="宋体" w:hint="default"/>
                <w:sz w:val="18"/>
                <w:szCs w:val="18"/>
              </w:rPr>
              <w:t> 具有法律效力，构成对本公司具有法律 约束力的法律文件，本公司保证本承诺 函的内容没有任何虚假记载、误导性陈 述或重大遗漏。</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1127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4"/>
                <w:sz w:val="20"/>
                <w:szCs w:val="20"/>
              </w:rPr>
              <w:pict>
                <v:group style="width:49pt;height:563.65pt;mso-position-horizontal-relative:char;mso-position-vertical-relative:line" coordorigin="0,0" coordsize="980,11273">
                  <v:group style="position:absolute;left:0;top:0;width:980;height:11273" coordorigin="0,0" coordsize="980,11273">
                    <v:shape style="position:absolute;left:0;top:0;width:980;height:11273" coordorigin="0,0" coordsize="980,11273" path="m0,11272l980,11272,980,0,0,0,0,11272xe" filled="true" fillcolor="#ffffff" stroked="false">
                      <v:path arrowok="t"/>
                      <v:fill type="solid"/>
                    </v:shape>
                  </v:group>
                </v:group>
              </w:pict>
            </w:r>
            <w:r>
              <w:rPr>
                <w:rFonts w:ascii="Times New Roman" w:hAnsi="Times New Roman" w:cs="Times New Roman" w:eastAsia="Times New Roman" w:hint="default"/>
                <w:position w:val="-224"/>
                <w:sz w:val="20"/>
                <w:szCs w:val="20"/>
              </w:rPr>
            </w:r>
          </w:p>
        </w:tc>
        <w:tc>
          <w:tcPr>
            <w:tcW w:w="850" w:type="dxa"/>
            <w:tcBorders>
              <w:top w:val="single" w:sz="12" w:space="0" w:color="000000"/>
              <w:left w:val="single" w:sz="6" w:space="0" w:color="000000"/>
              <w:bottom w:val="single" w:sz="6" w:space="0" w:color="000000"/>
              <w:right w:val="single" w:sz="6" w:space="0" w:color="000000"/>
            </w:tcBorders>
          </w:tcPr>
          <w:p>
            <w:pPr/>
          </w:p>
        </w:tc>
        <w:tc>
          <w:tcPr>
            <w:tcW w:w="927" w:type="dxa"/>
            <w:tcBorders>
              <w:top w:val="single" w:sz="12" w:space="0" w:color="000000"/>
              <w:left w:val="single" w:sz="6" w:space="0" w:color="000000"/>
              <w:bottom w:val="single" w:sz="6" w:space="0" w:color="000000"/>
              <w:right w:val="single" w:sz="12" w:space="0" w:color="000000"/>
            </w:tcBorders>
          </w:tcPr>
          <w:p>
            <w:pPr/>
          </w:p>
        </w:tc>
      </w:tr>
      <w:tr>
        <w:trPr>
          <w:trHeight w:val="2559"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20"/>
              <w:jc w:val="left"/>
              <w:rPr>
                <w:rFonts w:ascii="宋体" w:hAnsi="宋体" w:cs="宋体" w:eastAsia="宋体" w:hint="default"/>
                <w:sz w:val="18"/>
                <w:szCs w:val="18"/>
              </w:rPr>
            </w:pPr>
            <w:r>
              <w:rPr>
                <w:rFonts w:ascii="宋体" w:hAnsi="宋体" w:cs="宋体" w:eastAsia="宋体" w:hint="default"/>
                <w:sz w:val="18"/>
                <w:szCs w:val="18"/>
              </w:rPr>
              <w:t>关于湖北索瑞电气有限公司租赁使用房 屋及厂房有关补偿安排的承诺及保证 函：本人（任昌兆）为湖北索瑞电气有 限公司（以下简称</w:t>
            </w:r>
            <w:r>
              <w:rPr>
                <w:rFonts w:ascii="宋体" w:hAnsi="宋体" w:cs="宋体" w:eastAsia="宋体" w:hint="default"/>
                <w:sz w:val="18"/>
                <w:szCs w:val="18"/>
              </w:rPr>
              <w:t>"</w:t>
            </w:r>
            <w:r>
              <w:rPr>
                <w:rFonts w:ascii="宋体" w:hAnsi="宋体" w:cs="宋体" w:eastAsia="宋体" w:hint="default"/>
                <w:sz w:val="18"/>
                <w:szCs w:val="18"/>
              </w:rPr>
              <w:t>索瑞电气</w:t>
            </w:r>
            <w:r>
              <w:rPr>
                <w:rFonts w:ascii="宋体" w:hAnsi="宋体" w:cs="宋体" w:eastAsia="宋体" w:hint="default"/>
                <w:sz w:val="18"/>
                <w:szCs w:val="18"/>
              </w:rPr>
              <w:t>"</w:t>
            </w:r>
            <w:r>
              <w:rPr>
                <w:rFonts w:ascii="宋体" w:hAnsi="宋体" w:cs="宋体" w:eastAsia="宋体" w:hint="default"/>
                <w:sz w:val="18"/>
                <w:szCs w:val="18"/>
              </w:rPr>
              <w:t>）的实际 控制人，索瑞电气及子公司、办事处因 生产经营需要，租赁使用了部分房屋及 厂房，因部分租赁房屋尚未取得房屋所 有权证书，且所有租赁的房屋均未在当</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65.036987pt;margin-top:73.499985pt;width:181.25pt;height:314pt;mso-position-horizontal-relative:page;mso-position-vertical-relative:page;z-index:-1095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5"/>
                    <w:ind w:left="720" w:right="0" w:hanging="721"/>
                    <w:jc w:val="left"/>
                    <w:rPr>
                      <w:rFonts w:ascii="宋体" w:hAnsi="宋体" w:cs="宋体" w:eastAsia="宋体" w:hint="default"/>
                      <w:sz w:val="18"/>
                      <w:szCs w:val="18"/>
                    </w:rPr>
                  </w:pPr>
                  <w:r>
                    <w:rPr>
                      <w:rFonts w:ascii="宋体" w:hAnsi="宋体" w:cs="宋体" w:eastAsia="宋体" w:hint="default"/>
                      <w:sz w:val="18"/>
                      <w:szCs w:val="18"/>
                    </w:rPr>
                    <w:t>本人不可撤销地承诺及保证如下：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720" w:right="0" w:firstLine="0"/>
                    <w:jc w:val="left"/>
                    <w:rPr>
                      <w:rFonts w:ascii="宋体" w:hAnsi="宋体" w:cs="宋体" w:eastAsia="宋体" w:hint="default"/>
                      <w:sz w:val="18"/>
                      <w:szCs w:val="18"/>
                    </w:rPr>
                  </w:pPr>
                  <w:r>
                    <w:rPr>
                      <w:rFonts w:ascii="宋体" w:hAnsi="宋体" w:cs="宋体" w:eastAsia="宋体" w:hint="default"/>
                      <w:sz w:val="18"/>
                      <w:szCs w:val="18"/>
                    </w:rPr>
                    <w:t>具之日即发生法律效力，</w:t>
                  </w:r>
                </w:p>
              </w:txbxContent>
            </v:textbox>
            <w10:wrap type="none"/>
          </v:shape>
        </w:pict>
      </w:r>
    </w:p>
    <w:p>
      <w:pPr>
        <w:spacing w:line="240" w:lineRule="auto" w:before="7"/>
        <w:rPr>
          <w:rFonts w:ascii="Times New Roman" w:hAnsi="Times New Roman" w:cs="Times New Roman" w:eastAsia="Times New Roman" w:hint="default"/>
          <w:sz w:val="14"/>
          <w:szCs w:val="14"/>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7"/>
      </w:tblGrid>
      <w:tr>
        <w:trPr>
          <w:trHeight w:val="6302"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3118"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0" w:right="21"/>
              <w:jc w:val="left"/>
              <w:rPr>
                <w:rFonts w:ascii="宋体" w:hAnsi="宋体" w:cs="宋体" w:eastAsia="宋体" w:hint="default"/>
                <w:sz w:val="18"/>
                <w:szCs w:val="18"/>
              </w:rPr>
            </w:pPr>
            <w:r>
              <w:rPr>
                <w:rFonts w:ascii="宋体" w:hAnsi="宋体" w:cs="宋体" w:eastAsia="宋体" w:hint="default"/>
                <w:sz w:val="18"/>
                <w:szCs w:val="18"/>
              </w:rPr>
              <w:t>地房屋管理部门办理房屋登记备案手 续，存在生产经营不稳定的风险。对于 索瑞电气租赁使用该等房屋及厂房因国 家法律、法规规定，以及地方政府规划 导致该等房屋及厂房占用土地被征用、 该等厂房被拆除以及出租方提前解除租 赁合同等原因影响索瑞电气正常生产经 营的，</w:t>
            </w:r>
          </w:p>
          <w:p>
            <w:pPr>
              <w:pStyle w:val="TableParagraph"/>
              <w:spacing w:line="319" w:lineRule="auto" w:before="19"/>
              <w:ind w:left="20" w:right="1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w:t>
            </w:r>
            <w:r>
              <w:rPr>
                <w:rFonts w:ascii="宋体" w:hAnsi="宋体" w:cs="宋体" w:eastAsia="宋体" w:hint="default"/>
                <w:spacing w:val="-5"/>
                <w:sz w:val="18"/>
                <w:szCs w:val="18"/>
              </w:rPr>
              <w:t>）无论何种原因导致索瑞电气在租赁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合同约定有效期内租赁使用的房屋或厂 房被拆除或出租方提前解除租赁合同， 对于索瑞电气搬迁支付的全部费用，以 及因搬迁停产造成的损失由本人全额补 </w:t>
            </w:r>
            <w:r>
              <w:rPr>
                <w:rFonts w:ascii="宋体" w:hAnsi="宋体" w:cs="宋体" w:eastAsia="宋体" w:hint="default"/>
                <w:spacing w:val="-23"/>
                <w:sz w:val="18"/>
                <w:szCs w:val="18"/>
              </w:rPr>
              <w:t>偿。（</w:t>
            </w:r>
            <w:r>
              <w:rPr>
                <w:rFonts w:ascii="宋体" w:hAnsi="宋体" w:cs="宋体" w:eastAsia="宋体" w:hint="default"/>
                <w:spacing w:val="-23"/>
                <w:sz w:val="18"/>
                <w:szCs w:val="18"/>
              </w:rPr>
              <w:t>2</w:t>
            </w:r>
            <w:r>
              <w:rPr>
                <w:rFonts w:ascii="宋体" w:hAnsi="宋体" w:cs="宋体" w:eastAsia="宋体" w:hint="default"/>
                <w:spacing w:val="-23"/>
                <w:sz w:val="18"/>
                <w:szCs w:val="18"/>
              </w:rPr>
              <w:t>）本函出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于任何时候均对本人具有不可撤销的法 律约束力。如因本人未履行本函所述承 诺及保证义务的，索瑞电气及按照国家 法律法规及索瑞电气章程享有诉讼代表 权利的股东等均有权依据本函依法提起 诉讼。</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62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49pt;height:314pt;mso-position-horizontal-relative:char;mso-position-vertical-relative:line" coordorigin="0,0" coordsize="980,6280">
                  <v:group style="position:absolute;left:0;top:0;width:980;height:6280" coordorigin="0,0" coordsize="980,6280">
                    <v:shape style="position:absolute;left:0;top:0;width:980;height:6280" coordorigin="0,0" coordsize="980,6280" path="m0,6280l980,6280,980,0,0,0,0,6280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850" w:type="dxa"/>
            <w:tcBorders>
              <w:top w:val="single" w:sz="12" w:space="0" w:color="000000"/>
              <w:left w:val="single" w:sz="6" w:space="0" w:color="000000"/>
              <w:bottom w:val="single" w:sz="6" w:space="0" w:color="000000"/>
              <w:right w:val="single" w:sz="6" w:space="0" w:color="000000"/>
            </w:tcBorders>
          </w:tcPr>
          <w:p>
            <w:pPr/>
          </w:p>
        </w:tc>
        <w:tc>
          <w:tcPr>
            <w:tcW w:w="927" w:type="dxa"/>
            <w:tcBorders>
              <w:top w:val="single" w:sz="12" w:space="0" w:color="000000"/>
              <w:left w:val="single" w:sz="6" w:space="0" w:color="000000"/>
              <w:bottom w:val="single" w:sz="6" w:space="0" w:color="000000"/>
              <w:right w:val="single" w:sz="12" w:space="0" w:color="000000"/>
            </w:tcBorders>
          </w:tcPr>
          <w:p>
            <w:pPr/>
          </w:p>
        </w:tc>
      </w:tr>
      <w:tr>
        <w:trPr>
          <w:trHeight w:val="2279"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周军</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57"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8"/>
              <w:jc w:val="both"/>
              <w:rPr>
                <w:rFonts w:ascii="宋体" w:hAnsi="宋体" w:cs="宋体" w:eastAsia="宋体" w:hint="default"/>
                <w:sz w:val="18"/>
                <w:szCs w:val="18"/>
              </w:rPr>
            </w:pPr>
            <w:r>
              <w:rPr>
                <w:rFonts w:ascii="宋体" w:hAnsi="宋体" w:cs="宋体" w:eastAsia="宋体" w:hint="default"/>
                <w:sz w:val="18"/>
                <w:szCs w:val="18"/>
              </w:rPr>
              <w:t>关于重大资产重组事项的承诺：本人于 </w:t>
            </w:r>
            <w:r>
              <w:rPr>
                <w:rFonts w:ascii="宋体" w:hAnsi="宋体" w:cs="宋体" w:eastAsia="宋体" w:hint="default"/>
                <w:sz w:val="18"/>
                <w:szCs w:val="18"/>
              </w:rPr>
              <w:t>2008</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5</w:t>
            </w:r>
            <w:r>
              <w:rPr>
                <w:rFonts w:ascii="宋体" w:hAnsi="宋体" w:cs="宋体" w:eastAsia="宋体" w:hint="default"/>
                <w:spacing w:val="-60"/>
                <w:sz w:val="18"/>
                <w:szCs w:val="18"/>
              </w:rPr>
              <w:t> </w:t>
            </w:r>
            <w:r>
              <w:rPr>
                <w:rFonts w:ascii="宋体" w:hAnsi="宋体" w:cs="宋体" w:eastAsia="宋体" w:hint="default"/>
                <w:sz w:val="18"/>
                <w:szCs w:val="18"/>
              </w:rPr>
              <w:t>月从湖北省公安电业有限责任</w:t>
            </w:r>
          </w:p>
          <w:p>
            <w:pPr>
              <w:pStyle w:val="TableParagraph"/>
              <w:spacing w:line="319" w:lineRule="auto" w:before="19"/>
              <w:ind w:left="20" w:right="18"/>
              <w:jc w:val="both"/>
              <w:rPr>
                <w:rFonts w:ascii="宋体" w:hAnsi="宋体" w:cs="宋体" w:eastAsia="宋体" w:hint="default"/>
                <w:sz w:val="18"/>
                <w:szCs w:val="18"/>
              </w:rPr>
            </w:pPr>
            <w:r>
              <w:rPr>
                <w:rFonts w:ascii="宋体" w:hAnsi="宋体" w:cs="宋体" w:eastAsia="宋体" w:hint="default"/>
                <w:sz w:val="18"/>
                <w:szCs w:val="18"/>
              </w:rPr>
              <w:t>公司处受让索瑞电气</w:t>
            </w:r>
            <w:r>
              <w:rPr>
                <w:rFonts w:ascii="宋体" w:hAnsi="宋体" w:cs="宋体" w:eastAsia="宋体" w:hint="default"/>
                <w:spacing w:val="-45"/>
                <w:sz w:val="18"/>
                <w:szCs w:val="18"/>
              </w:rPr>
              <w:t> </w:t>
            </w:r>
            <w:r>
              <w:rPr>
                <w:rFonts w:ascii="宋体" w:hAnsi="宋体" w:cs="宋体" w:eastAsia="宋体" w:hint="default"/>
                <w:sz w:val="18"/>
                <w:szCs w:val="18"/>
              </w:rPr>
              <w:t>80</w:t>
            </w:r>
            <w:r>
              <w:rPr>
                <w:rFonts w:ascii="宋体" w:hAnsi="宋体" w:cs="宋体" w:eastAsia="宋体" w:hint="default"/>
                <w:spacing w:val="-45"/>
                <w:sz w:val="18"/>
                <w:szCs w:val="18"/>
              </w:rPr>
              <w:t> </w:t>
            </w:r>
            <w:r>
              <w:rPr>
                <w:rFonts w:ascii="宋体" w:hAnsi="宋体" w:cs="宋体" w:eastAsia="宋体" w:hint="default"/>
                <w:spacing w:val="-13"/>
                <w:sz w:val="18"/>
                <w:szCs w:val="18"/>
              </w:rPr>
              <w:t>万元出资额，若</w:t>
            </w:r>
            <w:r>
              <w:rPr>
                <w:rFonts w:ascii="宋体" w:hAnsi="宋体" w:cs="宋体" w:eastAsia="宋体" w:hint="default"/>
                <w:sz w:val="18"/>
                <w:szCs w:val="18"/>
              </w:rPr>
              <w:t> 因上述股权与与湖北省公安电业有限责 任公司之间出现纠纷或争议从而给索瑞 电气或者光一科技带来损失，本人将全 额承担相应的损失。</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90"/>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776"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8"/>
              <w:jc w:val="both"/>
              <w:rPr>
                <w:rFonts w:ascii="宋体" w:hAnsi="宋体" w:cs="宋体" w:eastAsia="宋体" w:hint="default"/>
                <w:sz w:val="18"/>
                <w:szCs w:val="18"/>
              </w:rPr>
            </w:pPr>
            <w:r>
              <w:rPr>
                <w:rFonts w:ascii="宋体" w:hAnsi="宋体" w:cs="宋体" w:eastAsia="宋体" w:hint="default"/>
                <w:sz w:val="18"/>
                <w:szCs w:val="18"/>
              </w:rPr>
              <w:t>关于盈利承诺期内索瑞电气与陕西福星 电网设备有限责任公司交易价格公允性 </w:t>
            </w:r>
            <w:r>
              <w:rPr>
                <w:rFonts w:ascii="宋体" w:hAnsi="宋体" w:cs="宋体" w:eastAsia="宋体" w:hint="default"/>
                <w:spacing w:val="-5"/>
                <w:sz w:val="18"/>
                <w:szCs w:val="18"/>
              </w:rPr>
              <w:t>的承诺：（</w:t>
            </w:r>
            <w:r>
              <w:rPr>
                <w:rFonts w:ascii="宋体" w:hAnsi="宋体" w:cs="宋体" w:eastAsia="宋体" w:hint="default"/>
                <w:spacing w:val="-5"/>
                <w:sz w:val="18"/>
                <w:szCs w:val="18"/>
              </w:rPr>
              <w:t>1</w:t>
            </w:r>
            <w:r>
              <w:rPr>
                <w:rFonts w:ascii="宋体" w:hAnsi="宋体" w:cs="宋体" w:eastAsia="宋体" w:hint="default"/>
                <w:spacing w:val="-5"/>
                <w:sz w:val="18"/>
                <w:szCs w:val="18"/>
              </w:rPr>
              <w:t>）盈利承诺期内，索瑞电气</w:t>
            </w:r>
            <w:r>
              <w:rPr>
                <w:rFonts w:ascii="宋体" w:hAnsi="宋体" w:cs="宋体" w:eastAsia="宋体" w:hint="default"/>
                <w:sz w:val="18"/>
                <w:szCs w:val="18"/>
              </w:rPr>
              <w:t> 向陕西福星销售电能计量箱的毛利率与 索瑞电气对陕西福星以外的其他客户销 售电能计量箱毛利率基本一致，毛利率 绝对值相差不超过</w:t>
            </w:r>
            <w:r>
              <w:rPr>
                <w:rFonts w:ascii="宋体" w:hAnsi="宋体" w:cs="宋体" w:eastAsia="宋体" w:hint="default"/>
                <w:spacing w:val="-39"/>
                <w:sz w:val="18"/>
                <w:szCs w:val="18"/>
              </w:rPr>
              <w:t> </w:t>
            </w:r>
            <w:r>
              <w:rPr>
                <w:rFonts w:ascii="宋体" w:hAnsi="宋体" w:cs="宋体" w:eastAsia="宋体" w:hint="default"/>
                <w:spacing w:val="-13"/>
                <w:sz w:val="18"/>
                <w:szCs w:val="18"/>
              </w:rPr>
              <w:t>5%</w:t>
            </w:r>
            <w:r>
              <w:rPr>
                <w:rFonts w:ascii="宋体" w:hAnsi="宋体" w:cs="宋体" w:eastAsia="宋体" w:hint="default"/>
                <w:spacing w:val="-13"/>
                <w:sz w:val="18"/>
                <w:szCs w:val="18"/>
              </w:rPr>
              <w:t>；（</w:t>
            </w:r>
            <w:r>
              <w:rPr>
                <w:rFonts w:ascii="宋体" w:hAnsi="宋体" w:cs="宋体" w:eastAsia="宋体" w:hint="default"/>
                <w:spacing w:val="-13"/>
                <w:sz w:val="18"/>
                <w:szCs w:val="18"/>
              </w:rPr>
              <w:t>2</w:t>
            </w:r>
            <w:r>
              <w:rPr>
                <w:rFonts w:ascii="宋体" w:hAnsi="宋体" w:cs="宋体" w:eastAsia="宋体" w:hint="default"/>
                <w:spacing w:val="-13"/>
                <w:sz w:val="18"/>
                <w:szCs w:val="18"/>
              </w:rPr>
              <w:t>）自本承诺作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出之日起，盈利承诺期内，索瑞电气不 </w:t>
            </w:r>
            <w:r>
              <w:rPr>
                <w:rFonts w:ascii="宋体" w:hAnsi="宋体" w:cs="宋体" w:eastAsia="宋体" w:hint="default"/>
                <w:spacing w:val="-5"/>
                <w:sz w:val="18"/>
                <w:szCs w:val="18"/>
              </w:rPr>
              <w:t>再从陕西福星采购任何产品。（</w:t>
            </w:r>
            <w:r>
              <w:rPr>
                <w:rFonts w:ascii="宋体" w:hAnsi="宋体" w:cs="宋体" w:eastAsia="宋体" w:hint="default"/>
                <w:spacing w:val="-5"/>
                <w:sz w:val="18"/>
                <w:szCs w:val="18"/>
              </w:rPr>
              <w:t>3</w:t>
            </w:r>
            <w:r>
              <w:rPr>
                <w:rFonts w:ascii="宋体" w:hAnsi="宋体" w:cs="宋体" w:eastAsia="宋体" w:hint="default"/>
                <w:spacing w:val="-5"/>
                <w:sz w:val="18"/>
                <w:szCs w:val="18"/>
              </w:rPr>
              <w:t>）索瑞</w:t>
            </w:r>
            <w:r>
              <w:rPr>
                <w:rFonts w:ascii="宋体" w:hAnsi="宋体" w:cs="宋体" w:eastAsia="宋体" w:hint="default"/>
                <w:sz w:val="18"/>
                <w:szCs w:val="18"/>
              </w:rPr>
              <w:t> 电气与陕西福星之间的交易遵循交易市 场价格交易的原则，不会利用索瑞电气 与陕西福星之间的交易损害上市公司的 </w:t>
            </w:r>
            <w:r>
              <w:rPr>
                <w:rFonts w:ascii="宋体" w:hAnsi="宋体" w:cs="宋体" w:eastAsia="宋体" w:hint="default"/>
                <w:spacing w:val="-5"/>
                <w:sz w:val="18"/>
                <w:szCs w:val="18"/>
              </w:rPr>
              <w:t>利益。（</w:t>
            </w:r>
            <w:r>
              <w:rPr>
                <w:rFonts w:ascii="宋体" w:hAnsi="宋体" w:cs="宋体" w:eastAsia="宋体" w:hint="default"/>
                <w:spacing w:val="-5"/>
                <w:sz w:val="18"/>
                <w:szCs w:val="18"/>
              </w:rPr>
              <w:t>4</w:t>
            </w:r>
            <w:r>
              <w:rPr>
                <w:rFonts w:ascii="宋体" w:hAnsi="宋体" w:cs="宋体" w:eastAsia="宋体" w:hint="default"/>
                <w:spacing w:val="-5"/>
                <w:sz w:val="18"/>
                <w:szCs w:val="18"/>
              </w:rPr>
              <w:t>）若索瑞电气与陕西福星之间</w:t>
            </w:r>
            <w:r>
              <w:rPr>
                <w:rFonts w:ascii="宋体" w:hAnsi="宋体" w:cs="宋体" w:eastAsia="宋体" w:hint="default"/>
                <w:sz w:val="18"/>
                <w:szCs w:val="18"/>
              </w:rPr>
              <w:t> 的交易情况与上述承诺事项不符，任昌 兆先生愿意承诺相应的法律责任。</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15"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江苏光一投资</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9"/>
                <w:sz w:val="18"/>
                <w:szCs w:val="18"/>
              </w:rPr>
              <w:t>、</w:t>
            </w:r>
            <w:r>
              <w:rPr>
                <w:rFonts w:ascii="宋体" w:hAnsi="宋体" w:cs="宋体" w:eastAsia="宋体" w:hint="default"/>
                <w:sz w:val="18"/>
                <w:szCs w:val="18"/>
              </w:rPr>
              <w:t>关于避免同业竞争的承诺</w:t>
            </w:r>
            <w:r>
              <w:rPr>
                <w:rFonts w:ascii="宋体" w:hAnsi="宋体" w:cs="宋体" w:eastAsia="宋体" w:hint="default"/>
                <w:spacing w:val="-119"/>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29"/>
                <w:sz w:val="18"/>
                <w:szCs w:val="18"/>
              </w:rPr>
              <w:t>）</w:t>
            </w:r>
            <w:r>
              <w:rPr>
                <w:rFonts w:ascii="宋体" w:hAnsi="宋体" w:cs="宋体" w:eastAsia="宋体" w:hint="default"/>
                <w:sz w:val="18"/>
                <w:szCs w:val="18"/>
              </w:rPr>
              <w:t>本次</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1000" w:top="1040" w:bottom="1180" w:left="0" w:right="0"/>
        </w:sectPr>
      </w:pPr>
    </w:p>
    <w:p>
      <w:pPr>
        <w:spacing w:line="240" w:lineRule="auto" w:before="9"/>
        <w:rPr>
          <w:rFonts w:ascii="Times New Roman" w:hAnsi="Times New Roman" w:cs="Times New Roman" w:eastAsia="Times New Roman" w:hint="default"/>
          <w:sz w:val="16"/>
          <w:szCs w:val="16"/>
        </w:rPr>
      </w:pPr>
      <w:r>
        <w:rPr/>
        <w:pict>
          <v:group style="position:absolute;margin-left:41.700001pt;margin-top:71.249985pt;width:494.2pt;height:691pt;mso-position-horizontal-relative:page;mso-position-vertical-relative:page;z-index:-1094992" coordorigin="834,1425" coordsize="9884,13820">
            <v:group style="position:absolute;left:865;top:1470;width:1822;height:13730" coordorigin="865,1470" coordsize="1822,13730">
              <v:shape style="position:absolute;left:865;top:1470;width:1822;height:13730" coordorigin="865,1470" coordsize="1822,13730" path="m865,15199l2687,15199,2687,1470,865,1470,865,15199xe" filled="true" fillcolor="#d2d2d2" stroked="false">
                <v:path arrowok="t"/>
                <v:fill type="solid"/>
              </v:shape>
            </v:group>
            <v:group style="position:absolute;left:864;top:1440;width:1824;height:30" coordorigin="864,1440" coordsize="1824,30">
              <v:shape style="position:absolute;left:864;top:1440;width:1824;height:30" coordorigin="864,1440" coordsize="1824,30" path="m864,1470l2687,1470,2687,1440,864,1440,864,1470xe" filled="true" fillcolor="#000000" stroked="false">
                <v:path arrowok="t"/>
                <v:fill type="solid"/>
              </v:shape>
            </v:group>
            <v:group style="position:absolute;left:2687;top:1455;width:30;height:2" coordorigin="2687,1455" coordsize="30,2">
              <v:shape style="position:absolute;left:2687;top:1455;width:30;height:2" coordorigin="2687,1455" coordsize="30,0" path="m2687,1455l2717,1455e" filled="false" stroked="true" strokeweight="1.5pt" strokecolor="#000000">
                <v:path arrowok="t"/>
              </v:shape>
            </v:group>
            <v:group style="position:absolute;left:2717;top:1455;width:1246;height:2" coordorigin="2717,1455" coordsize="1246,2">
              <v:shape style="position:absolute;left:2717;top:1455;width:1246;height:2" coordorigin="2717,1455" coordsize="1246,0" path="m2717,1455l3963,1455e" filled="false" stroked="true" strokeweight="1.5pt" strokecolor="#000000">
                <v:path arrowok="t"/>
              </v:shape>
            </v:group>
            <v:group style="position:absolute;left:3963;top:1455;width:30;height:2" coordorigin="3963,1455" coordsize="30,2">
              <v:shape style="position:absolute;left:3963;top:1455;width:30;height:2" coordorigin="3963,1455" coordsize="30,0" path="m3963,1455l3993,1455e" filled="false" stroked="true" strokeweight="1.5pt" strokecolor="#000000">
                <v:path arrowok="t"/>
              </v:shape>
            </v:group>
            <v:group style="position:absolute;left:3993;top:1455;width:821;height:2" coordorigin="3993,1455" coordsize="821,2">
              <v:shape style="position:absolute;left:3993;top:1455;width:821;height:2" coordorigin="3993,1455" coordsize="821,0" path="m3993,1455l4814,1455e" filled="false" stroked="true" strokeweight="1.5pt" strokecolor="#000000">
                <v:path arrowok="t"/>
              </v:shape>
            </v:group>
            <v:group style="position:absolute;left:4814;top:1455;width:30;height:2" coordorigin="4814,1455" coordsize="30,2">
              <v:shape style="position:absolute;left:4814;top:1455;width:30;height:2" coordorigin="4814,1455" coordsize="30,0" path="m4814,1455l4844,1455e" filled="false" stroked="true" strokeweight="1.5pt" strokecolor="#000000">
                <v:path arrowok="t"/>
              </v:shape>
            </v:group>
            <v:group style="position:absolute;left:7956;top:1470;width:2;height:352" coordorigin="7956,1470" coordsize="2,352">
              <v:shape style="position:absolute;left:7956;top:1470;width:2;height:352" coordorigin="7956,1470" coordsize="0,352" path="m7956,1470l7956,1822e" filled="false" stroked="true" strokeweight="1.02pt" strokecolor="#ffffff">
                <v:path arrowok="t"/>
              </v:shape>
            </v:group>
            <v:group style="position:absolute;left:7946;top:1822;width:980;height:13378" coordorigin="7946,1822" coordsize="980,13378">
              <v:shape style="position:absolute;left:7946;top:1822;width:980;height:13378" coordorigin="7946,1822" coordsize="980,13378" path="m7946,15199l8926,15199,8926,1822,7946,1822,7946,15199xe" filled="true" fillcolor="#ffffff" stroked="false">
                <v:path arrowok="t"/>
                <v:fill type="solid"/>
              </v:shape>
            </v:group>
            <v:group style="position:absolute;left:7966;top:1470;width:938;height:352" coordorigin="7966,1470" coordsize="938,352">
              <v:shape style="position:absolute;left:7966;top:1470;width:938;height:352" coordorigin="7966,1470" coordsize="938,352" path="m7966,1822l8904,1822,8904,1470,7966,1470,7966,1822xe" filled="true" fillcolor="#ffffff" stroked="false">
                <v:path arrowok="t"/>
                <v:fill type="solid"/>
              </v:shape>
            </v:group>
            <v:group style="position:absolute;left:4844;top:1455;width:3088;height:2" coordorigin="4844,1455" coordsize="3088,2">
              <v:shape style="position:absolute;left:4844;top:1455;width:3088;height:2" coordorigin="4844,1455" coordsize="3088,0" path="m4844,1455l7932,1455e" filled="false" stroked="true" strokeweight="1.5pt" strokecolor="#000000">
                <v:path arrowok="t"/>
              </v:shape>
            </v:group>
            <v:group style="position:absolute;left:7932;top:1455;width:30;height:2" coordorigin="7932,1455" coordsize="30,2">
              <v:shape style="position:absolute;left:7932;top:1455;width:30;height:2" coordorigin="7932,1455" coordsize="30,0" path="m7932,1455l7962,1455e" filled="false" stroked="true" strokeweight="1.5pt" strokecolor="#000000">
                <v:path arrowok="t"/>
              </v:shape>
            </v:group>
            <v:group style="position:absolute;left:7962;top:1455;width:964;height:2" coordorigin="7962,1455" coordsize="964,2">
              <v:shape style="position:absolute;left:7962;top:1455;width:964;height:2" coordorigin="7962,1455" coordsize="964,0" path="m7962,1455l8926,1455e" filled="false" stroked="true" strokeweight="1.5pt" strokecolor="#000000">
                <v:path arrowok="t"/>
              </v:shape>
            </v:group>
            <v:group style="position:absolute;left:8926;top:1455;width:30;height:2" coordorigin="8926,1455" coordsize="30,2">
              <v:shape style="position:absolute;left:8926;top:1455;width:30;height:2" coordorigin="8926,1455" coordsize="30,0" path="m8926,1455l8956,1455e" filled="false" stroked="true" strokeweight="1.5pt" strokecolor="#000000">
                <v:path arrowok="t"/>
              </v:shape>
            </v:group>
            <v:group style="position:absolute;left:8956;top:1455;width:820;height:2" coordorigin="8956,1455" coordsize="820,2">
              <v:shape style="position:absolute;left:8956;top:1455;width:820;height:2" coordorigin="8956,1455" coordsize="820,0" path="m8956,1455l9775,1455e" filled="false" stroked="true" strokeweight="1.5pt" strokecolor="#000000">
                <v:path arrowok="t"/>
              </v:shape>
            </v:group>
            <v:group style="position:absolute;left:9775;top:1455;width:30;height:2" coordorigin="9775,1455" coordsize="30,2">
              <v:shape style="position:absolute;left:9775;top:1455;width:30;height:2" coordorigin="9775,1455" coordsize="30,0" path="m9775,1455l9805,1455e" filled="false" stroked="true" strokeweight="1.5pt" strokecolor="#000000">
                <v:path arrowok="t"/>
              </v:shape>
            </v:group>
            <v:group style="position:absolute;left:9805;top:1455;width:882;height:2" coordorigin="9805,1455" coordsize="882,2">
              <v:shape style="position:absolute;left:9805;top:1455;width:882;height:2" coordorigin="9805,1455" coordsize="882,0" path="m9805,1455l10687,1455e" filled="false" stroked="true" strokeweight="1.5pt" strokecolor="#000000">
                <v:path arrowok="t"/>
              </v:shape>
            </v:group>
            <v:group style="position:absolute;left:849;top:1440;width:2;height:13790" coordorigin="849,1440" coordsize="2,13790">
              <v:shape style="position:absolute;left:849;top:1440;width:2;height:13790" coordorigin="849,1440" coordsize="0,13790" path="m849,1440l849,15229e" filled="false" stroked="true" strokeweight="1.5pt" strokecolor="#000000">
                <v:path arrowok="t"/>
              </v:shape>
            </v:group>
            <v:group style="position:absolute;left:864;top:15214;width:1824;height:2" coordorigin="864,15214" coordsize="1824,2">
              <v:shape style="position:absolute;left:864;top:15214;width:1824;height:2" coordorigin="864,15214" coordsize="1824,0" path="m864,15214l2687,15214e" filled="false" stroked="true" strokeweight="1.5pt" strokecolor="#000000">
                <v:path arrowok="t"/>
              </v:shape>
            </v:group>
            <v:group style="position:absolute;left:2694;top:1470;width:2;height:13730" coordorigin="2694,1470" coordsize="2,13730">
              <v:shape style="position:absolute;left:2694;top:1470;width:2;height:13730" coordorigin="2694,1470" coordsize="0,13730" path="m2694,1470l2694,15199e" filled="false" stroked="true" strokeweight=".72pt" strokecolor="#000000">
                <v:path arrowok="t"/>
              </v:shape>
            </v:group>
            <v:group style="position:absolute;left:2687;top:15214;width:30;height:2" coordorigin="2687,15214" coordsize="30,2">
              <v:shape style="position:absolute;left:2687;top:15214;width:30;height:2" coordorigin="2687,15214" coordsize="30,0" path="m2687,15214l2717,15214e" filled="false" stroked="true" strokeweight="1.5pt" strokecolor="#000000">
                <v:path arrowok="t"/>
              </v:shape>
            </v:group>
            <v:group style="position:absolute;left:2717;top:15214;width:1246;height:2" coordorigin="2717,15214" coordsize="1246,2">
              <v:shape style="position:absolute;left:2717;top:15214;width:1246;height:2" coordorigin="2717,15214" coordsize="1246,0" path="m2717,15214l3963,15214e" filled="false" stroked="true" strokeweight="1.5pt" strokecolor="#000000">
                <v:path arrowok="t"/>
              </v:shape>
            </v:group>
            <v:group style="position:absolute;left:3970;top:1470;width:2;height:13730" coordorigin="3970,1470" coordsize="2,13730">
              <v:shape style="position:absolute;left:3970;top:1470;width:2;height:13730" coordorigin="3970,1470" coordsize="0,13730" path="m3970,1470l3970,15199e" filled="false" stroked="true" strokeweight=".72pt" strokecolor="#000000">
                <v:path arrowok="t"/>
              </v:shape>
            </v:group>
            <v:group style="position:absolute;left:3963;top:15214;width:30;height:2" coordorigin="3963,15214" coordsize="30,2">
              <v:shape style="position:absolute;left:3963;top:15214;width:30;height:2" coordorigin="3963,15214" coordsize="30,0" path="m3963,15214l3993,15214e" filled="false" stroked="true" strokeweight="1.5pt" strokecolor="#000000">
                <v:path arrowok="t"/>
              </v:shape>
            </v:group>
            <v:group style="position:absolute;left:3993;top:15214;width:821;height:2" coordorigin="3993,15214" coordsize="821,2">
              <v:shape style="position:absolute;left:3993;top:15214;width:821;height:2" coordorigin="3993,15214" coordsize="821,0" path="m3993,15214l4814,15214e" filled="false" stroked="true" strokeweight="1.5pt" strokecolor="#000000">
                <v:path arrowok="t"/>
              </v:shape>
            </v:group>
            <v:group style="position:absolute;left:4821;top:1470;width:2;height:13730" coordorigin="4821,1470" coordsize="2,13730">
              <v:shape style="position:absolute;left:4821;top:1470;width:2;height:13730" coordorigin="4821,1470" coordsize="0,13730" path="m4821,1470l4821,15199e" filled="false" stroked="true" strokeweight=".72pt" strokecolor="#000000">
                <v:path arrowok="t"/>
              </v:shape>
            </v:group>
            <v:group style="position:absolute;left:4814;top:15214;width:30;height:2" coordorigin="4814,15214" coordsize="30,2">
              <v:shape style="position:absolute;left:4814;top:15214;width:30;height:2" coordorigin="4814,15214" coordsize="30,0" path="m4814,15214l4844,15214e" filled="false" stroked="true" strokeweight="1.5pt" strokecolor="#000000">
                <v:path arrowok="t"/>
              </v:shape>
            </v:group>
            <v:group style="position:absolute;left:4844;top:15214;width:3088;height:2" coordorigin="4844,15214" coordsize="3088,2">
              <v:shape style="position:absolute;left:4844;top:15214;width:3088;height:2" coordorigin="4844,15214" coordsize="3088,0" path="m4844,15214l7932,15214e" filled="false" stroked="true" strokeweight="1.5pt" strokecolor="#000000">
                <v:path arrowok="t"/>
              </v:shape>
            </v:group>
            <v:group style="position:absolute;left:7939;top:1470;width:2;height:13730" coordorigin="7939,1470" coordsize="2,13730">
              <v:shape style="position:absolute;left:7939;top:1470;width:2;height:13730" coordorigin="7939,1470" coordsize="0,13730" path="m7939,1470l7939,15199e" filled="false" stroked="true" strokeweight=".72pt" strokecolor="#000000">
                <v:path arrowok="t"/>
              </v:shape>
            </v:group>
            <v:group style="position:absolute;left:7932;top:15214;width:30;height:2" coordorigin="7932,15214" coordsize="30,2">
              <v:shape style="position:absolute;left:7932;top:15214;width:30;height:2" coordorigin="7932,15214" coordsize="30,0" path="m7932,15214l7962,15214e" filled="false" stroked="true" strokeweight="1.5pt" strokecolor="#000000">
                <v:path arrowok="t"/>
              </v:shape>
            </v:group>
            <v:group style="position:absolute;left:7962;top:15214;width:964;height:2" coordorigin="7962,15214" coordsize="964,2">
              <v:shape style="position:absolute;left:7962;top:15214;width:964;height:2" coordorigin="7962,15214" coordsize="964,0" path="m7962,15214l8926,15214e" filled="false" stroked="true" strokeweight="1.5pt" strokecolor="#000000">
                <v:path arrowok="t"/>
              </v:shape>
            </v:group>
            <v:group style="position:absolute;left:8933;top:1470;width:2;height:13730" coordorigin="8933,1470" coordsize="2,13730">
              <v:shape style="position:absolute;left:8933;top:1470;width:2;height:13730" coordorigin="8933,1470" coordsize="0,13730" path="m8933,1470l8933,15199e" filled="false" stroked="true" strokeweight=".72pt" strokecolor="#000000">
                <v:path arrowok="t"/>
              </v:shape>
            </v:group>
            <v:group style="position:absolute;left:8926;top:15214;width:30;height:2" coordorigin="8926,15214" coordsize="30,2">
              <v:shape style="position:absolute;left:8926;top:15214;width:30;height:2" coordorigin="8926,15214" coordsize="30,0" path="m8926,15214l8956,15214e" filled="false" stroked="true" strokeweight="1.5pt" strokecolor="#000000">
                <v:path arrowok="t"/>
              </v:shape>
            </v:group>
            <v:group style="position:absolute;left:8956;top:15214;width:820;height:2" coordorigin="8956,15214" coordsize="820,2">
              <v:shape style="position:absolute;left:8956;top:15214;width:820;height:2" coordorigin="8956,15214" coordsize="820,0" path="m8956,15214l9775,15214e" filled="false" stroked="true" strokeweight="1.5pt" strokecolor="#000000">
                <v:path arrowok="t"/>
              </v:shape>
            </v:group>
            <v:group style="position:absolute;left:9782;top:1470;width:2;height:13730" coordorigin="9782,1470" coordsize="2,13730">
              <v:shape style="position:absolute;left:9782;top:1470;width:2;height:13730" coordorigin="9782,1470" coordsize="0,13730" path="m9782,1470l9782,15199e" filled="false" stroked="true" strokeweight=".72pt" strokecolor="#000000">
                <v:path arrowok="t"/>
              </v:shape>
            </v:group>
            <v:group style="position:absolute;left:9775;top:15214;width:30;height:2" coordorigin="9775,15214" coordsize="30,2">
              <v:shape style="position:absolute;left:9775;top:15214;width:30;height:2" coordorigin="9775,15214" coordsize="30,0" path="m9775,15214l9805,15214e" filled="false" stroked="true" strokeweight="1.5pt" strokecolor="#000000">
                <v:path arrowok="t"/>
              </v:shape>
            </v:group>
            <v:group style="position:absolute;left:9805;top:15214;width:882;height:2" coordorigin="9805,15214" coordsize="882,2">
              <v:shape style="position:absolute;left:9805;top:15214;width:882;height:2" coordorigin="9805,15214" coordsize="882,0" path="m9805,15214l10687,15214e" filled="false" stroked="true" strokeweight="1.5pt" strokecolor="#000000">
                <v:path arrowok="t"/>
              </v:shape>
            </v:group>
            <v:group style="position:absolute;left:10702;top:1440;width:2;height:13790" coordorigin="10702,1440" coordsize="2,13790">
              <v:shape style="position:absolute;left:10702;top:1440;width:2;height:13790" coordorigin="10702,1440" coordsize="0,13790" path="m10702,1440l10702,15229e" filled="false" stroked="true" strokeweight="1.5pt" strokecolor="#000000">
                <v:path arrowok="t"/>
              </v:shape>
            </v:group>
            <w10:wrap type="none"/>
          </v:group>
        </w:pict>
      </w:r>
    </w:p>
    <w:p>
      <w:pPr>
        <w:spacing w:line="319" w:lineRule="auto" w:before="0"/>
        <w:ind w:left="1662" w:right="0" w:firstLine="0"/>
        <w:jc w:val="right"/>
        <w:rPr>
          <w:rFonts w:ascii="宋体" w:hAnsi="宋体" w:cs="宋体" w:eastAsia="宋体" w:hint="default"/>
          <w:sz w:val="18"/>
          <w:szCs w:val="18"/>
        </w:rPr>
      </w:pPr>
      <w:r>
        <w:rPr>
          <w:rFonts w:ascii="宋体" w:hAnsi="宋体" w:cs="宋体" w:eastAsia="宋体" w:hint="default"/>
          <w:sz w:val="18"/>
          <w:szCs w:val="18"/>
        </w:rPr>
        <w:t>管理有限责任 公司、龙昌明</w:t>
      </w:r>
    </w:p>
    <w:p>
      <w:pPr>
        <w:spacing w:line="240" w:lineRule="auto" w:before="10"/>
        <w:rPr>
          <w:rFonts w:ascii="宋体" w:hAnsi="宋体" w:cs="宋体" w:eastAsia="宋体" w:hint="default"/>
          <w:sz w:val="14"/>
          <w:szCs w:val="14"/>
        </w:rPr>
      </w:pPr>
      <w:r>
        <w:rPr/>
        <w:br w:type="column"/>
      </w:r>
      <w:r>
        <w:rPr>
          <w:rFonts w:ascii="宋体"/>
          <w:sz w:val="14"/>
        </w:rPr>
      </w:r>
    </w:p>
    <w:p>
      <w:pPr>
        <w:spacing w:line="319" w:lineRule="auto" w:before="0"/>
        <w:ind w:left="155" w:right="0" w:firstLine="0"/>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 诺</w:t>
      </w:r>
    </w:p>
    <w:p>
      <w:pPr>
        <w:spacing w:line="240" w:lineRule="auto" w:before="11"/>
        <w:rPr>
          <w:rFonts w:ascii="宋体" w:hAnsi="宋体" w:cs="宋体" w:eastAsia="宋体" w:hint="default"/>
          <w:sz w:val="14"/>
          <w:szCs w:val="14"/>
        </w:rPr>
      </w:pPr>
      <w:r>
        <w:rPr/>
        <w:br w:type="column"/>
      </w:r>
      <w:r>
        <w:rPr>
          <w:rFonts w:ascii="宋体"/>
          <w:sz w:val="14"/>
        </w:rPr>
      </w:r>
    </w:p>
    <w:p>
      <w:pPr>
        <w:spacing w:line="316" w:lineRule="auto" w:before="0"/>
        <w:ind w:left="90" w:right="3295" w:firstLine="0"/>
        <w:jc w:val="left"/>
        <w:rPr>
          <w:rFonts w:ascii="宋体" w:hAnsi="宋体" w:cs="宋体" w:eastAsia="宋体" w:hint="default"/>
          <w:sz w:val="18"/>
          <w:szCs w:val="18"/>
        </w:rPr>
      </w:pPr>
      <w:r>
        <w:rPr>
          <w:rFonts w:ascii="宋体" w:hAnsi="宋体" w:cs="宋体" w:eastAsia="宋体" w:hint="default"/>
          <w:spacing w:val="-7"/>
          <w:sz w:val="18"/>
          <w:szCs w:val="18"/>
        </w:rPr>
        <w:t>交易完成后，在作为光一科技股东期间，月</w:t>
      </w:r>
      <w:r>
        <w:rPr>
          <w:rFonts w:ascii="宋体" w:hAnsi="宋体" w:cs="宋体" w:eastAsia="宋体" w:hint="default"/>
          <w:spacing w:val="-42"/>
          <w:sz w:val="18"/>
          <w:szCs w:val="18"/>
        </w:rPr>
        <w:t> </w:t>
      </w:r>
      <w:r>
        <w:rPr>
          <w:rFonts w:ascii="宋体" w:hAnsi="宋体" w:cs="宋体" w:eastAsia="宋体" w:hint="default"/>
          <w:sz w:val="18"/>
          <w:szCs w:val="18"/>
        </w:rPr>
        <w:t>18</w:t>
      </w:r>
      <w:r>
        <w:rPr>
          <w:rFonts w:ascii="宋体" w:hAnsi="宋体" w:cs="宋体" w:eastAsia="宋体" w:hint="default"/>
          <w:spacing w:val="-42"/>
          <w:sz w:val="18"/>
          <w:szCs w:val="18"/>
        </w:rPr>
        <w:t> </w:t>
      </w:r>
      <w:r>
        <w:rPr>
          <w:rFonts w:ascii="宋体" w:hAnsi="宋体" w:cs="宋体" w:eastAsia="宋体" w:hint="default"/>
          <w:sz w:val="18"/>
          <w:szCs w:val="18"/>
        </w:rPr>
        <w:t>日 </w:t>
      </w:r>
      <w:r>
        <w:rPr>
          <w:rFonts w:ascii="宋体" w:hAnsi="宋体" w:cs="宋体" w:eastAsia="宋体" w:hint="default"/>
          <w:spacing w:val="4"/>
          <w:sz w:val="18"/>
          <w:szCs w:val="18"/>
        </w:rPr>
        <w:t>本公司</w:t>
      </w:r>
      <w:r>
        <w:rPr>
          <w:rFonts w:ascii="宋体" w:hAnsi="宋体" w:cs="宋体" w:eastAsia="宋体" w:hint="default"/>
          <w:spacing w:val="4"/>
          <w:sz w:val="18"/>
          <w:szCs w:val="18"/>
        </w:rPr>
        <w:t>/</w:t>
      </w:r>
      <w:r>
        <w:rPr>
          <w:rFonts w:ascii="宋体" w:hAnsi="宋体" w:cs="宋体" w:eastAsia="宋体" w:hint="default"/>
          <w:spacing w:val="4"/>
          <w:sz w:val="18"/>
          <w:szCs w:val="18"/>
        </w:rPr>
        <w:t>本人及控制的其他企业不会直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接或间接从事任何与光一科技及其下属</w:t>
      </w:r>
      <w:r>
        <w:rPr>
          <w:rFonts w:ascii="宋体" w:hAnsi="宋体" w:cs="宋体" w:eastAsia="宋体" w:hint="default"/>
          <w:sz w:val="18"/>
          <w:szCs w:val="18"/>
        </w:rPr>
        <w:t> 公司主要经营业务构成同业竞争或潜在 同业竞争关系的生产与经营业务，亦不 会投资任何与光一科技及其下属公司主 要经营业务构成同业竞争或潜在同业竞 </w:t>
      </w:r>
      <w:r>
        <w:rPr>
          <w:rFonts w:ascii="宋体" w:hAnsi="宋体" w:cs="宋体" w:eastAsia="宋体" w:hint="default"/>
          <w:spacing w:val="-5"/>
          <w:sz w:val="18"/>
          <w:szCs w:val="18"/>
        </w:rPr>
        <w:t>争关系的其他企业。（</w:t>
      </w:r>
      <w:r>
        <w:rPr>
          <w:rFonts w:ascii="宋体" w:hAnsi="宋体" w:cs="宋体" w:eastAsia="宋体" w:hint="default"/>
          <w:spacing w:val="-5"/>
          <w:sz w:val="18"/>
          <w:szCs w:val="18"/>
        </w:rPr>
        <w:t>2</w:t>
      </w:r>
      <w:r>
        <w:rPr>
          <w:rFonts w:ascii="宋体" w:hAnsi="宋体" w:cs="宋体" w:eastAsia="宋体" w:hint="default"/>
          <w:spacing w:val="-5"/>
          <w:sz w:val="18"/>
          <w:szCs w:val="18"/>
        </w:rPr>
        <w:t>）在上述期间，</w:t>
      </w:r>
      <w:r>
        <w:rPr>
          <w:rFonts w:ascii="宋体" w:hAnsi="宋体" w:cs="宋体" w:eastAsia="宋体" w:hint="default"/>
          <w:sz w:val="18"/>
          <w:szCs w:val="18"/>
        </w:rPr>
        <w:t> </w:t>
      </w:r>
      <w:r>
        <w:rPr>
          <w:rFonts w:ascii="宋体" w:hAnsi="宋体" w:cs="宋体" w:eastAsia="宋体" w:hint="default"/>
          <w:spacing w:val="4"/>
          <w:sz w:val="18"/>
          <w:szCs w:val="18"/>
        </w:rPr>
        <w:t>如本公司</w:t>
      </w:r>
      <w:r>
        <w:rPr>
          <w:rFonts w:ascii="宋体" w:hAnsi="宋体" w:cs="宋体" w:eastAsia="宋体" w:hint="default"/>
          <w:spacing w:val="4"/>
          <w:sz w:val="18"/>
          <w:szCs w:val="18"/>
        </w:rPr>
        <w:t>/</w:t>
      </w:r>
      <w:r>
        <w:rPr>
          <w:rFonts w:ascii="宋体" w:hAnsi="宋体" w:cs="宋体" w:eastAsia="宋体" w:hint="default"/>
          <w:spacing w:val="4"/>
          <w:sz w:val="18"/>
          <w:szCs w:val="18"/>
        </w:rPr>
        <w:t>本人及控制的企业的现有业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务或该等企业为进一步拓展业务范围，</w:t>
      </w:r>
      <w:r>
        <w:rPr>
          <w:rFonts w:ascii="宋体" w:hAnsi="宋体" w:cs="宋体" w:eastAsia="宋体" w:hint="default"/>
          <w:sz w:val="18"/>
          <w:szCs w:val="18"/>
        </w:rPr>
        <w:t> 与光一科技及其下属公司经营的业务产 </w:t>
      </w:r>
      <w:r>
        <w:rPr>
          <w:rFonts w:ascii="宋体" w:hAnsi="宋体" w:cs="宋体" w:eastAsia="宋体" w:hint="default"/>
          <w:spacing w:val="-5"/>
          <w:sz w:val="18"/>
          <w:szCs w:val="18"/>
        </w:rPr>
        <w:t>生竞争，则本公司</w:t>
      </w:r>
      <w:r>
        <w:rPr>
          <w:rFonts w:ascii="宋体" w:hAnsi="宋体" w:cs="宋体" w:eastAsia="宋体" w:hint="default"/>
          <w:spacing w:val="-5"/>
          <w:sz w:val="18"/>
          <w:szCs w:val="18"/>
        </w:rPr>
        <w:t>/</w:t>
      </w:r>
      <w:r>
        <w:rPr>
          <w:rFonts w:ascii="宋体" w:hAnsi="宋体" w:cs="宋体" w:eastAsia="宋体" w:hint="default"/>
          <w:spacing w:val="-5"/>
          <w:sz w:val="18"/>
          <w:szCs w:val="18"/>
        </w:rPr>
        <w:t>本人及控制的企业将</w:t>
      </w:r>
      <w:r>
        <w:rPr>
          <w:rFonts w:ascii="宋体" w:hAnsi="宋体" w:cs="宋体" w:eastAsia="宋体" w:hint="default"/>
          <w:spacing w:val="-88"/>
          <w:sz w:val="18"/>
          <w:szCs w:val="18"/>
        </w:rPr>
        <w:t> </w:t>
      </w:r>
      <w:r>
        <w:rPr>
          <w:rFonts w:ascii="宋体" w:hAnsi="宋体" w:cs="宋体" w:eastAsia="宋体" w:hint="default"/>
          <w:sz w:val="18"/>
          <w:szCs w:val="18"/>
        </w:rPr>
        <w:t>采取停止经营产生竞争的业务的方式，</w:t>
      </w:r>
      <w:r>
        <w:rPr>
          <w:rFonts w:ascii="宋体" w:hAnsi="宋体" w:cs="宋体" w:eastAsia="宋体" w:hint="default"/>
          <w:sz w:val="18"/>
          <w:szCs w:val="18"/>
        </w:rPr>
        <w:t> 或者采取将产生竞争的业务纳入光一科 技的方式，或者采取将产生竞争的业务 </w:t>
      </w:r>
      <w:r>
        <w:rPr>
          <w:rFonts w:ascii="宋体" w:hAnsi="宋体" w:cs="宋体" w:eastAsia="宋体" w:hint="default"/>
          <w:spacing w:val="10"/>
          <w:sz w:val="18"/>
          <w:szCs w:val="18"/>
        </w:rPr>
        <w:t>转让给无关联关系第三方等的合法方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式，使本公司</w:t>
      </w:r>
      <w:r>
        <w:rPr>
          <w:rFonts w:ascii="宋体" w:hAnsi="宋体" w:cs="宋体" w:eastAsia="宋体" w:hint="default"/>
          <w:spacing w:val="-5"/>
          <w:sz w:val="18"/>
          <w:szCs w:val="18"/>
        </w:rPr>
        <w:t>/</w:t>
      </w:r>
      <w:r>
        <w:rPr>
          <w:rFonts w:ascii="宋体" w:hAnsi="宋体" w:cs="宋体" w:eastAsia="宋体" w:hint="default"/>
          <w:spacing w:val="-5"/>
          <w:sz w:val="18"/>
          <w:szCs w:val="18"/>
        </w:rPr>
        <w:t>本人及控制的企业不再从</w:t>
      </w:r>
      <w:r>
        <w:rPr>
          <w:rFonts w:ascii="宋体" w:hAnsi="宋体" w:cs="宋体" w:eastAsia="宋体" w:hint="default"/>
          <w:spacing w:val="-88"/>
          <w:sz w:val="18"/>
          <w:szCs w:val="18"/>
        </w:rPr>
        <w:t> </w:t>
      </w:r>
      <w:r>
        <w:rPr>
          <w:rFonts w:ascii="宋体" w:hAnsi="宋体" w:cs="宋体" w:eastAsia="宋体" w:hint="default"/>
          <w:sz w:val="18"/>
          <w:szCs w:val="18"/>
        </w:rPr>
        <w:t>事与光一科技主营业务相同或类似的业</w:t>
      </w:r>
      <w:r>
        <w:rPr>
          <w:rFonts w:ascii="宋体" w:hAnsi="宋体" w:cs="宋体" w:eastAsia="宋体" w:hint="default"/>
          <w:sz w:val="18"/>
          <w:szCs w:val="18"/>
        </w:rPr>
        <w:t> </w:t>
      </w:r>
      <w:r>
        <w:rPr>
          <w:rFonts w:ascii="宋体" w:hAnsi="宋体" w:cs="宋体" w:eastAsia="宋体" w:hint="default"/>
          <w:spacing w:val="-5"/>
          <w:sz w:val="18"/>
          <w:szCs w:val="18"/>
        </w:rPr>
        <w:t>务。（</w:t>
      </w:r>
      <w:r>
        <w:rPr>
          <w:rFonts w:ascii="宋体" w:hAnsi="宋体" w:cs="宋体" w:eastAsia="宋体" w:hint="default"/>
          <w:spacing w:val="-5"/>
          <w:sz w:val="18"/>
          <w:szCs w:val="18"/>
        </w:rPr>
        <w:t>3</w:t>
      </w:r>
      <w:r>
        <w:rPr>
          <w:rFonts w:ascii="宋体" w:hAnsi="宋体" w:cs="宋体" w:eastAsia="宋体" w:hint="default"/>
          <w:spacing w:val="-5"/>
          <w:sz w:val="18"/>
          <w:szCs w:val="18"/>
        </w:rPr>
        <w:t>）本函自签署出具之日起立即生</w:t>
      </w:r>
      <w:r>
        <w:rPr>
          <w:rFonts w:ascii="宋体" w:hAnsi="宋体" w:cs="宋体" w:eastAsia="宋体" w:hint="default"/>
          <w:sz w:val="18"/>
          <w:szCs w:val="18"/>
        </w:rPr>
        <w:t> 效，即对本公司</w:t>
      </w:r>
      <w:r>
        <w:rPr>
          <w:rFonts w:ascii="宋体" w:hAnsi="宋体" w:cs="宋体" w:eastAsia="宋体" w:hint="default"/>
          <w:sz w:val="18"/>
          <w:szCs w:val="18"/>
        </w:rPr>
        <w:t>/</w:t>
      </w:r>
      <w:r>
        <w:rPr>
          <w:rFonts w:ascii="宋体" w:hAnsi="宋体" w:cs="宋体" w:eastAsia="宋体" w:hint="default"/>
          <w:sz w:val="18"/>
          <w:szCs w:val="18"/>
        </w:rPr>
        <w:t>本人具有法律约束力。 </w:t>
      </w:r>
      <w:r>
        <w:rPr>
          <w:rFonts w:ascii="宋体" w:hAnsi="宋体" w:cs="宋体" w:eastAsia="宋体" w:hint="default"/>
          <w:spacing w:val="4"/>
          <w:sz w:val="18"/>
          <w:szCs w:val="18"/>
        </w:rPr>
        <w:t>自本函生效至本公司</w:t>
      </w:r>
      <w:r>
        <w:rPr>
          <w:rFonts w:ascii="宋体" w:hAnsi="宋体" w:cs="宋体" w:eastAsia="宋体" w:hint="default"/>
          <w:spacing w:val="4"/>
          <w:sz w:val="18"/>
          <w:szCs w:val="18"/>
        </w:rPr>
        <w:t>/</w:t>
      </w:r>
      <w:r>
        <w:rPr>
          <w:rFonts w:ascii="宋体" w:hAnsi="宋体" w:cs="宋体" w:eastAsia="宋体" w:hint="default"/>
          <w:spacing w:val="4"/>
          <w:sz w:val="18"/>
          <w:szCs w:val="18"/>
        </w:rPr>
        <w:t>本人作为光一科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技股东的任何时候，本公司</w:t>
      </w:r>
      <w:r>
        <w:rPr>
          <w:rFonts w:ascii="宋体" w:hAnsi="宋体" w:cs="宋体" w:eastAsia="宋体" w:hint="default"/>
          <w:spacing w:val="-5"/>
          <w:sz w:val="18"/>
          <w:szCs w:val="18"/>
        </w:rPr>
        <w:t>/</w:t>
      </w:r>
      <w:r>
        <w:rPr>
          <w:rFonts w:ascii="宋体" w:hAnsi="宋体" w:cs="宋体" w:eastAsia="宋体" w:hint="default"/>
          <w:spacing w:val="-5"/>
          <w:sz w:val="18"/>
          <w:szCs w:val="18"/>
        </w:rPr>
        <w:t>本人将严格</w:t>
      </w:r>
      <w:r>
        <w:rPr>
          <w:rFonts w:ascii="宋体" w:hAnsi="宋体" w:cs="宋体" w:eastAsia="宋体" w:hint="default"/>
          <w:spacing w:val="-88"/>
          <w:sz w:val="18"/>
          <w:szCs w:val="18"/>
        </w:rPr>
        <w:t> </w:t>
      </w:r>
      <w:r>
        <w:rPr>
          <w:rFonts w:ascii="宋体" w:hAnsi="宋体" w:cs="宋体" w:eastAsia="宋体" w:hint="default"/>
          <w:spacing w:val="10"/>
          <w:sz w:val="18"/>
          <w:szCs w:val="18"/>
        </w:rPr>
        <w:t>遵守并履行本函所作的承诺及保证义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务；对于违反本函承诺及保证义务的，</w:t>
      </w:r>
      <w:r>
        <w:rPr>
          <w:rFonts w:ascii="宋体" w:hAnsi="宋体" w:cs="宋体" w:eastAsia="宋体" w:hint="default"/>
          <w:sz w:val="18"/>
          <w:szCs w:val="18"/>
        </w:rPr>
        <w:t> </w:t>
      </w:r>
      <w:r>
        <w:rPr>
          <w:rFonts w:ascii="宋体" w:hAnsi="宋体" w:cs="宋体" w:eastAsia="宋体" w:hint="default"/>
          <w:spacing w:val="4"/>
          <w:sz w:val="18"/>
          <w:szCs w:val="18"/>
        </w:rPr>
        <w:t>本公司</w:t>
      </w:r>
      <w:r>
        <w:rPr>
          <w:rFonts w:ascii="宋体" w:hAnsi="宋体" w:cs="宋体" w:eastAsia="宋体" w:hint="default"/>
          <w:spacing w:val="4"/>
          <w:sz w:val="18"/>
          <w:szCs w:val="18"/>
        </w:rPr>
        <w:t>/</w:t>
      </w:r>
      <w:r>
        <w:rPr>
          <w:rFonts w:ascii="宋体" w:hAnsi="宋体" w:cs="宋体" w:eastAsia="宋体" w:hint="default"/>
          <w:spacing w:val="4"/>
          <w:sz w:val="18"/>
          <w:szCs w:val="18"/>
        </w:rPr>
        <w:t>本人承诺采取一切必要且有效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的措施及时纠正消除由此造成光一科技</w:t>
      </w:r>
      <w:r>
        <w:rPr>
          <w:rFonts w:ascii="宋体" w:hAnsi="宋体" w:cs="宋体" w:eastAsia="宋体" w:hint="default"/>
          <w:sz w:val="18"/>
          <w:szCs w:val="18"/>
        </w:rPr>
        <w:t> 的不利影响，并对造成光一科技直接和 </w:t>
      </w:r>
      <w:r>
        <w:rPr>
          <w:rFonts w:ascii="宋体" w:hAnsi="宋体" w:cs="宋体" w:eastAsia="宋体" w:hint="default"/>
          <w:spacing w:val="-5"/>
          <w:sz w:val="18"/>
          <w:szCs w:val="18"/>
        </w:rPr>
        <w:t>间接损失承担赔偿责任。</w:t>
      </w:r>
      <w:r>
        <w:rPr>
          <w:rFonts w:ascii="宋体" w:hAnsi="宋体" w:cs="宋体" w:eastAsia="宋体" w:hint="default"/>
          <w:spacing w:val="-5"/>
          <w:sz w:val="18"/>
          <w:szCs w:val="18"/>
        </w:rPr>
        <w:t>2</w:t>
      </w:r>
      <w:r>
        <w:rPr>
          <w:rFonts w:ascii="宋体" w:hAnsi="宋体" w:cs="宋体" w:eastAsia="宋体" w:hint="default"/>
          <w:spacing w:val="-5"/>
          <w:sz w:val="18"/>
          <w:szCs w:val="18"/>
        </w:rPr>
        <w:t>、关于减少和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规范关联交易的承诺：（</w:t>
      </w:r>
      <w:r>
        <w:rPr>
          <w:rFonts w:ascii="宋体" w:hAnsi="宋体" w:cs="宋体" w:eastAsia="宋体" w:hint="default"/>
          <w:spacing w:val="-5"/>
          <w:sz w:val="18"/>
          <w:szCs w:val="18"/>
        </w:rPr>
        <w:t>1</w:t>
      </w:r>
      <w:r>
        <w:rPr>
          <w:rFonts w:ascii="宋体" w:hAnsi="宋体" w:cs="宋体" w:eastAsia="宋体" w:hint="default"/>
          <w:spacing w:val="-5"/>
          <w:sz w:val="18"/>
          <w:szCs w:val="18"/>
        </w:rPr>
        <w:t>）本次交易完</w:t>
      </w:r>
      <w:r>
        <w:rPr>
          <w:rFonts w:ascii="宋体" w:hAnsi="宋体" w:cs="宋体" w:eastAsia="宋体" w:hint="default"/>
          <w:sz w:val="18"/>
          <w:szCs w:val="18"/>
        </w:rPr>
        <w:t> </w:t>
      </w:r>
      <w:r>
        <w:rPr>
          <w:rFonts w:ascii="宋体" w:hAnsi="宋体" w:cs="宋体" w:eastAsia="宋体" w:hint="default"/>
          <w:spacing w:val="-5"/>
          <w:sz w:val="18"/>
          <w:szCs w:val="18"/>
        </w:rPr>
        <w:t>成后，本公司</w:t>
      </w:r>
      <w:r>
        <w:rPr>
          <w:rFonts w:ascii="宋体" w:hAnsi="宋体" w:cs="宋体" w:eastAsia="宋体" w:hint="default"/>
          <w:spacing w:val="-5"/>
          <w:sz w:val="18"/>
          <w:szCs w:val="18"/>
        </w:rPr>
        <w:t>/</w:t>
      </w:r>
      <w:r>
        <w:rPr>
          <w:rFonts w:ascii="宋体" w:hAnsi="宋体" w:cs="宋体" w:eastAsia="宋体" w:hint="default"/>
          <w:spacing w:val="-5"/>
          <w:sz w:val="18"/>
          <w:szCs w:val="18"/>
        </w:rPr>
        <w:t>本人及直接或间接控制或</w:t>
      </w:r>
      <w:r>
        <w:rPr>
          <w:rFonts w:ascii="宋体" w:hAnsi="宋体" w:cs="宋体" w:eastAsia="宋体" w:hint="default"/>
          <w:spacing w:val="-88"/>
          <w:sz w:val="18"/>
          <w:szCs w:val="18"/>
        </w:rPr>
        <w:t> </w:t>
      </w:r>
      <w:r>
        <w:rPr>
          <w:rFonts w:ascii="宋体" w:hAnsi="宋体" w:cs="宋体" w:eastAsia="宋体" w:hint="default"/>
          <w:sz w:val="18"/>
          <w:szCs w:val="18"/>
        </w:rPr>
        <w:t>影响的企业与重组后的光一科技及其控</w:t>
      </w:r>
      <w:r>
        <w:rPr>
          <w:rFonts w:ascii="宋体" w:hAnsi="宋体" w:cs="宋体" w:eastAsia="宋体" w:hint="default"/>
          <w:sz w:val="18"/>
          <w:szCs w:val="18"/>
        </w:rPr>
        <w:t> 股企业之间将减少并尽可能避免关联交 易。对于无法避免或者有合理原因而发 </w:t>
      </w:r>
      <w:r>
        <w:rPr>
          <w:rFonts w:ascii="宋体" w:hAnsi="宋体" w:cs="宋体" w:eastAsia="宋体" w:hint="default"/>
          <w:spacing w:val="-5"/>
          <w:sz w:val="18"/>
          <w:szCs w:val="18"/>
        </w:rPr>
        <w:t>生的关联交易，本公司</w:t>
      </w:r>
      <w:r>
        <w:rPr>
          <w:rFonts w:ascii="宋体" w:hAnsi="宋体" w:cs="宋体" w:eastAsia="宋体" w:hint="default"/>
          <w:spacing w:val="-5"/>
          <w:sz w:val="18"/>
          <w:szCs w:val="18"/>
        </w:rPr>
        <w:t>/</w:t>
      </w:r>
      <w:r>
        <w:rPr>
          <w:rFonts w:ascii="宋体" w:hAnsi="宋体" w:cs="宋体" w:eastAsia="宋体" w:hint="default"/>
          <w:spacing w:val="-5"/>
          <w:sz w:val="18"/>
          <w:szCs w:val="18"/>
        </w:rPr>
        <w:t>本人承诺将按照</w:t>
      </w:r>
      <w:r>
        <w:rPr>
          <w:rFonts w:ascii="宋体" w:hAnsi="宋体" w:cs="宋体" w:eastAsia="宋体" w:hint="default"/>
          <w:spacing w:val="-88"/>
          <w:sz w:val="18"/>
          <w:szCs w:val="18"/>
        </w:rPr>
        <w:t> </w:t>
      </w:r>
      <w:r>
        <w:rPr>
          <w:rFonts w:ascii="宋体" w:hAnsi="宋体" w:cs="宋体" w:eastAsia="宋体" w:hint="default"/>
          <w:sz w:val="18"/>
          <w:szCs w:val="18"/>
        </w:rPr>
        <w:t>公平、公允、等价有偿等原则依法签订</w:t>
      </w:r>
      <w:r>
        <w:rPr>
          <w:rFonts w:ascii="宋体" w:hAnsi="宋体" w:cs="宋体" w:eastAsia="宋体" w:hint="default"/>
          <w:sz w:val="18"/>
          <w:szCs w:val="18"/>
        </w:rPr>
        <w:t> 协议，履行合法程序，并将按照有关法 律、法规、其他规范性文件以及光一科 技公司章程等的规定，依法履行相关内 部决策批准程序并及时履行信息披露义 务，保证不以与市场价格相比显失公允 的条件与光一科技进行交易，保证不利 用关联交易非法转移光一科技的资金、 利润，亦不利用该类交易从事任何损害 </w:t>
      </w:r>
      <w:r>
        <w:rPr>
          <w:rFonts w:ascii="宋体" w:hAnsi="宋体" w:cs="宋体" w:eastAsia="宋体" w:hint="default"/>
          <w:spacing w:val="4"/>
          <w:sz w:val="18"/>
          <w:szCs w:val="18"/>
        </w:rPr>
        <w:t>光一科技及其他股东合法权益的行为。</w:t>
      </w:r>
    </w:p>
    <w:p>
      <w:pPr>
        <w:spacing w:after="0" w:line="316" w:lineRule="auto"/>
        <w:jc w:val="left"/>
        <w:rPr>
          <w:rFonts w:ascii="宋体" w:hAnsi="宋体" w:cs="宋体" w:eastAsia="宋体" w:hint="default"/>
          <w:sz w:val="18"/>
          <w:szCs w:val="18"/>
        </w:rPr>
        <w:sectPr>
          <w:type w:val="continuous"/>
          <w:pgSz w:w="11910" w:h="16840"/>
          <w:pgMar w:top="1040" w:bottom="1180" w:left="0" w:right="0"/>
          <w:cols w:num="3" w:equalWidth="0">
            <w:col w:w="3803" w:space="40"/>
            <w:col w:w="876" w:space="40"/>
            <w:col w:w="7151"/>
          </w:cols>
        </w:sectPr>
      </w:pPr>
    </w:p>
    <w:p>
      <w:pPr>
        <w:spacing w:line="240" w:lineRule="auto" w:before="0"/>
        <w:rPr>
          <w:rFonts w:ascii="Times New Roman" w:hAnsi="Times New Roman" w:cs="Times New Roman" w:eastAsia="Times New Roman" w:hint="default"/>
          <w:sz w:val="20"/>
          <w:szCs w:val="20"/>
        </w:rPr>
      </w:pPr>
      <w:r>
        <w:rPr/>
        <w:pict>
          <v:shape style="position:absolute;margin-left:292.037018pt;margin-top:388.279968pt;width:154.25pt;height:170.6pt;mso-position-horizontal-relative:page;mso-position-vertical-relative:page;z-index:-1094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在作为光一科技股东期间，</w:t>
                  </w:r>
                </w:p>
              </w:txbxContent>
            </v:textbox>
            <w10:wrap type="none"/>
          </v:shape>
        </w:pict>
      </w:r>
      <w:r>
        <w:rPr/>
        <w:pict>
          <v:group style="position:absolute;margin-left:397.299988pt;margin-top:388.279968pt;width:49pt;height:170.6pt;mso-position-horizontal-relative:page;mso-position-vertical-relative:page;z-index:-1094944" coordorigin="7946,7766" coordsize="980,3412">
            <v:shape style="position:absolute;left:7946;top:7766;width:980;height:3412" coordorigin="7946,7766" coordsize="980,3412" path="m7946,11178l8926,11178,8926,7766,7946,7766,7946,11178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327"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311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本人及直接或间接控制或</w:t>
            </w:r>
          </w:p>
        </w:tc>
        <w:tc>
          <w:tcPr>
            <w:tcW w:w="994" w:type="dxa"/>
            <w:vMerge w:val="restart"/>
            <w:tcBorders>
              <w:top w:val="single" w:sz="12" w:space="0" w:color="000000"/>
              <w:left w:val="single" w:sz="6" w:space="0" w:color="000000"/>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影响的企业将严格避免向光一科技及其</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控股和参股公司拆借、占用光一科技及</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其控股和参股公司资金或采取由光一科</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技及其控股和参股公司代垫款、代偿债</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务等方式侵</w:t>
            </w:r>
            <w:r>
              <w:rPr>
                <w:rFonts w:ascii="宋体" w:hAnsi="宋体" w:cs="宋体" w:eastAsia="宋体" w:hint="default"/>
                <w:spacing w:val="1"/>
                <w:sz w:val="18"/>
                <w:szCs w:val="18"/>
              </w:rPr>
              <w:t>占</w:t>
            </w:r>
            <w:r>
              <w:rPr>
                <w:rFonts w:ascii="宋体" w:hAnsi="宋体" w:cs="宋体" w:eastAsia="宋体" w:hint="default"/>
                <w:sz w:val="18"/>
                <w:szCs w:val="18"/>
              </w:rPr>
              <w:t>光一科技资金</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）本次</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4"/>
                <w:sz w:val="18"/>
                <w:szCs w:val="18"/>
              </w:rPr>
              <w:t>交易完成后本公司</w:t>
            </w:r>
            <w:r>
              <w:rPr>
                <w:rFonts w:ascii="宋体" w:hAnsi="宋体" w:cs="宋体" w:eastAsia="宋体" w:hint="default"/>
                <w:spacing w:val="4"/>
                <w:sz w:val="18"/>
                <w:szCs w:val="18"/>
              </w:rPr>
              <w:t>/</w:t>
            </w:r>
            <w:r>
              <w:rPr>
                <w:rFonts w:ascii="宋体" w:hAnsi="宋体" w:cs="宋体" w:eastAsia="宋体" w:hint="default"/>
                <w:spacing w:val="4"/>
                <w:sz w:val="18"/>
                <w:szCs w:val="18"/>
              </w:rPr>
              <w:t>本人将继续严格按</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照有关法律法规、规范性文件以及光一</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0"/>
                <w:sz w:val="18"/>
                <w:szCs w:val="18"/>
              </w:rPr>
              <w:t>科技公司章程的有关规定行使股东权</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利；在光一科技股东大会对有关涉及本</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人的关联交易进行表决时，履行回避表</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决的义务</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4"/>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本人保证不通过</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关联交易取得任何不正当的利益或使光</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一科技及其控股和参股公司承担任何不</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正当的义务</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5</w:t>
            </w:r>
            <w:r>
              <w:rPr>
                <w:rFonts w:ascii="宋体" w:hAnsi="宋体" w:cs="宋体" w:eastAsia="宋体" w:hint="default"/>
                <w:sz w:val="18"/>
                <w:szCs w:val="18"/>
              </w:rPr>
              <w:t>）如果因违</w:t>
            </w:r>
            <w:r>
              <w:rPr>
                <w:rFonts w:ascii="宋体" w:hAnsi="宋体" w:cs="宋体" w:eastAsia="宋体" w:hint="default"/>
                <w:spacing w:val="1"/>
                <w:sz w:val="18"/>
                <w:szCs w:val="18"/>
              </w:rPr>
              <w:t>反</w:t>
            </w:r>
            <w:r>
              <w:rPr>
                <w:rFonts w:ascii="宋体" w:hAnsi="宋体" w:cs="宋体" w:eastAsia="宋体" w:hint="default"/>
                <w:sz w:val="18"/>
                <w:szCs w:val="18"/>
              </w:rPr>
              <w:t>上述承诺</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导致光一科技或其控股和参股公司损失</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或利用关联交易侵占光一科技或其控股</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和参股公司利益的</w:t>
            </w:r>
            <w:r>
              <w:rPr>
                <w:rFonts w:ascii="宋体" w:hAnsi="宋体" w:cs="宋体" w:eastAsia="宋体" w:hint="default"/>
                <w:spacing w:val="-88"/>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本人依法承</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1"/>
                <w:sz w:val="18"/>
                <w:szCs w:val="18"/>
              </w:rPr>
              <w:t>担光一科技或其控股和参股公司的损</w:t>
            </w:r>
            <w:r>
              <w:rPr>
                <w:rFonts w:ascii="宋体" w:hAnsi="宋体" w:cs="宋体" w:eastAsia="宋体" w:hint="default"/>
                <w:sz w:val="18"/>
                <w:szCs w:val="18"/>
              </w:rPr>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31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失。</w:t>
            </w: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31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9"/>
                <w:sz w:val="18"/>
                <w:szCs w:val="18"/>
              </w:rPr>
              <w:t>、</w:t>
            </w:r>
            <w:r>
              <w:rPr>
                <w:rFonts w:ascii="宋体" w:hAnsi="宋体" w:cs="宋体" w:eastAsia="宋体" w:hint="default"/>
                <w:sz w:val="18"/>
                <w:szCs w:val="18"/>
              </w:rPr>
              <w:t>关于避免同业竞争的承诺</w:t>
            </w:r>
            <w:r>
              <w:rPr>
                <w:rFonts w:ascii="宋体" w:hAnsi="宋体" w:cs="宋体" w:eastAsia="宋体" w:hint="default"/>
                <w:spacing w:val="-119"/>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29"/>
                <w:sz w:val="18"/>
                <w:szCs w:val="18"/>
              </w:rPr>
              <w:t>）</w:t>
            </w:r>
            <w:r>
              <w:rPr>
                <w:rFonts w:ascii="宋体" w:hAnsi="宋体" w:cs="宋体" w:eastAsia="宋体" w:hint="default"/>
                <w:sz w:val="18"/>
                <w:szCs w:val="18"/>
              </w:rPr>
              <w:t>本次</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交易完成后，</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本人或本人近亲属及本人或本人近亲属</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控制的其他企业不会直接或间接从事任</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69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310" w:lineRule="atLeast" w:before="73"/>
              <w:ind w:left="20" w:right="19"/>
              <w:jc w:val="left"/>
              <w:rPr>
                <w:rFonts w:ascii="宋体" w:hAnsi="宋体" w:cs="宋体" w:eastAsia="宋体" w:hint="default"/>
                <w:sz w:val="18"/>
                <w:szCs w:val="18"/>
              </w:rPr>
            </w:pPr>
            <w:r>
              <w:rPr>
                <w:rFonts w:ascii="宋体" w:hAnsi="宋体" w:cs="宋体" w:eastAsia="宋体" w:hint="default"/>
                <w:sz w:val="18"/>
                <w:szCs w:val="18"/>
              </w:rPr>
              <w:t>任昌兆、任晶 </w:t>
            </w:r>
            <w:r>
              <w:rPr>
                <w:rFonts w:ascii="宋体" w:hAnsi="宋体" w:cs="宋体" w:eastAsia="宋体" w:hint="default"/>
                <w:spacing w:val="-6"/>
                <w:sz w:val="18"/>
                <w:szCs w:val="18"/>
              </w:rPr>
              <w:t>晶、魏法旭、郑</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8"/>
              <w:jc w:val="left"/>
              <w:rPr>
                <w:rFonts w:ascii="宋体" w:hAnsi="宋体" w:cs="宋体" w:eastAsia="宋体" w:hint="default"/>
                <w:sz w:val="18"/>
                <w:szCs w:val="18"/>
              </w:rPr>
            </w:pPr>
            <w:r>
              <w:rPr>
                <w:rFonts w:ascii="宋体" w:hAnsi="宋体" w:cs="宋体" w:eastAsia="宋体" w:hint="default"/>
                <w:sz w:val="18"/>
                <w:szCs w:val="18"/>
              </w:rPr>
              <w:t>何与光一科技及其下属公司主要经营业 务构成同业竞争或潜在同业竞争关系的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20"/>
              <w:jc w:val="left"/>
              <w:rPr>
                <w:rFonts w:ascii="宋体" w:hAnsi="宋体" w:cs="宋体" w:eastAsia="宋体" w:hint="default"/>
                <w:sz w:val="18"/>
                <w:szCs w:val="18"/>
              </w:rPr>
            </w:pPr>
            <w:r>
              <w:rPr>
                <w:rFonts w:ascii="宋体" w:hAnsi="宋体" w:cs="宋体" w:eastAsia="宋体" w:hint="default"/>
                <w:sz w:val="18"/>
                <w:szCs w:val="18"/>
              </w:rPr>
              <w:t>丽蓉、邓丽萍、</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0" w:right="0"/>
              <w:jc w:val="left"/>
              <w:rPr>
                <w:rFonts w:ascii="宋体" w:hAnsi="宋体" w:cs="宋体" w:eastAsia="宋体" w:hint="default"/>
                <w:sz w:val="18"/>
                <w:szCs w:val="18"/>
              </w:rPr>
            </w:pPr>
            <w:r>
              <w:rPr>
                <w:rFonts w:ascii="宋体" w:hAnsi="宋体" w:cs="宋体" w:eastAsia="宋体" w:hint="default"/>
                <w:sz w:val="18"/>
                <w:szCs w:val="18"/>
              </w:rPr>
              <w:t>生产与经营业务，亦不会投资任何与光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赵业香、桂长</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0" w:right="0"/>
              <w:jc w:val="left"/>
              <w:rPr>
                <w:rFonts w:ascii="宋体" w:hAnsi="宋体" w:cs="宋体" w:eastAsia="宋体" w:hint="default"/>
                <w:sz w:val="18"/>
                <w:szCs w:val="18"/>
              </w:rPr>
            </w:pPr>
            <w:r>
              <w:rPr>
                <w:rFonts w:ascii="宋体" w:hAnsi="宋体" w:cs="宋体" w:eastAsia="宋体" w:hint="default"/>
                <w:sz w:val="18"/>
                <w:szCs w:val="18"/>
              </w:rPr>
              <w:t>一科技及其下属公司主要经营业务构成</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2184"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310" w:lineRule="atLeast" w:before="4"/>
              <w:ind w:left="20" w:right="-23"/>
              <w:jc w:val="left"/>
              <w:rPr>
                <w:rFonts w:ascii="宋体" w:hAnsi="宋体" w:cs="宋体" w:eastAsia="宋体" w:hint="default"/>
                <w:sz w:val="18"/>
                <w:szCs w:val="18"/>
              </w:rPr>
            </w:pPr>
            <w:r>
              <w:rPr>
                <w:rFonts w:ascii="宋体" w:hAnsi="宋体" w:cs="宋体" w:eastAsia="宋体" w:hint="default"/>
                <w:spacing w:val="-6"/>
                <w:sz w:val="18"/>
                <w:szCs w:val="18"/>
              </w:rPr>
              <w:t>钟、李善元、梁</w:t>
            </w:r>
            <w:r>
              <w:rPr>
                <w:rFonts w:ascii="宋体" w:hAnsi="宋体" w:cs="宋体" w:eastAsia="宋体" w:hint="default"/>
                <w:sz w:val="18"/>
                <w:szCs w:val="18"/>
              </w:rPr>
              <w:t> </w:t>
            </w:r>
            <w:r>
              <w:rPr>
                <w:rFonts w:ascii="宋体" w:hAnsi="宋体" w:cs="宋体" w:eastAsia="宋体" w:hint="default"/>
                <w:spacing w:val="-6"/>
                <w:sz w:val="18"/>
                <w:szCs w:val="18"/>
              </w:rPr>
              <w:t>蓉、廖庆生、郑</w:t>
            </w:r>
            <w:r>
              <w:rPr>
                <w:rFonts w:ascii="宋体" w:hAnsi="宋体" w:cs="宋体" w:eastAsia="宋体" w:hint="default"/>
                <w:sz w:val="18"/>
                <w:szCs w:val="18"/>
              </w:rPr>
              <w:t> </w:t>
            </w:r>
            <w:r>
              <w:rPr>
                <w:rFonts w:ascii="宋体" w:hAnsi="宋体" w:cs="宋体" w:eastAsia="宋体" w:hint="default"/>
                <w:spacing w:val="-6"/>
                <w:sz w:val="18"/>
                <w:szCs w:val="18"/>
              </w:rPr>
              <w:t>立筠、周军、田</w:t>
            </w:r>
            <w:r>
              <w:rPr>
                <w:rFonts w:ascii="宋体" w:hAnsi="宋体" w:cs="宋体" w:eastAsia="宋体" w:hint="default"/>
                <w:sz w:val="18"/>
                <w:szCs w:val="18"/>
              </w:rPr>
              <w:t> 裕树、张天祯、 王平、方旭东、 何传柏、郭明 </w:t>
            </w:r>
            <w:r>
              <w:rPr>
                <w:rFonts w:ascii="宋体" w:hAnsi="宋体" w:cs="宋体" w:eastAsia="宋体" w:hint="default"/>
                <w:spacing w:val="-6"/>
                <w:sz w:val="18"/>
                <w:szCs w:val="18"/>
              </w:rPr>
              <w:t>亮、毛为国、门</w:t>
            </w:r>
          </w:p>
        </w:tc>
        <w:tc>
          <w:tcPr>
            <w:tcW w:w="851" w:type="dxa"/>
            <w:tcBorders>
              <w:top w:val="nil" w:sz="6" w:space="0" w:color="auto"/>
              <w:left w:val="single" w:sz="9" w:space="0" w:color="FFFFFF"/>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16"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0" w:right="0"/>
              <w:jc w:val="both"/>
              <w:rPr>
                <w:rFonts w:ascii="宋体" w:hAnsi="宋体" w:cs="宋体" w:eastAsia="宋体" w:hint="default"/>
                <w:sz w:val="18"/>
                <w:szCs w:val="18"/>
              </w:rPr>
            </w:pPr>
            <w:r>
              <w:rPr>
                <w:rFonts w:ascii="宋体" w:hAnsi="宋体" w:cs="宋体" w:eastAsia="宋体" w:hint="default"/>
                <w:sz w:val="18"/>
                <w:szCs w:val="18"/>
              </w:rPr>
              <w:t>同业竞争或潜在同业竞争关系的其他企</w:t>
            </w:r>
          </w:p>
          <w:p>
            <w:pPr>
              <w:pStyle w:val="TableParagraph"/>
              <w:spacing w:line="316" w:lineRule="auto" w:before="76"/>
              <w:ind w:left="20" w:right="18"/>
              <w:jc w:val="both"/>
              <w:rPr>
                <w:rFonts w:ascii="宋体" w:hAnsi="宋体" w:cs="宋体" w:eastAsia="宋体" w:hint="default"/>
                <w:sz w:val="18"/>
                <w:szCs w:val="18"/>
              </w:rPr>
            </w:pPr>
            <w:r>
              <w:rPr>
                <w:rFonts w:ascii="宋体" w:hAnsi="宋体" w:cs="宋体" w:eastAsia="宋体" w:hint="default"/>
                <w:spacing w:val="-5"/>
                <w:sz w:val="18"/>
                <w:szCs w:val="18"/>
              </w:rPr>
              <w:t>业。（</w:t>
            </w:r>
            <w:r>
              <w:rPr>
                <w:rFonts w:ascii="宋体" w:hAnsi="宋体" w:cs="宋体" w:eastAsia="宋体" w:hint="default"/>
                <w:spacing w:val="-5"/>
                <w:sz w:val="18"/>
                <w:szCs w:val="18"/>
              </w:rPr>
              <w:t>2</w:t>
            </w:r>
            <w:r>
              <w:rPr>
                <w:rFonts w:ascii="宋体" w:hAnsi="宋体" w:cs="宋体" w:eastAsia="宋体" w:hint="default"/>
                <w:spacing w:val="-5"/>
                <w:sz w:val="18"/>
                <w:szCs w:val="18"/>
              </w:rPr>
              <w:t>）在上述期间，如本人或本人近</w:t>
            </w:r>
            <w:r>
              <w:rPr>
                <w:rFonts w:ascii="宋体" w:hAnsi="宋体" w:cs="宋体" w:eastAsia="宋体" w:hint="default"/>
                <w:sz w:val="18"/>
                <w:szCs w:val="18"/>
              </w:rPr>
              <w:t> 亲属及本人或本人近亲属控制的企业的 现有业务或该等企业为进一步拓展业务 范围，与光一科技及其下属公司经营的 业务产生竞争，则本人或本人近亲属及 本人或本人近亲属控制的企业将采取停</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6"/>
                <w:sz w:val="18"/>
                <w:szCs w:val="18"/>
              </w:rPr>
              <w:t>崇喜、李强、徐</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0" w:right="0"/>
              <w:jc w:val="left"/>
              <w:rPr>
                <w:rFonts w:ascii="宋体" w:hAnsi="宋体" w:cs="宋体" w:eastAsia="宋体" w:hint="default"/>
                <w:sz w:val="18"/>
                <w:szCs w:val="18"/>
              </w:rPr>
            </w:pPr>
            <w:r>
              <w:rPr>
                <w:rFonts w:ascii="宋体" w:hAnsi="宋体" w:cs="宋体" w:eastAsia="宋体" w:hint="default"/>
                <w:sz w:val="18"/>
                <w:szCs w:val="18"/>
              </w:rPr>
              <w:t>止经营产生竞争的业务的方式，或者采</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6"/>
                <w:sz w:val="18"/>
                <w:szCs w:val="18"/>
              </w:rPr>
              <w:t>光涛、文涛、罗</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0" w:right="0"/>
              <w:jc w:val="left"/>
              <w:rPr>
                <w:rFonts w:ascii="宋体" w:hAnsi="宋体" w:cs="宋体" w:eastAsia="宋体" w:hint="default"/>
                <w:sz w:val="18"/>
                <w:szCs w:val="18"/>
              </w:rPr>
            </w:pPr>
            <w:r>
              <w:rPr>
                <w:rFonts w:ascii="宋体" w:hAnsi="宋体" w:cs="宋体" w:eastAsia="宋体" w:hint="default"/>
                <w:sz w:val="18"/>
                <w:szCs w:val="18"/>
              </w:rPr>
              <w:t>取将产生竞争的业务纳入光一科技的方</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pacing w:val="-6"/>
                <w:sz w:val="18"/>
                <w:szCs w:val="18"/>
              </w:rPr>
              <w:t>丹、彭娥昌、张</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0" w:right="0"/>
              <w:jc w:val="left"/>
              <w:rPr>
                <w:rFonts w:ascii="宋体" w:hAnsi="宋体" w:cs="宋体" w:eastAsia="宋体" w:hint="default"/>
                <w:sz w:val="18"/>
                <w:szCs w:val="18"/>
              </w:rPr>
            </w:pPr>
            <w:r>
              <w:rPr>
                <w:rFonts w:ascii="宋体" w:hAnsi="宋体" w:cs="宋体" w:eastAsia="宋体" w:hint="default"/>
                <w:sz w:val="18"/>
                <w:szCs w:val="18"/>
              </w:rPr>
              <w:t>式，或者采取将产生竞争的业务转让给</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556"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20" w:right="0"/>
              <w:jc w:val="left"/>
              <w:rPr>
                <w:rFonts w:ascii="宋体" w:hAnsi="宋体" w:cs="宋体" w:eastAsia="宋体" w:hint="default"/>
                <w:sz w:val="18"/>
                <w:szCs w:val="18"/>
              </w:rPr>
            </w:pPr>
            <w:r>
              <w:rPr>
                <w:rFonts w:ascii="宋体" w:hAnsi="宋体" w:cs="宋体" w:eastAsia="宋体" w:hint="default"/>
                <w:sz w:val="18"/>
                <w:szCs w:val="18"/>
              </w:rPr>
              <w:t>红、陈世勇</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178" w:lineRule="exact"/>
              <w:ind w:left="20" w:right="0"/>
              <w:jc w:val="left"/>
              <w:rPr>
                <w:rFonts w:ascii="宋体" w:hAnsi="宋体" w:cs="宋体" w:eastAsia="宋体" w:hint="default"/>
                <w:sz w:val="18"/>
                <w:szCs w:val="18"/>
              </w:rPr>
            </w:pPr>
            <w:r>
              <w:rPr>
                <w:rFonts w:ascii="宋体" w:hAnsi="宋体" w:cs="宋体" w:eastAsia="宋体" w:hint="default"/>
                <w:sz w:val="18"/>
                <w:szCs w:val="18"/>
              </w:rPr>
              <w:t>无关联关系第三方等的合法方式，使本</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人或本人近亲属及本人或本人近亲属控</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制的企业不再从事与光一科技主营业务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相同或类似</w:t>
            </w:r>
            <w:r>
              <w:rPr>
                <w:rFonts w:ascii="宋体" w:hAnsi="宋体" w:cs="宋体" w:eastAsia="宋体" w:hint="default"/>
                <w:spacing w:val="1"/>
                <w:sz w:val="18"/>
                <w:szCs w:val="18"/>
              </w:rPr>
              <w:t>的</w:t>
            </w:r>
            <w:r>
              <w:rPr>
                <w:rFonts w:ascii="宋体" w:hAnsi="宋体" w:cs="宋体" w:eastAsia="宋体" w:hint="default"/>
                <w:sz w:val="18"/>
                <w:szCs w:val="18"/>
              </w:rPr>
              <w:t>业务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1"/>
                <w:sz w:val="18"/>
                <w:szCs w:val="18"/>
              </w:rPr>
              <w:t>本</w:t>
            </w:r>
            <w:r>
              <w:rPr>
                <w:rFonts w:ascii="宋体" w:hAnsi="宋体" w:cs="宋体" w:eastAsia="宋体" w:hint="default"/>
                <w:sz w:val="18"/>
                <w:szCs w:val="18"/>
              </w:rPr>
              <w:t>函自签署出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具之日起立即生效，即对本人具有法律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31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约束力。自本函生效至本人作为光一科</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1pt;margin-top:73.499985pt;width:55.3pt;height:672.85pt;mso-position-horizontal-relative:page;mso-position-vertical-relative:page;z-index:-1094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7"/>
        <w:rPr>
          <w:rFonts w:ascii="Times New Roman" w:hAnsi="Times New Roman" w:cs="Times New Roman" w:eastAsia="Times New Roman" w:hint="default"/>
          <w:sz w:val="14"/>
          <w:szCs w:val="14"/>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7"/>
      </w:tblGrid>
      <w:tr>
        <w:trPr>
          <w:trHeight w:val="13479"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3118"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0" w:right="18"/>
              <w:jc w:val="left"/>
              <w:rPr>
                <w:rFonts w:ascii="宋体" w:hAnsi="宋体" w:cs="宋体" w:eastAsia="宋体" w:hint="default"/>
                <w:sz w:val="18"/>
                <w:szCs w:val="18"/>
              </w:rPr>
            </w:pPr>
            <w:r>
              <w:rPr>
                <w:rFonts w:ascii="宋体" w:hAnsi="宋体" w:cs="宋体" w:eastAsia="宋体" w:hint="default"/>
                <w:sz w:val="18"/>
                <w:szCs w:val="18"/>
              </w:rPr>
              <w:t>技股东的任何时候，本人将严格遵守并 履行本函所作的承诺及保证义务；对于 违反本函承诺及保证义务的，本人承诺 采取一切必要且有效的措施及时纠正消 除由此造成光一科技的不利影响，并对 造成光一科技直接和间接损失承担赔偿 </w:t>
            </w:r>
            <w:r>
              <w:rPr>
                <w:rFonts w:ascii="宋体" w:hAnsi="宋体" w:cs="宋体" w:eastAsia="宋体" w:hint="default"/>
                <w:spacing w:val="-5"/>
                <w:sz w:val="18"/>
                <w:szCs w:val="18"/>
              </w:rPr>
              <w:t>责任。</w:t>
            </w:r>
            <w:r>
              <w:rPr>
                <w:rFonts w:ascii="宋体" w:hAnsi="宋体" w:cs="宋体" w:eastAsia="宋体" w:hint="default"/>
                <w:spacing w:val="-5"/>
                <w:sz w:val="18"/>
                <w:szCs w:val="18"/>
              </w:rPr>
              <w:t>2</w:t>
            </w:r>
            <w:r>
              <w:rPr>
                <w:rFonts w:ascii="宋体" w:hAnsi="宋体" w:cs="宋体" w:eastAsia="宋体" w:hint="default"/>
                <w:spacing w:val="-5"/>
                <w:sz w:val="18"/>
                <w:szCs w:val="18"/>
              </w:rPr>
              <w:t>、关于减少和规范关联交易的承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诺：（</w:t>
            </w:r>
            <w:r>
              <w:rPr>
                <w:rFonts w:ascii="宋体" w:hAnsi="宋体" w:cs="宋体" w:eastAsia="宋体" w:hint="default"/>
                <w:spacing w:val="-5"/>
                <w:sz w:val="18"/>
                <w:szCs w:val="18"/>
              </w:rPr>
              <w:t>1</w:t>
            </w:r>
            <w:r>
              <w:rPr>
                <w:rFonts w:ascii="宋体" w:hAnsi="宋体" w:cs="宋体" w:eastAsia="宋体" w:hint="default"/>
                <w:spacing w:val="-5"/>
                <w:sz w:val="18"/>
                <w:szCs w:val="18"/>
              </w:rPr>
              <w:t>）本次交易完成后，本人或本人</w:t>
            </w:r>
            <w:r>
              <w:rPr>
                <w:rFonts w:ascii="宋体" w:hAnsi="宋体" w:cs="宋体" w:eastAsia="宋体" w:hint="default"/>
                <w:sz w:val="18"/>
                <w:szCs w:val="18"/>
              </w:rPr>
              <w:t> 近亲属及本人或本人近亲属直接或间接 控制或影响的企业与重组后的光一科技 及其控股企业之间将减少并尽可能避免 关联交易。对于无法避免或者有合理原 因而发生的关联交易，本人或本人近亲 属承诺将按照公平、公允、等价有偿等 原则依法签订协议，履行合法程序，并 将按照有关法律、法规、其他规范性文 件以及光一科技公司章程等的规定，依 法履行相关内部决策批准程序并及时履 行信息披露义务，保证不以与市场价格 相比显失公允的条件与光一科技进行交 易，保证不利用关联交易非法转移光一 科技的资金、利润，亦不利用该类交易 从事任何损害光一科技及其他股东合法 </w:t>
            </w:r>
            <w:r>
              <w:rPr>
                <w:rFonts w:ascii="宋体" w:hAnsi="宋体" w:cs="宋体" w:eastAsia="宋体" w:hint="default"/>
                <w:spacing w:val="-5"/>
                <w:sz w:val="18"/>
                <w:szCs w:val="18"/>
              </w:rPr>
              <w:t>权益的行为。（</w:t>
            </w:r>
            <w:r>
              <w:rPr>
                <w:rFonts w:ascii="宋体" w:hAnsi="宋体" w:cs="宋体" w:eastAsia="宋体" w:hint="default"/>
                <w:spacing w:val="-5"/>
                <w:sz w:val="18"/>
                <w:szCs w:val="18"/>
              </w:rPr>
              <w:t>2</w:t>
            </w:r>
            <w:r>
              <w:rPr>
                <w:rFonts w:ascii="宋体" w:hAnsi="宋体" w:cs="宋体" w:eastAsia="宋体" w:hint="default"/>
                <w:spacing w:val="-5"/>
                <w:sz w:val="18"/>
                <w:szCs w:val="18"/>
              </w:rPr>
              <w:t>）本人或本人近亲属及</w:t>
            </w:r>
            <w:r>
              <w:rPr>
                <w:rFonts w:ascii="宋体" w:hAnsi="宋体" w:cs="宋体" w:eastAsia="宋体" w:hint="default"/>
                <w:sz w:val="18"/>
                <w:szCs w:val="18"/>
              </w:rPr>
              <w:t> 本人或本人近亲属直接或间接控制或影 响的企业将严格避免向光一科技及其控 股和参股公司拆借、占用光一科技及其 控股和参股公司资金或采取由光一科技 及其控股和参股公司代垫款、代偿债务 </w:t>
            </w:r>
            <w:r>
              <w:rPr>
                <w:rFonts w:ascii="宋体" w:hAnsi="宋体" w:cs="宋体" w:eastAsia="宋体" w:hint="default"/>
                <w:spacing w:val="-5"/>
                <w:sz w:val="18"/>
                <w:szCs w:val="18"/>
              </w:rPr>
              <w:t>等方式侵占光一科技资金。（</w:t>
            </w:r>
            <w:r>
              <w:rPr>
                <w:rFonts w:ascii="宋体" w:hAnsi="宋体" w:cs="宋体" w:eastAsia="宋体" w:hint="default"/>
                <w:spacing w:val="-5"/>
                <w:sz w:val="18"/>
                <w:szCs w:val="18"/>
              </w:rPr>
              <w:t>3</w:t>
            </w:r>
            <w:r>
              <w:rPr>
                <w:rFonts w:ascii="宋体" w:hAnsi="宋体" w:cs="宋体" w:eastAsia="宋体" w:hint="default"/>
                <w:spacing w:val="-5"/>
                <w:sz w:val="18"/>
                <w:szCs w:val="18"/>
              </w:rPr>
              <w:t>）本次交</w:t>
            </w:r>
            <w:r>
              <w:rPr>
                <w:rFonts w:ascii="宋体" w:hAnsi="宋体" w:cs="宋体" w:eastAsia="宋体" w:hint="default"/>
                <w:sz w:val="18"/>
                <w:szCs w:val="18"/>
              </w:rPr>
              <w:t> 易完成后本人将继续严格按照有关法律</w:t>
            </w:r>
            <w:r>
              <w:rPr>
                <w:rFonts w:ascii="宋体" w:hAnsi="宋体" w:cs="宋体" w:eastAsia="宋体" w:hint="default"/>
                <w:sz w:val="18"/>
                <w:szCs w:val="18"/>
              </w:rPr>
              <w:t> 法规、规范性文件以及光一科技公司章 程的有关规定行使股东权利；在光一科 技股东大会对有关涉及本人的关联交易 </w:t>
            </w:r>
            <w:r>
              <w:rPr>
                <w:rFonts w:ascii="宋体" w:hAnsi="宋体" w:cs="宋体" w:eastAsia="宋体" w:hint="default"/>
                <w:spacing w:val="-10"/>
                <w:sz w:val="18"/>
                <w:szCs w:val="18"/>
              </w:rPr>
              <w:t>进行表决时，履行回避表决的义务。（</w:t>
            </w:r>
            <w:r>
              <w:rPr>
                <w:rFonts w:ascii="宋体" w:hAnsi="宋体" w:cs="宋体" w:eastAsia="宋体" w:hint="default"/>
                <w:spacing w:val="-10"/>
                <w:sz w:val="18"/>
                <w:szCs w:val="18"/>
              </w:rPr>
              <w:t>4</w:t>
            </w:r>
            <w:r>
              <w:rPr>
                <w:rFonts w:ascii="宋体" w:hAnsi="宋体" w:cs="宋体" w:eastAsia="宋体" w:hint="default"/>
                <w:sz w:val="18"/>
                <w:szCs w:val="18"/>
              </w:rPr>
              <w:t> </w:t>
            </w:r>
            <w:r>
              <w:rPr>
                <w:rFonts w:ascii="宋体" w:hAnsi="宋体" w:cs="宋体" w:eastAsia="宋体" w:hint="default"/>
                <w:sz w:val="18"/>
                <w:szCs w:val="18"/>
              </w:rPr>
              <w:t>本人保证不通过关联交易取得任何不正 当的利益或使光一科技及其控股和参股 </w:t>
            </w:r>
            <w:r>
              <w:rPr>
                <w:rFonts w:ascii="宋体" w:hAnsi="宋体" w:cs="宋体" w:eastAsia="宋体" w:hint="default"/>
                <w:spacing w:val="-5"/>
                <w:sz w:val="18"/>
                <w:szCs w:val="18"/>
              </w:rPr>
              <w:t>公司承担任何不正当的义务。（</w:t>
            </w:r>
            <w:r>
              <w:rPr>
                <w:rFonts w:ascii="宋体" w:hAnsi="宋体" w:cs="宋体" w:eastAsia="宋体" w:hint="default"/>
                <w:spacing w:val="-5"/>
                <w:sz w:val="18"/>
                <w:szCs w:val="18"/>
              </w:rPr>
              <w:t>5</w:t>
            </w:r>
            <w:r>
              <w:rPr>
                <w:rFonts w:ascii="宋体" w:hAnsi="宋体" w:cs="宋体" w:eastAsia="宋体" w:hint="default"/>
                <w:spacing w:val="-5"/>
                <w:sz w:val="18"/>
                <w:szCs w:val="18"/>
              </w:rPr>
              <w:t>）如果</w:t>
            </w:r>
            <w:r>
              <w:rPr>
                <w:rFonts w:ascii="宋体" w:hAnsi="宋体" w:cs="宋体" w:eastAsia="宋体" w:hint="default"/>
                <w:spacing w:val="-88"/>
                <w:sz w:val="18"/>
                <w:szCs w:val="18"/>
              </w:rPr>
              <w:t> </w:t>
            </w:r>
            <w:r>
              <w:rPr>
                <w:rFonts w:ascii="宋体" w:hAnsi="宋体" w:cs="宋体" w:eastAsia="宋体" w:hint="default"/>
                <w:sz w:val="18"/>
                <w:szCs w:val="18"/>
              </w:rPr>
              <w:t>因违反上述承诺导致光一科技或其控股</w:t>
            </w:r>
            <w:r>
              <w:rPr>
                <w:rFonts w:ascii="宋体" w:hAnsi="宋体" w:cs="宋体" w:eastAsia="宋体" w:hint="default"/>
                <w:sz w:val="18"/>
                <w:szCs w:val="18"/>
              </w:rPr>
              <w:t> 和参股公司损失或利用关联交易侵占光 一科技或其控股和参股公司利益的，本 人依法承担光一科技或其控股和参股公 司的损失。</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1345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49pt;height:672.85pt;mso-position-horizontal-relative:char;mso-position-vertical-relative:line" coordorigin="0,0" coordsize="980,13457">
                  <v:group style="position:absolute;left:0;top:0;width:980;height:13457" coordorigin="0,0" coordsize="980,13457">
                    <v:shape style="position:absolute;left:0;top:0;width:980;height:13457" coordorigin="0,0" coordsize="980,13457" path="m0,13457l980,13457,980,0,0,0,0,13457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850" w:type="dxa"/>
            <w:tcBorders>
              <w:top w:val="single" w:sz="12" w:space="0" w:color="000000"/>
              <w:left w:val="single" w:sz="6" w:space="0" w:color="000000"/>
              <w:bottom w:val="single" w:sz="6" w:space="0" w:color="000000"/>
              <w:right w:val="single" w:sz="6" w:space="0" w:color="000000"/>
            </w:tcBorders>
          </w:tcPr>
          <w:p>
            <w:pPr/>
          </w:p>
        </w:tc>
        <w:tc>
          <w:tcPr>
            <w:tcW w:w="927" w:type="dxa"/>
            <w:tcBorders>
              <w:top w:val="single" w:sz="12" w:space="0" w:color="000000"/>
              <w:left w:val="single" w:sz="6" w:space="0" w:color="000000"/>
              <w:bottom w:val="single" w:sz="6" w:space="0" w:color="000000"/>
              <w:right w:val="single" w:sz="12" w:space="0" w:color="000000"/>
            </w:tcBorders>
          </w:tcPr>
          <w:p>
            <w:pPr/>
          </w:p>
        </w:tc>
      </w:tr>
      <w:tr>
        <w:trPr>
          <w:trHeight w:val="415"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湖北乾瀚投资</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9"/>
                <w:sz w:val="18"/>
                <w:szCs w:val="18"/>
              </w:rPr>
              <w:t>、</w:t>
            </w:r>
            <w:r>
              <w:rPr>
                <w:rFonts w:ascii="宋体" w:hAnsi="宋体" w:cs="宋体" w:eastAsia="宋体" w:hint="default"/>
                <w:sz w:val="18"/>
                <w:szCs w:val="18"/>
              </w:rPr>
              <w:t>关于避免同业竞争的承诺</w:t>
            </w:r>
            <w:r>
              <w:rPr>
                <w:rFonts w:ascii="宋体" w:hAnsi="宋体" w:cs="宋体" w:eastAsia="宋体" w:hint="default"/>
                <w:spacing w:val="-119"/>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29"/>
                <w:sz w:val="18"/>
                <w:szCs w:val="18"/>
              </w:rPr>
              <w:t>）</w:t>
            </w:r>
            <w:r>
              <w:rPr>
                <w:rFonts w:ascii="宋体" w:hAnsi="宋体" w:cs="宋体" w:eastAsia="宋体" w:hint="default"/>
                <w:sz w:val="18"/>
                <w:szCs w:val="18"/>
              </w:rPr>
              <w:t>本次</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397.299988pt;margin-top:72.989983pt;width:47.9pt;height:18.6pt;mso-position-horizontal-relative:page;mso-position-vertical-relative:page;z-index:-1094872" coordorigin="7946,1460" coordsize="958,372">
            <v:group style="position:absolute;left:7956;top:1470;width:2;height:352" coordorigin="7956,1470" coordsize="2,352">
              <v:shape style="position:absolute;left:7956;top:1470;width:2;height:352" coordorigin="7956,1470" coordsize="0,352" path="m7956,1470l7956,1822e" filled="false" stroked="true" strokeweight="1.02pt" strokecolor="#ffffff">
                <v:path arrowok="t"/>
              </v:shape>
            </v:group>
            <v:group style="position:absolute;left:7966;top:1470;width:938;height:352" coordorigin="7966,1470" coordsize="938,352">
              <v:shape style="position:absolute;left:7966;top:1470;width:938;height:352" coordorigin="7966,1470" coordsize="938,352" path="m7966,1822l8904,1822,8904,1470,7966,1470,7966,1822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328"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有限公司、公安</w:t>
            </w:r>
          </w:p>
        </w:tc>
        <w:tc>
          <w:tcPr>
            <w:tcW w:w="85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311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35"/>
              <w:jc w:val="left"/>
              <w:rPr>
                <w:rFonts w:ascii="宋体" w:hAnsi="宋体" w:cs="宋体" w:eastAsia="宋体" w:hint="default"/>
                <w:sz w:val="18"/>
                <w:szCs w:val="18"/>
              </w:rPr>
            </w:pPr>
            <w:r>
              <w:rPr>
                <w:rFonts w:ascii="宋体" w:hAnsi="宋体" w:cs="宋体" w:eastAsia="宋体" w:hint="default"/>
                <w:sz w:val="18"/>
                <w:szCs w:val="18"/>
              </w:rPr>
              <w:t>交易完成后</w:t>
            </w:r>
            <w:r>
              <w:rPr>
                <w:rFonts w:ascii="宋体" w:hAnsi="宋体" w:cs="宋体" w:eastAsia="宋体" w:hint="default"/>
                <w:spacing w:val="-88"/>
                <w:sz w:val="18"/>
                <w:szCs w:val="18"/>
              </w:rPr>
              <w:t>，</w:t>
            </w:r>
            <w:r>
              <w:rPr>
                <w:rFonts w:ascii="宋体" w:hAnsi="宋体" w:cs="宋体" w:eastAsia="宋体" w:hint="default"/>
                <w:sz w:val="18"/>
                <w:szCs w:val="18"/>
              </w:rPr>
              <w:t>在作为光一科技股东期间</w:t>
            </w:r>
            <w:r>
              <w:rPr>
                <w:rFonts w:ascii="宋体" w:hAnsi="宋体" w:cs="宋体" w:eastAsia="宋体" w:hint="default"/>
                <w:spacing w:val="-35"/>
                <w:sz w:val="18"/>
                <w:szCs w:val="18"/>
              </w:rPr>
              <w:t>，</w:t>
            </w:r>
            <w:r>
              <w:rPr>
                <w:rFonts w:ascii="宋体" w:hAnsi="宋体" w:cs="宋体" w:eastAsia="宋体" w:hint="default"/>
                <w:sz w:val="18"/>
                <w:szCs w:val="18"/>
              </w:rPr>
            </w:r>
          </w:p>
        </w:tc>
        <w:tc>
          <w:tcPr>
            <w:tcW w:w="99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县鑫旺投资有</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联交易、</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本人或本人近亲属及本人或本人近亲属</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限公司、深圳创</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资金占用</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控制的其他企业不会直接或间接从事任</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新投资集团有</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何与光一科技及其下属公司主要经营业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限公司、北京红</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0"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务构成同业竞争或潜在同业竞争关系的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土鑫洲创业投</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生产与经营业务，亦不会投资任何与光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资中心（有限合</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一科技及其下属公司主要经营业务构成</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、南昌红土</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同业竞争或潜在同业竞争关系的其他企</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创新资本创业</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）在上述期间，如本人或本人近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2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亲属及本人或本人近亲属控制的企业的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湖北红土创业</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现有业务或该等企业为进一步拓展业务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范围，与光一科技及其下属公司经营的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业务产生竞争，则本人或本人近亲属及</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本人或本人近亲属控制的企业将采取停</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止经营产生竞争的业务的方式，或者采</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取将产生竞争的业务纳入光一科技的方</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式，或者采取将产生竞争的业务转让给</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无关联关系第三方等的合法方式，使本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人或本人近亲属及本人或本人近亲属控</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制的企业不再从事与光一科技主营业务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相同或类似的业务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）本函自签署出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具之日起立即生效，即对本人具有法律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约束力。自本函生效至本人作为光一科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技股东的任何时候，本人将严格遵守并</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履行本函所作的承诺及保证义务；对于</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违反本函承诺及保证义务的，本人承诺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采取一切必要且有效的措施及时纠正消</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除由此造成光一科技的不利影响，并对</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造成光一科技直接和间接损失承担赔偿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5"/>
                <w:sz w:val="18"/>
                <w:szCs w:val="18"/>
              </w:rPr>
              <w:t>责任。</w:t>
            </w:r>
            <w:r>
              <w:rPr>
                <w:rFonts w:ascii="宋体" w:hAnsi="宋体" w:cs="宋体" w:eastAsia="宋体" w:hint="default"/>
                <w:spacing w:val="-5"/>
                <w:sz w:val="18"/>
                <w:szCs w:val="18"/>
              </w:rPr>
              <w:t>2</w:t>
            </w:r>
            <w:r>
              <w:rPr>
                <w:rFonts w:ascii="宋体" w:hAnsi="宋体" w:cs="宋体" w:eastAsia="宋体" w:hint="default"/>
                <w:spacing w:val="-5"/>
                <w:sz w:val="18"/>
                <w:szCs w:val="18"/>
              </w:rPr>
              <w:t>、关于减少和规范关联交易的承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）本次交易完成后，本人或本人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近亲属及本人或本人近亲属直接或间接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控制或影响的企业与重组后的光一科技</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及其控股企业之间将减少并尽可能避免</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关联交易。对于无法避免或者有合理原</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因而发生的关联交易，本人或本人近亲</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属承诺将按照公平、公允、等价有偿等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原则依法签订协议，履行合法程序，并</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将按照有关法律、法规、其他规范性文</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件以及光一科技公司章程等的规定，依</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法履行相关内部决策批准程序并及时履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行信息披露义务，保证不以与市场价格</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相比显失公允的条件与光一科技进行交</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27"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31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易，保证不利用关联交易非法转移光一</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vMerge/>
            <w:tcBorders>
              <w:left w:val="single" w:sz="6" w:space="0" w:color="000000"/>
              <w:bottom w:val="single" w:sz="12" w:space="0" w:color="000000"/>
              <w:right w:val="single" w:sz="6" w:space="0" w:color="000000"/>
            </w:tcBorders>
          </w:tcPr>
          <w:p>
            <w:pPr/>
          </w:p>
        </w:tc>
        <w:tc>
          <w:tcPr>
            <w:tcW w:w="920" w:type="dxa"/>
            <w:vMerge/>
            <w:tcBorders>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1pt;margin-top:73.499985pt;width:55.3pt;height:345.2pt;mso-position-horizontal-relative:page;mso-position-vertical-relative:page;z-index:-1094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327"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851" w:type="dxa"/>
            <w:vMerge w:val="restart"/>
            <w:tcBorders>
              <w:top w:val="single" w:sz="12" w:space="0" w:color="000000"/>
              <w:left w:val="single" w:sz="6" w:space="0" w:color="000000"/>
              <w:right w:val="single" w:sz="6" w:space="0" w:color="000000"/>
            </w:tcBorders>
          </w:tcPr>
          <w:p>
            <w:pPr/>
          </w:p>
        </w:tc>
        <w:tc>
          <w:tcPr>
            <w:tcW w:w="311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科技的资金、利润，亦不利用该类交易</w:t>
            </w:r>
          </w:p>
        </w:tc>
        <w:tc>
          <w:tcPr>
            <w:tcW w:w="994" w:type="dxa"/>
            <w:vMerge w:val="restart"/>
            <w:tcBorders>
              <w:top w:val="single" w:sz="12" w:space="0" w:color="000000"/>
              <w:left w:val="single" w:sz="6" w:space="0" w:color="000000"/>
              <w:right w:val="single" w:sz="6" w:space="0" w:color="000000"/>
            </w:tcBorders>
          </w:tcPr>
          <w:p>
            <w:pPr>
              <w:pStyle w:val="TableParagraph"/>
              <w:spacing w:line="69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49pt;height:345.2pt;mso-position-horizontal-relative:char;mso-position-vertical-relative:line" coordorigin="0,0" coordsize="980,6904">
                  <v:group style="position:absolute;left:0;top:0;width:980;height:6904" coordorigin="0,0" coordsize="980,6904">
                    <v:shape style="position:absolute;left:0;top:0;width:980;height:6904" coordorigin="0,0" coordsize="980,6904" path="m0,6904l980,6904,980,0,0,0,0,6904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从事任何损害光一科技及其他股东合法</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权益的行为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）本人或本人近亲属及</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本人或本人近亲属直接或间接控制或影</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响的企业将严格避免向光一科技及其控</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股和参股公司拆借、占用光一科技及其</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控股和参股公司资金或采取由光一科技</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及其控股和参股公司代垫款、代偿债务</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等方式侵占光一科技资金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）本次交</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易完成后本人将继续严格按照有关法律</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法规、规范性文件以及光一科技公司章</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程的有关规定行使股东权利；在光一科</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技股东大会对有关涉及本人的关联交易</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进行表决时</w:t>
            </w:r>
            <w:r>
              <w:rPr>
                <w:rFonts w:ascii="宋体" w:hAnsi="宋体" w:cs="宋体" w:eastAsia="宋体" w:hint="default"/>
                <w:spacing w:val="-45"/>
                <w:sz w:val="18"/>
                <w:szCs w:val="18"/>
              </w:rPr>
              <w:t>，</w:t>
            </w:r>
            <w:r>
              <w:rPr>
                <w:rFonts w:ascii="宋体" w:hAnsi="宋体" w:cs="宋体" w:eastAsia="宋体" w:hint="default"/>
                <w:sz w:val="18"/>
                <w:szCs w:val="18"/>
              </w:rPr>
              <w:t>履行回避表决的义务</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宋体" w:hAnsi="宋体" w:cs="宋体" w:eastAsia="宋体" w:hint="default"/>
                <w:sz w:val="18"/>
                <w:szCs w:val="18"/>
              </w:rPr>
              <w:t>4</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本人保证不通过关联交易取得任何不正</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当的利益或使光一科技及其控股和参股</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公司承担任何不正当的义务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）如果</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因违反上述承诺导致光一科技或其控股</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和参股公司损失或利用关联交易侵占光</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一科技或其控股和参股公司利益的，本</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851" w:type="dxa"/>
            <w:vMerge/>
            <w:tcBorders>
              <w:left w:val="single" w:sz="6" w:space="0" w:color="000000"/>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人依法承担光一科技或其控股和参股公</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5"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31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司的损失。</w:t>
            </w: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31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公司控股股东江苏光一投资管理有限责</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任公司、实际控制人龙昌明先生就公司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发行股份及支付现金购买湖北索瑞电气</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2"/>
                <w:sz w:val="18"/>
                <w:szCs w:val="18"/>
              </w:rPr>
              <w:t> </w:t>
            </w:r>
            <w:r>
              <w:rPr>
                <w:rFonts w:ascii="宋体" w:hAnsi="宋体" w:cs="宋体" w:eastAsia="宋体" w:hint="default"/>
                <w:spacing w:val="-3"/>
                <w:sz w:val="18"/>
                <w:szCs w:val="18"/>
              </w:rPr>
              <w:t>84.82%</w:t>
            </w:r>
            <w:r>
              <w:rPr>
                <w:rFonts w:ascii="宋体" w:hAnsi="宋体" w:cs="宋体" w:eastAsia="宋体" w:hint="default"/>
                <w:spacing w:val="-3"/>
                <w:sz w:val="18"/>
                <w:szCs w:val="18"/>
              </w:rPr>
              <w:t>股权事项承诺：在本次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5"/>
                <w:sz w:val="18"/>
                <w:szCs w:val="18"/>
              </w:rPr>
              <w:t>交易完成后，本公司</w:t>
            </w:r>
            <w:r>
              <w:rPr>
                <w:rFonts w:ascii="宋体" w:hAnsi="宋体" w:cs="宋体" w:eastAsia="宋体" w:hint="default"/>
                <w:spacing w:val="-5"/>
                <w:sz w:val="18"/>
                <w:szCs w:val="18"/>
              </w:rPr>
              <w:t>/</w:t>
            </w:r>
            <w:r>
              <w:rPr>
                <w:rFonts w:ascii="宋体" w:hAnsi="宋体" w:cs="宋体" w:eastAsia="宋体" w:hint="default"/>
                <w:spacing w:val="-5"/>
                <w:sz w:val="18"/>
                <w:szCs w:val="18"/>
              </w:rPr>
              <w:t>本人将按照《公司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0" w:right="158"/>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公司、龙昌明</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21"/>
              <w:jc w:val="both"/>
              <w:rPr>
                <w:rFonts w:ascii="宋体" w:hAnsi="宋体" w:cs="宋体" w:eastAsia="宋体" w:hint="default"/>
                <w:sz w:val="18"/>
                <w:szCs w:val="18"/>
              </w:rPr>
            </w:pPr>
            <w:r>
              <w:rPr>
                <w:rFonts w:ascii="宋体" w:hAnsi="宋体" w:cs="宋体" w:eastAsia="宋体" w:hint="default"/>
                <w:spacing w:val="-10"/>
                <w:sz w:val="18"/>
                <w:szCs w:val="18"/>
              </w:rPr>
              <w:t>法》、《证券法》和其他有关法律法规对</w:t>
            </w:r>
            <w:r>
              <w:rPr>
                <w:rFonts w:ascii="宋体" w:hAnsi="宋体" w:cs="宋体" w:eastAsia="宋体" w:hint="default"/>
                <w:sz w:val="18"/>
                <w:szCs w:val="18"/>
              </w:rPr>
              <w:t> 上市公司的要求，合法合规地行使股东 权利并履行相应的义务，采取切实有效 措施保证上市公司及其子公司在业务、</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资产、人员、机构和财务等方面的独立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和完整，同时确保上市公司在采购、生</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产、销售、知识产权等方面保持独立，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使上市公司具有完全和完整的独立经营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58" w:hRule="exact"/>
        </w:trPr>
        <w:tc>
          <w:tcPr>
            <w:tcW w:w="1845" w:type="dxa"/>
            <w:vMerge/>
            <w:tcBorders>
              <w:left w:val="single" w:sz="12"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31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能力。</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2247" w:hRule="exact"/>
        </w:trPr>
        <w:tc>
          <w:tcPr>
            <w:tcW w:w="18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13" w:right="18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6" w:type="dxa"/>
            <w:tcBorders>
              <w:top w:val="single" w:sz="6" w:space="0" w:color="000000"/>
              <w:left w:val="single" w:sz="6" w:space="0" w:color="000000"/>
              <w:bottom w:val="single" w:sz="12"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0" w:right="-23"/>
              <w:jc w:val="left"/>
              <w:rPr>
                <w:rFonts w:ascii="宋体" w:hAnsi="宋体" w:cs="宋体" w:eastAsia="宋体" w:hint="default"/>
                <w:sz w:val="18"/>
                <w:szCs w:val="18"/>
              </w:rPr>
            </w:pPr>
            <w:r>
              <w:rPr>
                <w:rFonts w:ascii="宋体" w:hAnsi="宋体" w:cs="宋体" w:eastAsia="宋体" w:hint="default"/>
                <w:sz w:val="18"/>
                <w:szCs w:val="18"/>
              </w:rPr>
              <w:t>江苏光一投资 管理有限责任 公司、龙昌明、 熊珂</w:t>
            </w:r>
          </w:p>
        </w:tc>
        <w:tc>
          <w:tcPr>
            <w:tcW w:w="851" w:type="dxa"/>
            <w:tcBorders>
              <w:top w:val="single" w:sz="6" w:space="0" w:color="000000"/>
              <w:left w:val="single" w:sz="9" w:space="0" w:color="FFFFFF"/>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9" w:lineRule="auto"/>
              <w:ind w:left="16"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20"/>
              <w:jc w:val="both"/>
              <w:rPr>
                <w:rFonts w:ascii="宋体" w:hAnsi="宋体" w:cs="宋体" w:eastAsia="宋体" w:hint="default"/>
                <w:sz w:val="18"/>
                <w:szCs w:val="18"/>
              </w:rPr>
            </w:pPr>
            <w:r>
              <w:rPr>
                <w:rFonts w:ascii="宋体" w:hAnsi="宋体" w:cs="宋体" w:eastAsia="宋体" w:hint="default"/>
                <w:sz w:val="18"/>
                <w:szCs w:val="18"/>
              </w:rPr>
              <w:t>公司控股股东光一投资、实际控制人龙 昌明及关联人熊珂分别出具《关于避免 </w:t>
            </w:r>
            <w:r>
              <w:rPr>
                <w:rFonts w:ascii="宋体" w:hAnsi="宋体" w:cs="宋体" w:eastAsia="宋体" w:hint="default"/>
                <w:spacing w:val="-10"/>
                <w:sz w:val="18"/>
                <w:szCs w:val="18"/>
              </w:rPr>
              <w:t>同业竞争的声明、承诺及保证函》，承诺</w:t>
            </w:r>
            <w:r>
              <w:rPr>
                <w:rFonts w:ascii="宋体" w:hAnsi="宋体" w:cs="宋体" w:eastAsia="宋体" w:hint="default"/>
                <w:sz w:val="18"/>
                <w:szCs w:val="18"/>
              </w:rPr>
              <w:t> 对于公司目前从事的业务以及未来从事 的业务，光一投资</w:t>
            </w:r>
            <w:r>
              <w:rPr>
                <w:rFonts w:ascii="宋体" w:hAnsi="宋体" w:cs="宋体" w:eastAsia="宋体" w:hint="default"/>
                <w:sz w:val="18"/>
                <w:szCs w:val="18"/>
              </w:rPr>
              <w:t>/</w:t>
            </w:r>
            <w:r>
              <w:rPr>
                <w:rFonts w:ascii="宋体" w:hAnsi="宋体" w:cs="宋体" w:eastAsia="宋体" w:hint="default"/>
                <w:sz w:val="18"/>
                <w:szCs w:val="18"/>
              </w:rPr>
              <w:t>龙昌明</w:t>
            </w:r>
            <w:r>
              <w:rPr>
                <w:rFonts w:ascii="宋体" w:hAnsi="宋体" w:cs="宋体" w:eastAsia="宋体" w:hint="default"/>
                <w:sz w:val="18"/>
                <w:szCs w:val="18"/>
              </w:rPr>
              <w:t>/</w:t>
            </w:r>
            <w:r>
              <w:rPr>
                <w:rFonts w:ascii="宋体" w:hAnsi="宋体" w:cs="宋体" w:eastAsia="宋体" w:hint="default"/>
                <w:sz w:val="18"/>
                <w:szCs w:val="18"/>
              </w:rPr>
              <w:t>熊珂自身不 会，也不会通过投资、合资、合作、联 营、委托经营、承包、租赁经营等任何</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83"/>
              <w:jc w:val="righ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397.299988pt;margin-top:140.659988pt;width:49pt;height:48.8pt;mso-position-horizontal-relative:page;mso-position-vertical-relative:page;z-index:-1094800" coordorigin="7946,2813" coordsize="980,976">
            <v:group style="position:absolute;left:7946;top:3165;width:980;height:624" coordorigin="7946,3165" coordsize="980,624">
              <v:shape style="position:absolute;left:7946;top:3165;width:980;height:624" coordorigin="7946,3165" coordsize="980,624" path="m7946,3789l8926,3789,8926,3165,7946,3165,7946,3789xe" filled="true" fillcolor="#ffffff" stroked="false">
                <v:path arrowok="t"/>
                <v:fill type="solid"/>
              </v:shape>
            </v:group>
            <v:group style="position:absolute;left:7966;top:2813;width:938;height:352" coordorigin="7966,2813" coordsize="938,352">
              <v:shape style="position:absolute;left:7966;top:2813;width:938;height:352" coordorigin="7966,2813" coordsize="938,352" path="m7966,3165l8904,3165,8904,2813,7966,2813,7966,3165xe" filled="true" fillcolor="#ffffff" stroked="false">
                <v:path arrowok="t"/>
                <v:fill type="solid"/>
              </v:shape>
            </v:group>
            <w10:wrap type="none"/>
          </v:group>
        </w:pict>
      </w:r>
      <w:r>
        <w:rPr/>
        <w:pict>
          <v:group style="position:absolute;margin-left:397.299988pt;margin-top:491.379974pt;width:49pt;height:70.2pt;mso-position-horizontal-relative:page;mso-position-vertical-relative:page;z-index:-1094776" coordorigin="7946,9828" coordsize="980,1404">
            <v:shape style="position:absolute;left:7946;top:9828;width:980;height:1404" coordorigin="7946,9828" coordsize="980,1404" path="m7946,11232l8926,11232,8926,9828,7946,9828,7946,11232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374" w:hRule="exact"/>
        </w:trPr>
        <w:tc>
          <w:tcPr>
            <w:tcW w:w="1845"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31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方式从事与公司构成竞争的业务。</w:t>
            </w:r>
          </w:p>
        </w:tc>
        <w:tc>
          <w:tcPr>
            <w:tcW w:w="994" w:type="dxa"/>
            <w:tcBorders>
              <w:top w:val="single" w:sz="12" w:space="0" w:color="000000"/>
              <w:left w:val="single" w:sz="6" w:space="0" w:color="000000"/>
              <w:bottom w:val="single" w:sz="6" w:space="0" w:color="000000"/>
              <w:right w:val="single" w:sz="6" w:space="0" w:color="000000"/>
            </w:tcBorders>
          </w:tcPr>
          <w:p>
            <w:pPr/>
          </w:p>
        </w:tc>
        <w:tc>
          <w:tcPr>
            <w:tcW w:w="850" w:type="dxa"/>
            <w:tcBorders>
              <w:top w:val="single" w:sz="12" w:space="0" w:color="000000"/>
              <w:left w:val="single" w:sz="6" w:space="0" w:color="000000"/>
              <w:bottom w:val="single" w:sz="6" w:space="0" w:color="000000"/>
              <w:right w:val="single" w:sz="6" w:space="0" w:color="000000"/>
            </w:tcBorders>
          </w:tcPr>
          <w:p>
            <w:pPr/>
          </w:p>
        </w:tc>
        <w:tc>
          <w:tcPr>
            <w:tcW w:w="920" w:type="dxa"/>
            <w:tcBorders>
              <w:top w:val="single" w:sz="12" w:space="0" w:color="000000"/>
              <w:left w:val="single" w:sz="6" w:space="0" w:color="000000"/>
              <w:bottom w:val="single" w:sz="6" w:space="0" w:color="000000"/>
              <w:right w:val="single" w:sz="12" w:space="0" w:color="000000"/>
            </w:tcBorders>
          </w:tcPr>
          <w:p>
            <w:pPr/>
          </w:p>
        </w:tc>
      </w:tr>
      <w:tr>
        <w:trPr>
          <w:trHeight w:val="1967"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0" w:right="-23"/>
              <w:jc w:val="left"/>
              <w:rPr>
                <w:rFonts w:ascii="宋体" w:hAnsi="宋体" w:cs="宋体" w:eastAsia="宋体" w:hint="default"/>
                <w:sz w:val="18"/>
                <w:szCs w:val="18"/>
              </w:rPr>
            </w:pPr>
            <w:r>
              <w:rPr>
                <w:rFonts w:ascii="宋体" w:hAnsi="宋体" w:cs="宋体" w:eastAsia="宋体" w:hint="default"/>
                <w:sz w:val="18"/>
                <w:szCs w:val="18"/>
              </w:rPr>
              <w:t>江苏光一投资 管理有限责任 公司、龙昌明、 熊珂</w:t>
            </w:r>
          </w:p>
        </w:tc>
        <w:tc>
          <w:tcPr>
            <w:tcW w:w="851" w:type="dxa"/>
            <w:tcBorders>
              <w:top w:val="single" w:sz="6" w:space="0" w:color="000000"/>
              <w:left w:val="single" w:sz="9" w:space="0" w:color="FFFFFF"/>
              <w:bottom w:val="single" w:sz="6" w:space="0" w:color="000000"/>
              <w:right w:val="single" w:sz="6"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118" w:type="dxa"/>
            <w:tcBorders>
              <w:top w:val="single" w:sz="6" w:space="0" w:color="000000"/>
              <w:left w:val="single" w:sz="6" w:space="0" w:color="000000"/>
              <w:bottom w:val="single" w:sz="6" w:space="0" w:color="000000"/>
              <w:right w:val="single" w:sz="14" w:space="0" w:color="FFFFFF"/>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0" w:right="10"/>
              <w:jc w:val="left"/>
              <w:rPr>
                <w:rFonts w:ascii="宋体" w:hAnsi="宋体" w:cs="宋体" w:eastAsia="宋体" w:hint="default"/>
                <w:sz w:val="18"/>
                <w:szCs w:val="18"/>
              </w:rPr>
            </w:pPr>
            <w:r>
              <w:rPr>
                <w:rFonts w:ascii="宋体" w:hAnsi="宋体" w:cs="宋体" w:eastAsia="宋体" w:hint="default"/>
                <w:sz w:val="18"/>
                <w:szCs w:val="18"/>
              </w:rPr>
              <w:t>光一投资、实际控制人龙昌明及关联人 熊珂分别出具《关于不占用资金的承诺 </w:t>
            </w:r>
            <w:r>
              <w:rPr>
                <w:rFonts w:ascii="宋体" w:hAnsi="宋体" w:cs="宋体" w:eastAsia="宋体" w:hint="default"/>
                <w:spacing w:val="-5"/>
                <w:sz w:val="18"/>
                <w:szCs w:val="18"/>
              </w:rPr>
              <w:t>函》，承诺保证不利用控股股东</w:t>
            </w:r>
            <w:r>
              <w:rPr>
                <w:rFonts w:ascii="宋体" w:hAnsi="宋体" w:cs="宋体" w:eastAsia="宋体" w:hint="default"/>
                <w:spacing w:val="-5"/>
                <w:sz w:val="18"/>
                <w:szCs w:val="18"/>
              </w:rPr>
              <w:t>/</w:t>
            </w:r>
            <w:r>
              <w:rPr>
                <w:rFonts w:ascii="宋体" w:hAnsi="宋体" w:cs="宋体" w:eastAsia="宋体" w:hint="default"/>
                <w:spacing w:val="-5"/>
                <w:sz w:val="18"/>
                <w:szCs w:val="18"/>
              </w:rPr>
              <w:t>实际控</w:t>
            </w:r>
            <w:r>
              <w:rPr>
                <w:rFonts w:ascii="宋体" w:hAnsi="宋体" w:cs="宋体" w:eastAsia="宋体" w:hint="default"/>
                <w:sz w:val="18"/>
                <w:szCs w:val="18"/>
              </w:rPr>
              <w:t> 制人</w:t>
            </w:r>
            <w:r>
              <w:rPr>
                <w:rFonts w:ascii="宋体" w:hAnsi="宋体" w:cs="宋体" w:eastAsia="宋体" w:hint="default"/>
                <w:sz w:val="18"/>
                <w:szCs w:val="18"/>
              </w:rPr>
              <w:t>/</w:t>
            </w:r>
            <w:r>
              <w:rPr>
                <w:rFonts w:ascii="宋体" w:hAnsi="宋体" w:cs="宋体" w:eastAsia="宋体" w:hint="default"/>
                <w:sz w:val="18"/>
                <w:szCs w:val="18"/>
              </w:rPr>
              <w:t>实际控制人的一致行动人的地位 直接或间接地占用公司资金。</w:t>
            </w:r>
          </w:p>
        </w:tc>
        <w:tc>
          <w:tcPr>
            <w:tcW w:w="994" w:type="dxa"/>
            <w:tcBorders>
              <w:top w:val="single" w:sz="6" w:space="0" w:color="000000"/>
              <w:left w:val="single" w:sz="14"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195" w:lineRule="exact" w:before="77"/>
              <w:ind w:left="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195"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61"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31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、关于社会保障缴纳的承诺：实际控制</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人龙昌明出</w:t>
            </w:r>
            <w:r>
              <w:rPr>
                <w:rFonts w:ascii="宋体" w:hAnsi="宋体" w:cs="宋体" w:eastAsia="宋体" w:hint="default"/>
                <w:spacing w:val="-45"/>
                <w:sz w:val="18"/>
                <w:szCs w:val="18"/>
              </w:rPr>
              <w:t>具</w:t>
            </w: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承诺如果未来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社保管理机关、住房公积金管理机关要</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求公司补缴其于股票发行上市前应缴未</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缴的员工社保金、住房公积金的，则公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司补缴社保金、住房公积金由光一投资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及龙昌明共同全额补偿给公司；如果公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司因此遭受行政处罚、民事索赔的，有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21"/>
              <w:jc w:val="both"/>
              <w:rPr>
                <w:rFonts w:ascii="宋体" w:hAnsi="宋体" w:cs="宋体" w:eastAsia="宋体" w:hint="default"/>
                <w:sz w:val="18"/>
                <w:szCs w:val="18"/>
              </w:rPr>
            </w:pPr>
            <w:r>
              <w:rPr>
                <w:rFonts w:ascii="宋体" w:hAnsi="宋体" w:cs="宋体" w:eastAsia="宋体" w:hint="default"/>
                <w:sz w:val="18"/>
                <w:szCs w:val="18"/>
              </w:rPr>
              <w:t>关罚金及赔偿金也由光一投资及龙昌明 共同全额补偿给公司。光一投资及龙昌 明对公司所负前述义务和责任为共同不</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83"/>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5"/>
                <w:sz w:val="18"/>
                <w:szCs w:val="18"/>
              </w:rPr>
              <w:t>可区分的连带责任。</w:t>
            </w:r>
            <w:r>
              <w:rPr>
                <w:rFonts w:ascii="宋体" w:hAnsi="宋体" w:cs="宋体" w:eastAsia="宋体" w:hint="default"/>
                <w:spacing w:val="-5"/>
                <w:sz w:val="18"/>
                <w:szCs w:val="18"/>
              </w:rPr>
              <w:t>2</w:t>
            </w:r>
            <w:r>
              <w:rPr>
                <w:rFonts w:ascii="宋体" w:hAnsi="宋体" w:cs="宋体" w:eastAsia="宋体" w:hint="default"/>
                <w:spacing w:val="-5"/>
                <w:sz w:val="18"/>
                <w:szCs w:val="18"/>
              </w:rPr>
              <w:t>、实际控制人龙昌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明对光一有限无形资产出资出具《承诺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承诺该项无形资产是其本人在光一</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电子工作期间主持开发的，本人拥有该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项资产的所有权，不存在与其他任何第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三方之间的纠纷或者潜在纠纷。如因该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项专有技术引起任何纠纷，本人愿意以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59"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31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个人财产承担全部责任。</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360"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31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公司控股股东光一投资出具《承诺函</w:t>
            </w:r>
            <w:r>
              <w:rPr>
                <w:rFonts w:ascii="宋体" w:hAnsi="宋体" w:cs="宋体" w:eastAsia="宋体" w:hint="default"/>
                <w:spacing w:val="-90"/>
                <w:sz w:val="18"/>
                <w:szCs w:val="18"/>
              </w:rPr>
              <w:t>》</w:t>
            </w:r>
            <w:r>
              <w:rPr>
                <w:rFonts w:ascii="宋体" w:hAnsi="宋体" w:cs="宋体" w:eastAsia="宋体" w:hint="default"/>
                <w:sz w:val="18"/>
                <w:szCs w:val="18"/>
              </w:rPr>
            </w:r>
          </w:p>
        </w:tc>
        <w:tc>
          <w:tcPr>
            <w:tcW w:w="9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承诺如果未来社保管理机关、住房公积</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金管理机关要求公司补缴其于股票发行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上市前应缴未缴的员工社保金、住房公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937"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20" w:right="158"/>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21"/>
              <w:jc w:val="both"/>
              <w:rPr>
                <w:rFonts w:ascii="宋体" w:hAnsi="宋体" w:cs="宋体" w:eastAsia="宋体" w:hint="default"/>
                <w:sz w:val="18"/>
                <w:szCs w:val="18"/>
              </w:rPr>
            </w:pPr>
            <w:r>
              <w:rPr>
                <w:rFonts w:ascii="宋体" w:hAnsi="宋体" w:cs="宋体" w:eastAsia="宋体" w:hint="default"/>
                <w:sz w:val="18"/>
                <w:szCs w:val="18"/>
              </w:rPr>
              <w:t>积金的，则公司补缴社保金、住房公积 金由光一投资及龙昌明共同全额补偿给 公司；如果公司因此遭受行政处罚、民</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83"/>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1"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事索赔的，有关罚金及赔偿金也由光一</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投资及龙昌明共同全额补偿给公司。光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一投资及龙昌明对公司所负前述义务和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59"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851" w:type="dxa"/>
            <w:tcBorders>
              <w:top w:val="nil" w:sz="6" w:space="0" w:color="auto"/>
              <w:left w:val="single" w:sz="6" w:space="0" w:color="000000"/>
              <w:bottom w:val="single" w:sz="6" w:space="0" w:color="000000"/>
              <w:right w:val="single" w:sz="6" w:space="0" w:color="000000"/>
            </w:tcBorders>
          </w:tcPr>
          <w:p>
            <w:pPr/>
          </w:p>
        </w:tc>
        <w:tc>
          <w:tcPr>
            <w:tcW w:w="311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责任为共同不可区分的连带责任。</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360" w:hRule="exact"/>
        </w:trPr>
        <w:tc>
          <w:tcPr>
            <w:tcW w:w="1845"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31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实际控制人龙昌明对光一电子股东权益</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45"/>
                <w:sz w:val="18"/>
                <w:szCs w:val="18"/>
              </w:rPr>
              <w:t>具</w:t>
            </w: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承诺光一电子股东权益</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625"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21"/>
              <w:jc w:val="left"/>
              <w:rPr>
                <w:rFonts w:ascii="宋体" w:hAnsi="宋体" w:cs="宋体" w:eastAsia="宋体" w:hint="default"/>
                <w:sz w:val="18"/>
                <w:szCs w:val="18"/>
              </w:rPr>
            </w:pPr>
            <w:r>
              <w:rPr>
                <w:rFonts w:ascii="宋体" w:hAnsi="宋体" w:cs="宋体" w:eastAsia="宋体" w:hint="default"/>
                <w:sz w:val="18"/>
                <w:szCs w:val="18"/>
              </w:rPr>
              <w:t>不存在任何权属纠纷或潜在纠纷，如因 光一电子股东权益归属产生权属争议或</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5"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纠纷的，由此造成的法律、经济后果均</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66" w:hRule="exact"/>
        </w:trPr>
        <w:tc>
          <w:tcPr>
            <w:tcW w:w="1845"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311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由其本人承担。</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834" w:type="dxa"/>
        <w:tblLayout w:type="fixed"/>
        <w:tblCellMar>
          <w:top w:w="0" w:type="dxa"/>
          <w:left w:w="0" w:type="dxa"/>
          <w:bottom w:w="0" w:type="dxa"/>
          <w:right w:w="0" w:type="dxa"/>
        </w:tblCellMar>
        <w:tblLook w:val="01E0"/>
      </w:tblPr>
      <w:tblGrid>
        <w:gridCol w:w="1845"/>
        <w:gridCol w:w="1276"/>
        <w:gridCol w:w="851"/>
        <w:gridCol w:w="3118"/>
        <w:gridCol w:w="994"/>
        <w:gridCol w:w="850"/>
        <w:gridCol w:w="920"/>
      </w:tblGrid>
      <w:tr>
        <w:trPr>
          <w:trHeight w:val="2911" w:hRule="exact"/>
        </w:trPr>
        <w:tc>
          <w:tcPr>
            <w:tcW w:w="184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龙昌明</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8"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20" w:right="19"/>
              <w:jc w:val="both"/>
              <w:rPr>
                <w:rFonts w:ascii="宋体" w:hAnsi="宋体" w:cs="宋体" w:eastAsia="宋体" w:hint="default"/>
                <w:sz w:val="18"/>
                <w:szCs w:val="18"/>
              </w:rPr>
            </w:pPr>
            <w:r>
              <w:rPr>
                <w:rFonts w:ascii="宋体" w:hAnsi="宋体" w:cs="宋体" w:eastAsia="宋体" w:hint="default"/>
                <w:sz w:val="18"/>
                <w:szCs w:val="18"/>
              </w:rPr>
              <w:t>实际控制人龙昌明对于</w:t>
            </w:r>
            <w:r>
              <w:rPr>
                <w:rFonts w:ascii="宋体" w:hAnsi="宋体" w:cs="宋体" w:eastAsia="宋体" w:hint="default"/>
                <w:spacing w:val="-67"/>
                <w:sz w:val="18"/>
                <w:szCs w:val="18"/>
              </w:rPr>
              <w:t> </w:t>
            </w:r>
            <w:r>
              <w:rPr>
                <w:rFonts w:ascii="宋体" w:hAnsi="宋体" w:cs="宋体" w:eastAsia="宋体" w:hint="default"/>
                <w:sz w:val="18"/>
                <w:szCs w:val="18"/>
              </w:rPr>
              <w:t>2009</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3</w:t>
            </w:r>
            <w:r>
              <w:rPr>
                <w:rFonts w:ascii="宋体" w:hAnsi="宋体" w:cs="宋体" w:eastAsia="宋体" w:hint="default"/>
                <w:spacing w:val="-68"/>
                <w:sz w:val="18"/>
                <w:szCs w:val="18"/>
              </w:rPr>
              <w:t> </w:t>
            </w:r>
            <w:r>
              <w:rPr>
                <w:rFonts w:ascii="宋体" w:hAnsi="宋体" w:cs="宋体" w:eastAsia="宋体" w:hint="default"/>
                <w:sz w:val="18"/>
                <w:szCs w:val="18"/>
              </w:rPr>
              <w:t>月光一 有限股东将其持有的光一有限的股权全 部转让给光一投资所涉及的个人所得税 </w:t>
            </w:r>
            <w:r>
              <w:rPr>
                <w:rFonts w:ascii="宋体" w:hAnsi="宋体" w:cs="宋体" w:eastAsia="宋体" w:hint="default"/>
                <w:spacing w:val="-10"/>
                <w:sz w:val="18"/>
                <w:szCs w:val="18"/>
              </w:rPr>
              <w:t>问题出具《承诺函》，承诺如果未来有关</w:t>
            </w:r>
            <w:r>
              <w:rPr>
                <w:rFonts w:ascii="宋体" w:hAnsi="宋体" w:cs="宋体" w:eastAsia="宋体" w:hint="default"/>
                <w:sz w:val="18"/>
                <w:szCs w:val="18"/>
              </w:rPr>
              <w:t> 税收征管机关就本次股权转让依据有关 税法、规范性文件规定重新核定计税依 据而要求转让方补缴个人所得税的，则 由其本人全额补缴。如果需要加计滞纳 金或罚款的，均由其本人承担和缴纳。</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7"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726"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18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3118"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994"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850"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920" w:type="dxa"/>
            <w:tcBorders>
              <w:top w:val="single" w:sz="6" w:space="0" w:color="000000"/>
              <w:left w:val="single" w:sz="6" w:space="0" w:color="000000"/>
              <w:bottom w:val="single" w:sz="12" w:space="0" w:color="000000"/>
              <w:right w:val="single" w:sz="12" w:space="0" w:color="000000"/>
            </w:tcBorders>
            <w:shd w:val="clear" w:color="auto" w:fill="D2D2D2"/>
          </w:tcPr>
          <w:p>
            <w:pPr/>
          </w:p>
        </w:tc>
      </w:tr>
    </w:tbl>
    <w:p>
      <w:pPr>
        <w:spacing w:line="240" w:lineRule="auto" w:before="11"/>
        <w:rPr>
          <w:rFonts w:ascii="Times New Roman" w:hAnsi="Times New Roman" w:cs="Times New Roman" w:eastAsia="Times New Roman" w:hint="default"/>
          <w:sz w:val="15"/>
          <w:szCs w:val="15"/>
        </w:rPr>
      </w:pPr>
    </w:p>
    <w:p>
      <w:pPr>
        <w:pStyle w:val="Heading4"/>
        <w:spacing w:line="408" w:lineRule="auto" w:before="35"/>
        <w:ind w:right="1121"/>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pStyle w:val="BodyText"/>
        <w:spacing w:line="240" w:lineRule="auto"/>
        <w:ind w:left="1134" w:right="1121"/>
        <w:jc w:val="left"/>
      </w:pPr>
      <w:r>
        <w:rPr/>
        <w:t>√ 适用 □</w:t>
      </w:r>
      <w:r>
        <w:rPr>
          <w:spacing w:val="-1"/>
        </w:rPr>
        <w:t> </w:t>
      </w:r>
      <w:r>
        <w:rPr/>
        <w:t>不适用</w:t>
      </w:r>
    </w:p>
    <w:p>
      <w:pPr>
        <w:spacing w:line="240" w:lineRule="auto" w:before="9"/>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1195"/>
        <w:gridCol w:w="1196"/>
        <w:gridCol w:w="1195"/>
        <w:gridCol w:w="1197"/>
        <w:gridCol w:w="1196"/>
        <w:gridCol w:w="1677"/>
        <w:gridCol w:w="992"/>
        <w:gridCol w:w="1418"/>
      </w:tblGrid>
      <w:tr>
        <w:trPr>
          <w:trHeight w:val="727" w:hRule="exact"/>
        </w:trPr>
        <w:tc>
          <w:tcPr>
            <w:tcW w:w="11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1" w:right="48"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当期预测业绩</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当期实际业绩</w:t>
            </w:r>
          </w:p>
        </w:tc>
        <w:tc>
          <w:tcPr>
            <w:tcW w:w="16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560" w:right="21" w:hanging="540"/>
              <w:jc w:val="left"/>
              <w:rPr>
                <w:rFonts w:ascii="宋体" w:hAnsi="宋体" w:cs="宋体" w:eastAsia="宋体" w:hint="default"/>
                <w:sz w:val="18"/>
                <w:szCs w:val="18"/>
              </w:rPr>
            </w:pPr>
            <w:r>
              <w:rPr>
                <w:rFonts w:ascii="宋体" w:hAnsi="宋体" w:cs="宋体" w:eastAsia="宋体" w:hint="default"/>
                <w:sz w:val="18"/>
                <w:szCs w:val="18"/>
              </w:rPr>
              <w:t>未达预测的原因（如 适用）</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309" w:right="36"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4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279" w:hRule="exact"/>
        </w:trPr>
        <w:tc>
          <w:tcPr>
            <w:tcW w:w="11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3" w:right="77"/>
              <w:jc w:val="both"/>
              <w:rPr>
                <w:rFonts w:ascii="宋体" w:hAnsi="宋体" w:cs="宋体" w:eastAsia="宋体" w:hint="default"/>
                <w:sz w:val="18"/>
                <w:szCs w:val="18"/>
              </w:rPr>
            </w:pPr>
            <w:r>
              <w:rPr>
                <w:rFonts w:ascii="宋体" w:hAnsi="宋体" w:cs="宋体" w:eastAsia="宋体" w:hint="default"/>
                <w:sz w:val="18"/>
                <w:szCs w:val="18"/>
              </w:rPr>
              <w:t>江苏德能电力 设计咨询有限 公司</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1,008</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-1,004.30</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 w:right="21"/>
              <w:jc w:val="both"/>
              <w:rPr>
                <w:rFonts w:ascii="宋体" w:hAnsi="宋体" w:cs="宋体" w:eastAsia="宋体" w:hint="default"/>
                <w:sz w:val="18"/>
                <w:szCs w:val="18"/>
              </w:rPr>
            </w:pPr>
            <w:r>
              <w:rPr>
                <w:rFonts w:ascii="宋体" w:hAnsi="宋体" w:cs="宋体" w:eastAsia="宋体" w:hint="default"/>
                <w:sz w:val="18"/>
                <w:szCs w:val="18"/>
              </w:rPr>
              <w:t>电力设计乙级资质未 能按计划完成升级， 配网业务量减少且部 分业务尚未交付，不 满足收入确认条件。</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1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23</w:t>
            </w:r>
            <w:r>
              <w:rPr>
                <w:rFonts w:ascii="宋体" w:hAnsi="宋体" w:cs="宋体" w:eastAsia="宋体" w:hint="default"/>
                <w:spacing w:val="-52"/>
                <w:sz w:val="18"/>
                <w:szCs w:val="18"/>
              </w:rPr>
              <w:t> </w:t>
            </w:r>
            <w:r>
              <w:rPr>
                <w:rFonts w:ascii="宋体" w:hAnsi="宋体" w:cs="宋体" w:eastAsia="宋体" w:hint="default"/>
                <w:sz w:val="18"/>
                <w:szCs w:val="18"/>
              </w:rPr>
              <w:t>日 披露于 </w:t>
            </w:r>
            <w:r>
              <w:rPr>
                <w:rFonts w:ascii="宋体" w:hAnsi="宋体" w:cs="宋体" w:eastAsia="宋体" w:hint="default"/>
                <w:sz w:val="18"/>
                <w:szCs w:val="18"/>
              </w:rPr>
              <w:t>http://www.cnin fo.com.cn</w:t>
            </w:r>
            <w:r>
              <w:rPr>
                <w:rFonts w:ascii="宋体" w:hAnsi="宋体" w:cs="宋体" w:eastAsia="宋体" w:hint="default"/>
                <w:sz w:val="18"/>
                <w:szCs w:val="18"/>
              </w:rPr>
              <w:t>《光一 </w:t>
            </w:r>
            <w:r>
              <w:rPr>
                <w:rFonts w:ascii="宋体" w:hAnsi="宋体" w:cs="宋体" w:eastAsia="宋体" w:hint="default"/>
                <w:spacing w:val="-10"/>
                <w:sz w:val="18"/>
                <w:szCs w:val="18"/>
              </w:rPr>
              <w:t>科技：关于收购资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产的公告》（公告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宋体" w:hAnsi="宋体" w:cs="宋体" w:eastAsia="宋体" w:hint="default"/>
                <w:sz w:val="18"/>
                <w:szCs w:val="18"/>
              </w:rPr>
              <w:t>2015-039</w:t>
            </w:r>
            <w:r>
              <w:rPr>
                <w:rFonts w:ascii="宋体" w:hAnsi="宋体" w:cs="宋体" w:eastAsia="宋体" w:hint="default"/>
                <w:sz w:val="18"/>
                <w:szCs w:val="18"/>
              </w:rPr>
              <w:t>）</w:t>
            </w:r>
          </w:p>
        </w:tc>
      </w:tr>
      <w:tr>
        <w:trPr>
          <w:trHeight w:val="1031" w:hRule="exact"/>
        </w:trPr>
        <w:tc>
          <w:tcPr>
            <w:tcW w:w="11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77"/>
              <w:jc w:val="both"/>
              <w:rPr>
                <w:rFonts w:ascii="宋体" w:hAnsi="宋体" w:cs="宋体" w:eastAsia="宋体" w:hint="default"/>
                <w:sz w:val="18"/>
                <w:szCs w:val="18"/>
              </w:rPr>
            </w:pPr>
            <w:r>
              <w:rPr>
                <w:rFonts w:ascii="宋体" w:hAnsi="宋体" w:cs="宋体" w:eastAsia="宋体" w:hint="default"/>
                <w:sz w:val="18"/>
                <w:szCs w:val="18"/>
              </w:rPr>
              <w:t>江苏其厚智能 电气设备有限 公司</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1,500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1,529.45</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75" w:hRule="exact"/>
        </w:trPr>
        <w:tc>
          <w:tcPr>
            <w:tcW w:w="11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 w:right="77"/>
              <w:jc w:val="left"/>
              <w:rPr>
                <w:rFonts w:ascii="宋体" w:hAnsi="宋体" w:cs="宋体" w:eastAsia="宋体" w:hint="default"/>
                <w:sz w:val="18"/>
                <w:szCs w:val="18"/>
              </w:rPr>
            </w:pPr>
            <w:r>
              <w:rPr>
                <w:rFonts w:ascii="宋体" w:hAnsi="宋体" w:cs="宋体" w:eastAsia="宋体" w:hint="default"/>
                <w:sz w:val="18"/>
                <w:szCs w:val="18"/>
              </w:rPr>
              <w:t>北京大数有容 科技有限公司</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400</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-137.81</w:t>
            </w:r>
          </w:p>
        </w:tc>
        <w:tc>
          <w:tcPr>
            <w:tcW w:w="167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18"/>
              <w:jc w:val="both"/>
              <w:rPr>
                <w:rFonts w:ascii="宋体" w:hAnsi="宋体" w:cs="宋体" w:eastAsia="宋体" w:hint="default"/>
                <w:sz w:val="18"/>
                <w:szCs w:val="18"/>
              </w:rPr>
            </w:pPr>
            <w:r>
              <w:rPr>
                <w:rFonts w:ascii="宋体" w:hAnsi="宋体" w:cs="宋体" w:eastAsia="宋体" w:hint="default"/>
                <w:sz w:val="18"/>
                <w:szCs w:val="18"/>
              </w:rPr>
              <w:t>公司处于初创期，前 期在人工智能方向投 入大量的研发工作， 且</w:t>
            </w:r>
            <w:r>
              <w:rPr>
                <w:rFonts w:ascii="宋体" w:hAnsi="宋体" w:cs="宋体" w:eastAsia="宋体" w:hint="default"/>
                <w:spacing w:val="-64"/>
                <w:sz w:val="18"/>
                <w:szCs w:val="18"/>
              </w:rPr>
              <w:t> </w:t>
            </w:r>
            <w:r>
              <w:rPr>
                <w:rFonts w:ascii="宋体" w:hAnsi="宋体" w:cs="宋体" w:eastAsia="宋体" w:hint="default"/>
                <w:sz w:val="18"/>
                <w:szCs w:val="18"/>
              </w:rPr>
              <w:t>为</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5"/>
                <w:sz w:val="18"/>
                <w:szCs w:val="18"/>
              </w:rPr>
              <w:t> </w:t>
            </w:r>
            <w:r>
              <w:rPr>
                <w:rFonts w:ascii="宋体" w:hAnsi="宋体" w:cs="宋体" w:eastAsia="宋体" w:hint="default"/>
                <w:sz w:val="18"/>
                <w:szCs w:val="18"/>
              </w:rPr>
              <w:t>场</w:t>
            </w:r>
            <w:r>
              <w:rPr>
                <w:rFonts w:ascii="宋体" w:hAnsi="宋体" w:cs="宋体" w:eastAsia="宋体" w:hint="default"/>
                <w:spacing w:val="-64"/>
                <w:sz w:val="18"/>
                <w:szCs w:val="18"/>
              </w:rPr>
              <w:t> </w:t>
            </w:r>
            <w:r>
              <w:rPr>
                <w:rFonts w:ascii="宋体" w:hAnsi="宋体" w:cs="宋体" w:eastAsia="宋体" w:hint="default"/>
                <w:sz w:val="18"/>
                <w:szCs w:val="18"/>
              </w:rPr>
              <w:t>开</w:t>
            </w:r>
            <w:r>
              <w:rPr>
                <w:rFonts w:ascii="宋体" w:hAnsi="宋体" w:cs="宋体" w:eastAsia="宋体" w:hint="default"/>
                <w:spacing w:val="-65"/>
                <w:sz w:val="18"/>
                <w:szCs w:val="18"/>
              </w:rPr>
              <w:t> </w:t>
            </w:r>
            <w:r>
              <w:rPr>
                <w:rFonts w:ascii="宋体" w:hAnsi="宋体" w:cs="宋体" w:eastAsia="宋体" w:hint="default"/>
                <w:sz w:val="18"/>
                <w:szCs w:val="18"/>
              </w:rPr>
              <w:t>拓</w:t>
            </w:r>
            <w:r>
              <w:rPr>
                <w:rFonts w:ascii="宋体" w:hAnsi="宋体" w:cs="宋体" w:eastAsia="宋体" w:hint="default"/>
                <w:spacing w:val="-64"/>
                <w:sz w:val="18"/>
                <w:szCs w:val="18"/>
              </w:rPr>
              <w:t> </w:t>
            </w:r>
            <w:r>
              <w:rPr>
                <w:rFonts w:ascii="宋体" w:hAnsi="宋体" w:cs="宋体" w:eastAsia="宋体" w:hint="default"/>
                <w:sz w:val="18"/>
                <w:szCs w:val="18"/>
              </w:rPr>
              <w:t>第</w:t>
            </w:r>
            <w:r>
              <w:rPr>
                <w:rFonts w:ascii="宋体" w:hAnsi="宋体" w:cs="宋体" w:eastAsia="宋体" w:hint="default"/>
                <w:spacing w:val="-64"/>
                <w:sz w:val="18"/>
                <w:szCs w:val="18"/>
              </w:rPr>
              <w:t> </w:t>
            </w:r>
            <w:r>
              <w:rPr>
                <w:rFonts w:ascii="宋体" w:hAnsi="宋体" w:cs="宋体" w:eastAsia="宋体" w:hint="default"/>
                <w:sz w:val="18"/>
                <w:szCs w:val="18"/>
              </w:rPr>
              <w:t>一</w:t>
            </w:r>
            <w:r>
              <w:rPr>
                <w:rFonts w:ascii="宋体" w:hAnsi="宋体" w:cs="宋体" w:eastAsia="宋体" w:hint="default"/>
                <w:sz w:val="18"/>
                <w:szCs w:val="18"/>
              </w:rPr>
              <w:t> 年，公司发展未如预 期。</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134" w:right="1121"/>
        <w:jc w:val="left"/>
      </w:pPr>
      <w:r>
        <w:rPr/>
        <w:t>公司股东、交易对手方对公司或相关资产年度经营业绩作出的承诺情况</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084" w:firstLine="420"/>
        <w:jc w:val="both"/>
      </w:pPr>
      <w:r>
        <w:rPr>
          <w:spacing w:val="-6"/>
        </w:rPr>
        <w:t>①公司于</w:t>
      </w:r>
      <w:r>
        <w:rPr>
          <w:rFonts w:ascii="宋体" w:hAnsi="宋体" w:cs="宋体" w:eastAsia="宋体" w:hint="default"/>
          <w:spacing w:val="-6"/>
        </w:rPr>
        <w:t>2015</w:t>
      </w:r>
      <w:r>
        <w:rPr>
          <w:spacing w:val="-6"/>
        </w:rPr>
        <w:t>年</w:t>
      </w:r>
      <w:r>
        <w:rPr>
          <w:rFonts w:ascii="宋体" w:hAnsi="宋体" w:cs="宋体" w:eastAsia="宋体" w:hint="default"/>
          <w:spacing w:val="-6"/>
        </w:rPr>
        <w:t>6</w:t>
      </w:r>
      <w:r>
        <w:rPr>
          <w:spacing w:val="-6"/>
        </w:rPr>
        <w:t>月</w:t>
      </w:r>
      <w:r>
        <w:rPr>
          <w:rFonts w:ascii="宋体" w:hAnsi="宋体" w:cs="宋体" w:eastAsia="宋体" w:hint="default"/>
          <w:spacing w:val="-6"/>
        </w:rPr>
        <w:t>23</w:t>
      </w:r>
      <w:r>
        <w:rPr>
          <w:spacing w:val="-6"/>
        </w:rPr>
        <w:t>日披露了《光一科技股份有限公司关于收购资产的公告》（公告编号</w:t>
      </w:r>
      <w:r>
        <w:rPr>
          <w:rFonts w:ascii="宋体" w:hAnsi="宋体" w:cs="宋体" w:eastAsia="宋体" w:hint="default"/>
          <w:spacing w:val="-6"/>
        </w:rPr>
        <w:t>2015-039</w:t>
      </w:r>
      <w:r>
        <w:rPr>
          <w:spacing w:val="-6"/>
        </w:rPr>
        <w:t>），</w:t>
      </w:r>
      <w:r>
        <w:rPr>
          <w:spacing w:val="-58"/>
        </w:rPr>
        <w:t> </w:t>
      </w:r>
      <w:r>
        <w:rPr/>
        <w:t>根据《关于江苏德能电力设计咨询有限公司股权转让协议》及《关于江苏德能电力设计咨询有限公司股权</w:t>
      </w:r>
      <w:r>
        <w:rPr/>
        <w:t> 转让协议的补充协议》的约定，控股子公司德能设计承诺</w:t>
      </w:r>
      <w:r>
        <w:rPr>
          <w:rFonts w:ascii="宋体" w:hAnsi="宋体" w:cs="宋体" w:eastAsia="宋体" w:hint="default"/>
        </w:rPr>
        <w:t>2017</w:t>
      </w:r>
      <w:r>
        <w:rPr/>
        <w:t>年度经审计确认的扣除非经常性损益的税后 净利润不低于</w:t>
      </w:r>
      <w:r>
        <w:rPr>
          <w:rFonts w:ascii="宋体" w:hAnsi="宋体" w:cs="宋体" w:eastAsia="宋体" w:hint="default"/>
        </w:rPr>
        <w:t>1,008</w:t>
      </w:r>
      <w:r>
        <w:rPr/>
        <w:t>万元。</w:t>
      </w:r>
    </w:p>
    <w:p>
      <w:pPr>
        <w:pStyle w:val="BodyText"/>
        <w:spacing w:line="408" w:lineRule="auto"/>
        <w:ind w:right="1130" w:firstLine="420"/>
        <w:jc w:val="both"/>
      </w:pPr>
      <w:r>
        <w:rPr>
          <w:spacing w:val="-1"/>
        </w:rPr>
        <w:t>根据众华会计师事务所（特殊普通合伙）审计并出具《江苏德能电力设计咨询有限公司</w:t>
      </w:r>
      <w:r>
        <w:rPr>
          <w:rFonts w:ascii="宋体" w:hAnsi="宋体" w:cs="宋体" w:eastAsia="宋体" w:hint="default"/>
          <w:spacing w:val="-1"/>
        </w:rPr>
        <w:t>2017</w:t>
      </w:r>
      <w:r>
        <w:rPr>
          <w:spacing w:val="-1"/>
        </w:rPr>
        <w:t>年度审计</w:t>
      </w:r>
      <w:r>
        <w:rPr/>
        <w:t> 报告》（众会字（</w:t>
      </w:r>
      <w:r>
        <w:rPr>
          <w:rFonts w:ascii="宋体" w:hAnsi="宋体" w:cs="宋体" w:eastAsia="宋体" w:hint="default"/>
        </w:rPr>
        <w:t>2018</w:t>
      </w:r>
      <w:r>
        <w:rPr/>
        <w:t>）第</w:t>
      </w:r>
      <w:r>
        <w:rPr>
          <w:rFonts w:ascii="宋体" w:hAnsi="宋体" w:cs="宋体" w:eastAsia="宋体" w:hint="default"/>
        </w:rPr>
        <w:t>1780</w:t>
      </w:r>
      <w:r>
        <w:rPr/>
        <w:t>号），德能设计</w:t>
      </w:r>
      <w:r>
        <w:rPr>
          <w:rFonts w:ascii="宋体" w:hAnsi="宋体" w:cs="宋体" w:eastAsia="宋体" w:hint="default"/>
        </w:rPr>
        <w:t>2017</w:t>
      </w:r>
      <w:r>
        <w:rPr/>
        <w:t>年度净利润为</w:t>
      </w:r>
      <w:r>
        <w:rPr>
          <w:rFonts w:ascii="宋体" w:hAnsi="宋体" w:cs="宋体" w:eastAsia="宋体" w:hint="default"/>
        </w:rPr>
        <w:t>-991.63</w:t>
      </w:r>
      <w:r>
        <w:rPr/>
        <w:t>万元，扣除非经常性损益后净</w:t>
      </w:r>
      <w:r>
        <w:rPr>
          <w:spacing w:val="-31"/>
        </w:rPr>
        <w:t> </w:t>
      </w:r>
      <w:r>
        <w:rPr>
          <w:spacing w:val="-31"/>
        </w:rPr>
      </w:r>
      <w:r>
        <w:rPr/>
        <w:t>利润为</w:t>
      </w:r>
      <w:r>
        <w:rPr>
          <w:rFonts w:ascii="宋体" w:hAnsi="宋体" w:cs="宋体" w:eastAsia="宋体" w:hint="default"/>
        </w:rPr>
        <w:t>-1,004.30</w:t>
      </w:r>
      <w:r>
        <w:rPr/>
        <w:t>万元，未能实现其业绩承诺。为有效控制风险，公司已与唐明群先生就后续解决措施初</w:t>
      </w:r>
      <w:r>
        <w:rPr>
          <w:spacing w:val="-37"/>
        </w:rPr>
        <w:t> </w:t>
      </w:r>
      <w:r>
        <w:rPr>
          <w:spacing w:val="-37"/>
        </w:rPr>
      </w:r>
      <w:r>
        <w:rPr>
          <w:spacing w:val="-1"/>
        </w:rPr>
        <w:t>步达成共识，将由唐明群先生回购公司所持有德能设计全部股权，公司将根据进展情况及时履行信息披露</w:t>
      </w:r>
      <w:r>
        <w:rPr>
          <w:spacing w:val="-81"/>
        </w:rPr>
        <w:t> </w:t>
      </w:r>
      <w:r>
        <w:rPr>
          <w:spacing w:val="-81"/>
        </w:rPr>
      </w:r>
      <w:r>
        <w:rPr/>
        <w:t>义务。</w:t>
      </w:r>
    </w:p>
    <w:p>
      <w:pPr>
        <w:pStyle w:val="BodyText"/>
        <w:spacing w:line="408" w:lineRule="auto"/>
        <w:ind w:right="1109" w:firstLine="420"/>
        <w:jc w:val="both"/>
      </w:pPr>
      <w:r>
        <w:rPr>
          <w:spacing w:val="-1"/>
        </w:rPr>
        <w:t>②根据《关于光一科技股份有限公司与江苏其厚智能电气设备有限公司的增资协议》，参股公司其厚</w:t>
      </w:r>
      <w:r>
        <w:rPr/>
        <w:t> 电气承诺</w:t>
      </w:r>
      <w:r>
        <w:rPr>
          <w:rFonts w:ascii="宋体" w:hAnsi="宋体" w:cs="宋体" w:eastAsia="宋体" w:hint="default"/>
        </w:rPr>
        <w:t>2017</w:t>
      </w:r>
      <w:r>
        <w:rPr/>
        <w:t>年度经审计确认的净利润不低于</w:t>
      </w:r>
      <w:r>
        <w:rPr>
          <w:rFonts w:ascii="宋体" w:hAnsi="宋体" w:cs="宋体" w:eastAsia="宋体" w:hint="default"/>
        </w:rPr>
        <w:t>1,500</w:t>
      </w:r>
      <w:r>
        <w:rPr/>
        <w:t>万元，根据北京中诺宜华会计师事务所有限公司审计</w:t>
      </w:r>
      <w:r>
        <w:rPr>
          <w:spacing w:val="-34"/>
        </w:rPr>
        <w:t> </w:t>
      </w:r>
      <w:r>
        <w:rPr>
          <w:spacing w:val="-34"/>
        </w:rPr>
      </w:r>
      <w:r>
        <w:rPr/>
        <w:t>并出具《江苏其厚智能电气设备有限公司</w:t>
      </w:r>
      <w:r>
        <w:rPr>
          <w:rFonts w:ascii="宋体" w:hAnsi="宋体" w:cs="宋体" w:eastAsia="宋体" w:hint="default"/>
        </w:rPr>
        <w:t>2017</w:t>
      </w:r>
      <w:r>
        <w:rPr/>
        <w:t>年度审计报告》（北京中诺宜华审字</w:t>
      </w:r>
      <w:r>
        <w:rPr>
          <w:rFonts w:ascii="宋体" w:hAnsi="宋体" w:cs="宋体" w:eastAsia="宋体" w:hint="default"/>
        </w:rPr>
        <w:t>[2018]</w:t>
      </w:r>
      <w:r>
        <w:rPr/>
        <w:t>第</w:t>
      </w:r>
      <w:r>
        <w:rPr>
          <w:rFonts w:ascii="宋体" w:hAnsi="宋体" w:cs="宋体" w:eastAsia="宋体" w:hint="default"/>
        </w:rPr>
        <w:t>NS2008</w:t>
      </w:r>
      <w:r>
        <w:rPr/>
        <w:t>号）， 其厚电气</w:t>
      </w:r>
      <w:r>
        <w:rPr>
          <w:rFonts w:ascii="宋体" w:hAnsi="宋体" w:cs="宋体" w:eastAsia="宋体" w:hint="default"/>
        </w:rPr>
        <w:t>2017</w:t>
      </w:r>
      <w:r>
        <w:rPr/>
        <w:t>年度净利润为</w:t>
      </w:r>
      <w:r>
        <w:rPr>
          <w:rFonts w:ascii="宋体" w:hAnsi="宋体" w:cs="宋体" w:eastAsia="宋体" w:hint="default"/>
        </w:rPr>
        <w:t>1,529.45</w:t>
      </w:r>
      <w:r>
        <w:rPr>
          <w:rFonts w:ascii="宋体" w:hAnsi="宋体" w:cs="宋体" w:eastAsia="宋体" w:hint="default"/>
          <w:spacing w:val="-4"/>
        </w:rPr>
        <w:t> </w:t>
      </w:r>
      <w:r>
        <w:rPr/>
        <w:t>万元，已完成</w:t>
      </w:r>
      <w:r>
        <w:rPr>
          <w:rFonts w:ascii="宋体" w:hAnsi="宋体" w:cs="宋体" w:eastAsia="宋体" w:hint="default"/>
        </w:rPr>
        <w:t>2017</w:t>
      </w:r>
      <w:r>
        <w:rPr/>
        <w:t>年度业绩承诺。</w:t>
      </w:r>
    </w:p>
    <w:p>
      <w:pPr>
        <w:pStyle w:val="BodyText"/>
        <w:spacing w:line="408" w:lineRule="auto"/>
        <w:ind w:right="1026" w:firstLine="420"/>
        <w:jc w:val="left"/>
      </w:pPr>
      <w:r>
        <w:rPr/>
        <w:t>③根据《关于北京大数有容科技有限公司增资协议》，参股公司大数有容承诺</w:t>
      </w:r>
      <w:r>
        <w:rPr>
          <w:rFonts w:ascii="宋体" w:hAnsi="宋体" w:cs="宋体" w:eastAsia="宋体" w:hint="default"/>
        </w:rPr>
        <w:t>2017</w:t>
      </w:r>
      <w:r>
        <w:rPr/>
        <w:t>年度经审计确认的 </w:t>
      </w:r>
      <w:r>
        <w:rPr>
          <w:spacing w:val="3"/>
        </w:rPr>
        <w:t>扣除非经常性损益后净利润为</w:t>
      </w:r>
      <w:r>
        <w:rPr>
          <w:rFonts w:ascii="宋体" w:hAnsi="宋体" w:cs="宋体" w:eastAsia="宋体" w:hint="default"/>
          <w:spacing w:val="3"/>
        </w:rPr>
        <w:t>0</w:t>
      </w:r>
      <w:r>
        <w:rPr>
          <w:spacing w:val="3"/>
        </w:rPr>
        <w:t>～</w:t>
      </w:r>
      <w:r>
        <w:rPr>
          <w:rFonts w:ascii="宋体" w:hAnsi="宋体" w:cs="宋体" w:eastAsia="宋体" w:hint="default"/>
          <w:spacing w:val="3"/>
        </w:rPr>
        <w:t>400</w:t>
      </w:r>
      <w:r>
        <w:rPr>
          <w:spacing w:val="3"/>
        </w:rPr>
        <w:t>万元，根据南京博文会计师事务所有限公司的审计数据，大数有容</w:t>
      </w:r>
      <w:r>
        <w:rPr>
          <w:spacing w:val="-85"/>
        </w:rPr>
        <w:t> </w:t>
      </w:r>
      <w:r>
        <w:rPr>
          <w:spacing w:val="-85"/>
        </w:rPr>
      </w:r>
      <w:r>
        <w:rPr>
          <w:rFonts w:ascii="宋体" w:hAnsi="宋体" w:cs="宋体" w:eastAsia="宋体" w:hint="default"/>
        </w:rPr>
        <w:t>2017</w:t>
      </w:r>
      <w:r>
        <w:rPr/>
        <w:t>年度净利润为</w:t>
      </w:r>
      <w:r>
        <w:rPr>
          <w:rFonts w:ascii="宋体" w:hAnsi="宋体" w:cs="宋体" w:eastAsia="宋体" w:hint="default"/>
        </w:rPr>
        <w:t>-149.94</w:t>
      </w:r>
      <w:r>
        <w:rPr/>
        <w:t>万元，扣除非经常性损益后净利润为</w:t>
      </w:r>
      <w:r>
        <w:rPr>
          <w:rFonts w:ascii="宋体" w:hAnsi="宋体" w:cs="宋体" w:eastAsia="宋体" w:hint="default"/>
        </w:rPr>
        <w:t>-137.81</w:t>
      </w:r>
      <w:r>
        <w:rPr/>
        <w:t>万元，未能实现其业绩承诺。大数 </w:t>
      </w:r>
      <w:r>
        <w:rPr>
          <w:spacing w:val="-3"/>
        </w:rPr>
        <w:t>有容由于前期在人工智能方向投入大量的研发工作，且为市场开拓第一年，公司将加强投后管理，在财务、</w:t>
      </w:r>
      <w:r>
        <w:rPr>
          <w:spacing w:val="-90"/>
        </w:rPr>
        <w:t> </w:t>
      </w:r>
      <w:r>
        <w:rPr>
          <w:spacing w:val="-90"/>
        </w:rPr>
      </w:r>
      <w:r>
        <w:rPr>
          <w:spacing w:val="-3"/>
        </w:rPr>
        <w:t>内控、项目资源对接等方面加强沟通，若发现大数有容盈利能力持续下降，公司将适时采取调整增资额度、</w:t>
      </w:r>
      <w:r>
        <w:rPr>
          <w:spacing w:val="-90"/>
        </w:rPr>
        <w:t> </w:t>
      </w:r>
      <w:r>
        <w:rPr>
          <w:spacing w:val="-90"/>
        </w:rPr>
      </w:r>
      <w:r>
        <w:rPr/>
        <w:t>大股东回购等方式进行止损。</w:t>
      </w:r>
    </w:p>
    <w:p>
      <w:pPr>
        <w:pStyle w:val="Heading2"/>
        <w:spacing w:line="240" w:lineRule="auto" w:before="179"/>
        <w:ind w:right="1121"/>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pStyle w:val="BodyText"/>
        <w:spacing w:line="408" w:lineRule="auto" w:before="177"/>
        <w:ind w:right="4033"/>
        <w:jc w:val="left"/>
      </w:pPr>
      <w:r>
        <w:rPr/>
        <w:t>□ 适用 √</w:t>
      </w:r>
      <w:r>
        <w:rPr>
          <w:spacing w:val="-1"/>
        </w:rPr>
        <w:t> </w:t>
      </w:r>
      <w:r>
        <w:rPr/>
        <w:t>不适用</w:t>
      </w:r>
      <w:r>
        <w:rPr/>
        <w:t> 公司报告期不存在控股股东及其关联方对上市公司的非经营性占用资金。</w:t>
      </w:r>
    </w:p>
    <w:p>
      <w:pPr>
        <w:pStyle w:val="Heading2"/>
        <w:spacing w:line="240" w:lineRule="auto" w:before="179"/>
        <w:ind w:left="1133" w:right="1121"/>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pStyle w:val="BodyText"/>
        <w:spacing w:line="240" w:lineRule="auto" w:before="177"/>
        <w:ind w:right="1121"/>
        <w:jc w:val="left"/>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五、董事会、监事会、独立董事（如有）对会计师事务所本报告期“非标准审计报告”的说明</w:t>
      </w:r>
      <w:r>
        <w:rPr>
          <w:b w:val="0"/>
          <w:bCs w:val="0"/>
        </w:rPr>
      </w:r>
    </w:p>
    <w:p>
      <w:pPr>
        <w:pStyle w:val="BodyText"/>
        <w:spacing w:line="240" w:lineRule="auto" w:before="177"/>
        <w:ind w:right="1121"/>
        <w:jc w:val="left"/>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21"/>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pStyle w:val="BodyText"/>
        <w:spacing w:line="240" w:lineRule="auto" w:before="177"/>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027" w:firstLine="423"/>
        <w:jc w:val="left"/>
      </w:pPr>
      <w:r>
        <w:rPr>
          <w:rFonts w:ascii="宋体" w:hAnsi="宋体" w:cs="宋体" w:eastAsia="宋体" w:hint="default"/>
        </w:rPr>
        <w:t>1</w:t>
      </w:r>
      <w:r>
        <w:rPr/>
        <w:t>、根据财政部《增值税会计处理规定》（财会</w:t>
      </w:r>
      <w:r>
        <w:rPr>
          <w:rFonts w:ascii="宋体" w:hAnsi="宋体" w:cs="宋体" w:eastAsia="宋体" w:hint="default"/>
        </w:rPr>
        <w:t>[2016]22</w:t>
      </w:r>
      <w:r>
        <w:rPr/>
        <w:t>号）的要求，公司于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11</w:t>
      </w:r>
      <w:r>
        <w:rPr/>
        <w:t>日召开第三 </w:t>
      </w:r>
      <w:r>
        <w:rPr>
          <w:spacing w:val="-3"/>
        </w:rPr>
        <w:t>届董事会第十一次会议审议通过了《关于会计政策变更的议案》，本次会计政策变更为修改财务报表列报，</w:t>
      </w:r>
      <w:r>
        <w:rPr>
          <w:spacing w:val="-92"/>
        </w:rPr>
        <w:t> </w:t>
      </w:r>
      <w:r>
        <w:rPr>
          <w:spacing w:val="-92"/>
        </w:rPr>
      </w:r>
      <w:r>
        <w:rPr>
          <w:spacing w:val="-8"/>
        </w:rPr>
        <w:t>对公司当期及前期列报净损益无影响，具体内容详见《关于会计政策变更的公告》（公告编号：</w:t>
      </w:r>
      <w:r>
        <w:rPr>
          <w:rFonts w:ascii="宋体" w:hAnsi="宋体" w:cs="宋体" w:eastAsia="宋体" w:hint="default"/>
          <w:spacing w:val="-8"/>
        </w:rPr>
        <w:t>2017-022</w:t>
      </w:r>
      <w:r>
        <w:rPr>
          <w:spacing w:val="-8"/>
        </w:rPr>
        <w:t>）。</w:t>
      </w:r>
      <w:r>
        <w:rPr/>
      </w:r>
    </w:p>
    <w:p>
      <w:pPr>
        <w:pStyle w:val="BodyText"/>
        <w:spacing w:line="408" w:lineRule="auto"/>
        <w:ind w:right="1129" w:firstLine="423"/>
        <w:jc w:val="both"/>
      </w:pPr>
      <w:r>
        <w:rPr>
          <w:rFonts w:ascii="宋体" w:hAnsi="宋体" w:cs="宋体" w:eastAsia="宋体" w:hint="default"/>
          <w:spacing w:val="-1"/>
        </w:rPr>
        <w:t>2</w:t>
      </w:r>
      <w:r>
        <w:rPr>
          <w:spacing w:val="-1"/>
        </w:rPr>
        <w:t>、根据财政部《企业会计准则第</w:t>
      </w:r>
      <w:r>
        <w:rPr>
          <w:rFonts w:ascii="宋体" w:hAnsi="宋体" w:cs="宋体" w:eastAsia="宋体" w:hint="default"/>
          <w:spacing w:val="-1"/>
        </w:rPr>
        <w:t>16</w:t>
      </w:r>
      <w:r>
        <w:rPr>
          <w:spacing w:val="-1"/>
        </w:rPr>
        <w:t>号</w:t>
      </w:r>
      <w:r>
        <w:rPr>
          <w:rFonts w:ascii="宋体" w:hAnsi="宋体" w:cs="宋体" w:eastAsia="宋体" w:hint="default"/>
          <w:spacing w:val="-1"/>
        </w:rPr>
        <w:t>-</w:t>
      </w:r>
      <w:r>
        <w:rPr>
          <w:spacing w:val="-1"/>
        </w:rPr>
        <w:t>政府补助》（财会</w:t>
      </w:r>
      <w:r>
        <w:rPr>
          <w:rFonts w:ascii="宋体" w:hAnsi="宋体" w:cs="宋体" w:eastAsia="宋体" w:hint="default"/>
          <w:spacing w:val="-1"/>
        </w:rPr>
        <w:t>[2017]15</w:t>
      </w:r>
      <w:r>
        <w:rPr>
          <w:spacing w:val="-1"/>
        </w:rPr>
        <w:t>号）的要求，公司于</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rFonts w:ascii="宋体" w:hAnsi="宋体" w:cs="宋体" w:eastAsia="宋体" w:hint="default"/>
          <w:spacing w:val="1"/>
        </w:rPr>
        <w:t> </w:t>
      </w:r>
      <w:r>
        <w:rPr>
          <w:spacing w:val="-1"/>
        </w:rPr>
        <w:t>日召开第三届董事会第十八次会议审议通过《关于会计政策变更的议案》，本次会计政策变更为修改财务</w:t>
      </w:r>
      <w:r>
        <w:rPr>
          <w:spacing w:val="-83"/>
        </w:rPr>
        <w:t> </w:t>
      </w:r>
      <w:r>
        <w:rPr>
          <w:spacing w:val="-83"/>
        </w:rPr>
      </w:r>
      <w:r>
        <w:rPr>
          <w:spacing w:val="-1"/>
        </w:rPr>
        <w:t>报表列报，对公司当期及前期列报净损益亦无影响，具体内容详见《关于会计政策变更的公告》（公告编</w:t>
      </w:r>
      <w:r>
        <w:rPr>
          <w:spacing w:val="-83"/>
        </w:rPr>
        <w:t> </w:t>
      </w:r>
      <w:r>
        <w:rPr>
          <w:spacing w:val="-83"/>
        </w:rPr>
      </w:r>
      <w:r>
        <w:rPr/>
        <w:t>号：</w:t>
      </w:r>
      <w:r>
        <w:rPr>
          <w:rFonts w:ascii="宋体" w:hAnsi="宋体" w:cs="宋体" w:eastAsia="宋体" w:hint="default"/>
        </w:rPr>
        <w:t>2017-071</w:t>
      </w:r>
      <w:r>
        <w:rPr/>
        <w:t>）。</w:t>
      </w:r>
    </w:p>
    <w:p>
      <w:pPr>
        <w:pStyle w:val="BodyText"/>
        <w:spacing w:line="408" w:lineRule="auto"/>
        <w:ind w:right="1025" w:firstLine="423"/>
        <w:jc w:val="both"/>
      </w:pPr>
      <w:r>
        <w:rPr>
          <w:rFonts w:ascii="宋体" w:hAnsi="宋体" w:cs="宋体" w:eastAsia="宋体" w:hint="default"/>
          <w:spacing w:val="-3"/>
        </w:rPr>
        <w:t>3</w:t>
      </w:r>
      <w:r>
        <w:rPr>
          <w:spacing w:val="-3"/>
        </w:rPr>
        <w:t>、根据财政部《关于修订印发一般企业财务报表格式的通知》（财会</w:t>
      </w:r>
      <w:r>
        <w:rPr>
          <w:rFonts w:ascii="宋体" w:hAnsi="宋体" w:cs="宋体" w:eastAsia="宋体" w:hint="default"/>
          <w:spacing w:val="-3"/>
        </w:rPr>
        <w:t>[2017]30</w:t>
      </w:r>
      <w:r>
        <w:rPr>
          <w:spacing w:val="-3"/>
        </w:rPr>
        <w:t>号）的要求，公司</w:t>
      </w:r>
      <w:r>
        <w:rPr>
          <w:rFonts w:ascii="宋体" w:hAnsi="宋体" w:cs="宋体" w:eastAsia="宋体" w:hint="default"/>
          <w:spacing w:val="-3"/>
        </w:rPr>
        <w:t>2018</w:t>
      </w:r>
      <w:r>
        <w:rPr>
          <w:rFonts w:ascii="宋体" w:hAnsi="宋体" w:cs="宋体" w:eastAsia="宋体" w:hint="default"/>
        </w:rPr>
        <w:t> </w:t>
      </w:r>
      <w:r>
        <w:rPr/>
        <w:t>年</w:t>
      </w:r>
      <w:r>
        <w:rPr>
          <w:rFonts w:ascii="宋体" w:hAnsi="宋体" w:cs="宋体" w:eastAsia="宋体" w:hint="default"/>
        </w:rPr>
        <w:t>4</w:t>
      </w:r>
      <w:r>
        <w:rPr/>
        <w:t>月</w:t>
      </w:r>
      <w:r>
        <w:rPr>
          <w:rFonts w:ascii="宋体" w:hAnsi="宋体" w:cs="宋体" w:eastAsia="宋体" w:hint="default"/>
        </w:rPr>
        <w:t>23</w:t>
      </w:r>
      <w:r>
        <w:rPr/>
        <w:t>日召开第三届董事会第二十次会议审议通过了《关于会计政策变更的议案》，本次会计政策变更</w:t>
      </w:r>
      <w:r>
        <w:rPr>
          <w:spacing w:val="-36"/>
        </w:rPr>
        <w:t> </w:t>
      </w:r>
      <w:r>
        <w:rPr>
          <w:spacing w:val="-36"/>
        </w:rPr>
      </w:r>
      <w:r>
        <w:rPr>
          <w:spacing w:val="-3"/>
        </w:rPr>
        <w:t>为修改财务报表列报，对公司当期及前期列报净损益亦无影响，具体内容详见《关于会计政策变更的公告》</w:t>
      </w:r>
    </w:p>
    <w:p>
      <w:pPr>
        <w:pStyle w:val="BodyText"/>
        <w:spacing w:line="240" w:lineRule="auto"/>
        <w:ind w:right="1121"/>
        <w:jc w:val="left"/>
      </w:pPr>
      <w:r>
        <w:rPr/>
        <w:t>（公告编号：</w:t>
      </w:r>
      <w:r>
        <w:rPr>
          <w:rFonts w:ascii="宋体" w:hAnsi="宋体" w:cs="宋体" w:eastAsia="宋体" w:hint="default"/>
        </w:rPr>
        <w:t>2018-046</w:t>
      </w:r>
      <w:r>
        <w:rPr/>
        <w:t>）。</w:t>
      </w:r>
    </w:p>
    <w:p>
      <w:pPr>
        <w:spacing w:line="240" w:lineRule="auto" w:before="12"/>
        <w:rPr>
          <w:rFonts w:ascii="宋体" w:hAnsi="宋体" w:cs="宋体" w:eastAsia="宋体" w:hint="default"/>
          <w:sz w:val="24"/>
          <w:szCs w:val="24"/>
        </w:rPr>
      </w:pPr>
    </w:p>
    <w:p>
      <w:pPr>
        <w:pStyle w:val="Heading2"/>
        <w:spacing w:line="240" w:lineRule="auto"/>
        <w:ind w:right="1121"/>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pStyle w:val="BodyText"/>
        <w:spacing w:line="408" w:lineRule="auto" w:before="177"/>
        <w:ind w:left="1554" w:right="0" w:hanging="420"/>
        <w:jc w:val="left"/>
      </w:pPr>
      <w:r>
        <w:rPr/>
        <w:t>√ 适用 □</w:t>
      </w:r>
      <w:r>
        <w:rPr>
          <w:spacing w:val="-1"/>
        </w:rPr>
        <w:t> </w:t>
      </w:r>
      <w:r>
        <w:rPr/>
        <w:t>不适用</w:t>
      </w:r>
      <w:r>
        <w:rPr/>
        <w:t> </w:t>
      </w:r>
      <w:r>
        <w:rPr>
          <w:spacing w:val="-3"/>
        </w:rPr>
        <w:t>报告期内，公司参与设立光一数道（北京）科技有限公司，注册资本</w:t>
      </w:r>
      <w:r>
        <w:rPr>
          <w:rFonts w:ascii="宋体" w:hAnsi="宋体" w:cs="宋体" w:eastAsia="宋体" w:hint="default"/>
          <w:spacing w:val="-3"/>
        </w:rPr>
        <w:t>300</w:t>
      </w:r>
      <w:r>
        <w:rPr>
          <w:spacing w:val="-3"/>
        </w:rPr>
        <w:t>万元，公司持有</w:t>
      </w:r>
      <w:r>
        <w:rPr>
          <w:rFonts w:ascii="宋体" w:hAnsi="宋体" w:cs="宋体" w:eastAsia="宋体" w:hint="default"/>
          <w:spacing w:val="-3"/>
        </w:rPr>
        <w:t>70%</w:t>
      </w:r>
      <w:r>
        <w:rPr>
          <w:spacing w:val="-3"/>
        </w:rPr>
        <w:t>出资比例，</w:t>
      </w:r>
    </w:p>
    <w:p>
      <w:pPr>
        <w:spacing w:line="381" w:lineRule="auto" w:before="46"/>
        <w:ind w:left="1133" w:right="6132" w:firstLine="0"/>
        <w:jc w:val="left"/>
        <w:rPr>
          <w:rFonts w:ascii="宋体" w:hAnsi="宋体" w:cs="宋体" w:eastAsia="宋体" w:hint="default"/>
          <w:sz w:val="21"/>
          <w:szCs w:val="21"/>
        </w:rPr>
      </w:pPr>
      <w:r>
        <w:rPr>
          <w:rFonts w:ascii="宋体" w:hAnsi="宋体" w:cs="宋体" w:eastAsia="宋体" w:hint="default"/>
          <w:sz w:val="21"/>
          <w:szCs w:val="21"/>
        </w:rPr>
        <w:t>自成立时纳入公司合并范围。 </w:t>
      </w:r>
      <w:bookmarkStart w:name="八、聘任、解聘会计师事务所情况" w:id="71"/>
      <w:bookmarkEnd w:id="71"/>
      <w:r>
        <w:rPr>
          <w:rFonts w:ascii="宋体" w:hAnsi="宋体" w:cs="宋体" w:eastAsia="宋体" w:hint="default"/>
          <w:sz w:val="21"/>
          <w:szCs w:val="21"/>
        </w:rPr>
      </w:r>
      <w:r>
        <w:rPr>
          <w:rFonts w:ascii="宋体" w:hAnsi="宋体" w:cs="宋体" w:eastAsia="宋体" w:hint="default"/>
          <w:b/>
          <w:bCs/>
          <w:w w:val="95"/>
          <w:sz w:val="24"/>
          <w:szCs w:val="24"/>
        </w:rPr>
        <w:t>八、聘任、解聘会计师事务所情况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1"/>
          <w:szCs w:val="21"/>
        </w:rPr>
        <w:t>现聘任的会计事务所</w:t>
      </w:r>
    </w:p>
    <w:p>
      <w:pPr>
        <w:spacing w:before="16"/>
        <w:ind w:left="0" w:right="1414"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4793"/>
        <w:gridCol w:w="4776"/>
      </w:tblGrid>
      <w:tr>
        <w:trPr>
          <w:trHeight w:val="415" w:hRule="exact"/>
        </w:trPr>
        <w:tc>
          <w:tcPr>
            <w:tcW w:w="47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7" w:hRule="exact"/>
        </w:trPr>
        <w:tc>
          <w:tcPr>
            <w:tcW w:w="4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4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65</w:t>
            </w:r>
          </w:p>
        </w:tc>
      </w:tr>
      <w:tr>
        <w:trPr>
          <w:trHeight w:val="407" w:hRule="exact"/>
        </w:trPr>
        <w:tc>
          <w:tcPr>
            <w:tcW w:w="4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w:t>
            </w:r>
          </w:p>
        </w:tc>
      </w:tr>
      <w:tr>
        <w:trPr>
          <w:trHeight w:val="407" w:hRule="exact"/>
        </w:trPr>
        <w:tc>
          <w:tcPr>
            <w:tcW w:w="47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r>
        <w:trPr>
          <w:trHeight w:val="414" w:hRule="exact"/>
        </w:trPr>
        <w:tc>
          <w:tcPr>
            <w:tcW w:w="47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w:t>
            </w:r>
          </w:p>
        </w:tc>
      </w:tr>
    </w:tbl>
    <w:p>
      <w:pPr>
        <w:pStyle w:val="BodyText"/>
        <w:spacing w:line="240" w:lineRule="auto" w:before="63"/>
        <w:ind w:left="1134" w:right="1121"/>
        <w:jc w:val="left"/>
      </w:pPr>
      <w:r>
        <w:rPr/>
        <w:t>是否改聘会计师事务所</w:t>
      </w:r>
    </w:p>
    <w:p>
      <w:pPr>
        <w:spacing w:line="240" w:lineRule="auto" w:before="10"/>
        <w:rPr>
          <w:rFonts w:ascii="宋体" w:hAnsi="宋体" w:cs="宋体" w:eastAsia="宋体" w:hint="default"/>
          <w:sz w:val="14"/>
          <w:szCs w:val="14"/>
        </w:rPr>
      </w:pPr>
    </w:p>
    <w:p>
      <w:pPr>
        <w:pStyle w:val="BodyText"/>
        <w:spacing w:line="408" w:lineRule="auto" w:before="0"/>
        <w:ind w:right="5503"/>
        <w:jc w:val="left"/>
      </w:pPr>
      <w:r>
        <w:rPr/>
        <w:t>□ 是 √ 否 聘请内部控制审计会计师事务所、财务顾问或保荐人情况</w:t>
      </w:r>
    </w:p>
    <w:p>
      <w:pPr>
        <w:pStyle w:val="BodyText"/>
        <w:spacing w:line="240" w:lineRule="auto"/>
        <w:ind w:right="1121"/>
        <w:jc w:val="left"/>
      </w:pPr>
      <w:r>
        <w:rPr/>
        <w:t>□ 适用 √</w:t>
      </w:r>
      <w:r>
        <w:rPr>
          <w:spacing w:val="-1"/>
        </w:rPr>
        <w:t> </w:t>
      </w:r>
      <w:r>
        <w:rPr/>
        <w:t>不适用</w:t>
      </w:r>
    </w:p>
    <w:p>
      <w:pPr>
        <w:pStyle w:val="Heading2"/>
        <w:spacing w:line="240" w:lineRule="auto" w:before="170"/>
        <w:ind w:right="1121"/>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pStyle w:val="BodyText"/>
        <w:spacing w:line="240" w:lineRule="auto" w:before="177"/>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left="1133" w:right="0"/>
        <w:jc w:val="both"/>
        <w:rPr>
          <w:b w:val="0"/>
          <w:bCs w:val="0"/>
        </w:rPr>
      </w:pPr>
      <w:bookmarkStart w:name="十、破产重整相关事项" w:id="73"/>
      <w:bookmarkEnd w:id="73"/>
      <w:r>
        <w:rPr>
          <w:b w:val="0"/>
          <w:bCs w:val="0"/>
        </w:rPr>
      </w:r>
      <w:r>
        <w:rPr/>
        <w:t>十、破产重整相关事项</w:t>
      </w:r>
      <w:r>
        <w:rPr>
          <w:b w:val="0"/>
          <w:bCs w:val="0"/>
        </w:rPr>
      </w:r>
    </w:p>
    <w:p>
      <w:pPr>
        <w:pStyle w:val="BodyText"/>
        <w:spacing w:line="408" w:lineRule="auto" w:before="177"/>
        <w:ind w:right="7213"/>
        <w:jc w:val="left"/>
        <w:rPr>
          <w:sz w:val="18"/>
          <w:szCs w:val="18"/>
        </w:rPr>
      </w:pPr>
      <w:r>
        <w:rPr/>
        <w:t>□ 适用 √</w:t>
      </w:r>
      <w:r>
        <w:rPr>
          <w:spacing w:val="-1"/>
        </w:rPr>
        <w:t> </w:t>
      </w:r>
      <w:r>
        <w:rPr/>
        <w:t>不适用</w:t>
      </w:r>
      <w:r>
        <w:rPr/>
        <w:t> 公司报告期未发生破产重整相关事项</w:t>
      </w:r>
      <w:r>
        <w:rPr>
          <w:sz w:val="18"/>
          <w:szCs w:val="18"/>
        </w:rPr>
        <w:t>。</w:t>
      </w:r>
    </w:p>
    <w:p>
      <w:pPr>
        <w:pStyle w:val="Heading2"/>
        <w:spacing w:line="240" w:lineRule="auto" w:before="179"/>
        <w:ind w:left="1133" w:right="0"/>
        <w:jc w:val="both"/>
        <w:rPr>
          <w:b w:val="0"/>
          <w:bCs w:val="0"/>
        </w:rPr>
      </w:pPr>
      <w:bookmarkStart w:name="十一、重大诉讼、仲裁事项" w:id="74"/>
      <w:bookmarkEnd w:id="74"/>
      <w:r>
        <w:rPr>
          <w:b w:val="0"/>
          <w:bCs w:val="0"/>
        </w:rPr>
      </w:r>
      <w:r>
        <w:rPr/>
        <w:t>十一、重大诉讼、仲裁事项</w:t>
      </w:r>
      <w:r>
        <w:rPr>
          <w:b w:val="0"/>
          <w:bCs w:val="0"/>
        </w:rPr>
      </w:r>
    </w:p>
    <w:p>
      <w:pPr>
        <w:pStyle w:val="BodyText"/>
        <w:spacing w:line="408" w:lineRule="auto" w:before="177"/>
        <w:ind w:left="1134" w:right="7392"/>
        <w:jc w:val="left"/>
      </w:pPr>
      <w:r>
        <w:rPr/>
        <w:t>□ 适用 √</w:t>
      </w:r>
      <w:r>
        <w:rPr>
          <w:spacing w:val="-1"/>
        </w:rPr>
        <w:t> </w:t>
      </w:r>
      <w:r>
        <w:rPr/>
        <w:t>不适用</w:t>
      </w:r>
      <w:r>
        <w:rPr/>
        <w:t> 本年度公司无重大诉讼、仲裁事项。</w:t>
      </w:r>
    </w:p>
    <w:p>
      <w:pPr>
        <w:pStyle w:val="Heading2"/>
        <w:spacing w:line="240" w:lineRule="auto" w:before="179"/>
        <w:ind w:right="0"/>
        <w:jc w:val="both"/>
        <w:rPr>
          <w:b w:val="0"/>
          <w:bCs w:val="0"/>
        </w:rPr>
      </w:pPr>
      <w:bookmarkStart w:name="十二、处罚及整改情况" w:id="75"/>
      <w:bookmarkEnd w:id="75"/>
      <w:r>
        <w:rPr>
          <w:b w:val="0"/>
          <w:bCs w:val="0"/>
        </w:rPr>
      </w:r>
      <w:r>
        <w:rPr/>
        <w:t>十二、处罚及整改情况</w:t>
      </w:r>
      <w:r>
        <w:rPr>
          <w:b w:val="0"/>
          <w:bCs w:val="0"/>
        </w:rPr>
      </w:r>
    </w:p>
    <w:p>
      <w:pPr>
        <w:pStyle w:val="BodyText"/>
        <w:spacing w:line="408" w:lineRule="auto" w:before="177"/>
        <w:ind w:left="1134" w:right="7392"/>
        <w:jc w:val="left"/>
      </w:pPr>
      <w:r>
        <w:rPr/>
        <w:t>□ 适用 √</w:t>
      </w:r>
      <w:r>
        <w:rPr>
          <w:spacing w:val="-1"/>
        </w:rPr>
        <w:t> </w:t>
      </w:r>
      <w:r>
        <w:rPr/>
        <w:t>不适用</w:t>
      </w:r>
      <w:r>
        <w:rPr/>
        <w:t> 公司报告期不存在处罚及整改情况。</w:t>
      </w:r>
    </w:p>
    <w:p>
      <w:pPr>
        <w:pStyle w:val="Heading2"/>
        <w:spacing w:line="240" w:lineRule="auto" w:before="179"/>
        <w:ind w:right="0"/>
        <w:jc w:val="both"/>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pStyle w:val="BodyText"/>
        <w:spacing w:line="240" w:lineRule="auto" w:before="177"/>
        <w:ind w:left="1134" w:right="0"/>
        <w:jc w:val="both"/>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pStyle w:val="BodyText"/>
        <w:spacing w:line="408" w:lineRule="auto" w:before="177"/>
        <w:ind w:left="1554" w:right="7917" w:hanging="420"/>
        <w:jc w:val="left"/>
      </w:pPr>
      <w:r>
        <w:rPr/>
        <w:t>√ 适用 □</w:t>
      </w:r>
      <w:r>
        <w:rPr>
          <w:spacing w:val="-1"/>
        </w:rPr>
        <w:t> </w:t>
      </w:r>
      <w:r>
        <w:rPr/>
        <w:t>不适用</w:t>
      </w:r>
      <w:r>
        <w:rPr/>
        <w:t> </w:t>
      </w:r>
      <w:r>
        <w:rPr>
          <w:rFonts w:ascii="宋体" w:hAnsi="宋体" w:cs="宋体" w:eastAsia="宋体" w:hint="default"/>
        </w:rPr>
        <w:t>1</w:t>
      </w:r>
      <w:r>
        <w:rPr/>
        <w:t>、股权激励计划实施情况</w:t>
      </w:r>
    </w:p>
    <w:p>
      <w:pPr>
        <w:pStyle w:val="BodyText"/>
        <w:spacing w:line="408" w:lineRule="auto"/>
        <w:ind w:left="1134" w:right="0" w:firstLine="420"/>
        <w:jc w:val="left"/>
      </w:pPr>
      <w:r>
        <w:rPr>
          <w:spacing w:val="-3"/>
        </w:rPr>
        <w:t>公司于</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12</w:t>
      </w:r>
      <w:r>
        <w:rPr>
          <w:spacing w:val="-3"/>
        </w:rPr>
        <w:t>日召开第三届董事会第十六次会议和第三届监事会第十一次会议，审议通过了《关</w:t>
      </w:r>
      <w:r>
        <w:rPr/>
        <w:t> </w:t>
      </w:r>
      <w:r>
        <w:rPr>
          <w:spacing w:val="-8"/>
        </w:rPr>
        <w:t>于公司限制性股票激励计划第一个解锁期可解锁的议案》、《关于调整限制性股票数量及回购价格的议案》、</w:t>
      </w:r>
    </w:p>
    <w:p>
      <w:pPr>
        <w:pStyle w:val="BodyText"/>
        <w:spacing w:line="408" w:lineRule="auto"/>
        <w:ind w:right="1109"/>
        <w:jc w:val="both"/>
      </w:pPr>
      <w:r>
        <w:rPr/>
        <w:t>《关于回购注销部分限制性股票的议案》，同意公司向符合解锁条件的激励对象共计</w:t>
      </w:r>
      <w:r>
        <w:rPr>
          <w:rFonts w:ascii="宋体" w:hAnsi="宋体" w:cs="宋体" w:eastAsia="宋体" w:hint="default"/>
        </w:rPr>
        <w:t>79</w:t>
      </w:r>
      <w:r>
        <w:rPr/>
        <w:t>人办理股份解锁， </w:t>
      </w:r>
      <w:r>
        <w:rPr>
          <w:spacing w:val="-1"/>
        </w:rPr>
        <w:t>第一个解锁期可解锁的限制性股票数量为</w:t>
      </w:r>
      <w:r>
        <w:rPr>
          <w:rFonts w:ascii="宋体" w:hAnsi="宋体" w:cs="宋体" w:eastAsia="宋体" w:hint="default"/>
          <w:spacing w:val="-1"/>
        </w:rPr>
        <w:t>485</w:t>
      </w:r>
      <w:r>
        <w:rPr>
          <w:spacing w:val="-1"/>
        </w:rPr>
        <w:t>万股，上述股份已于</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22</w:t>
      </w:r>
      <w:r>
        <w:rPr>
          <w:spacing w:val="-1"/>
        </w:rPr>
        <w:t>日上市流通；对首期授予限</w:t>
      </w:r>
      <w:r>
        <w:rPr>
          <w:spacing w:val="-81"/>
        </w:rPr>
        <w:t> </w:t>
      </w:r>
      <w:r>
        <w:rPr>
          <w:spacing w:val="-81"/>
        </w:rPr>
      </w:r>
      <w:r>
        <w:rPr>
          <w:spacing w:val="-1"/>
        </w:rPr>
        <w:t>制性股票的数量及回购价格进行调整，即首期授予数量由</w:t>
      </w:r>
      <w:r>
        <w:rPr>
          <w:rFonts w:ascii="宋体" w:hAnsi="宋体" w:cs="宋体" w:eastAsia="宋体" w:hint="default"/>
          <w:spacing w:val="-1"/>
        </w:rPr>
        <w:t>490</w:t>
      </w:r>
      <w:r>
        <w:rPr>
          <w:spacing w:val="-1"/>
        </w:rPr>
        <w:t>万股调整为</w:t>
      </w:r>
      <w:r>
        <w:rPr>
          <w:rFonts w:ascii="宋体" w:hAnsi="宋体" w:cs="宋体" w:eastAsia="宋体" w:hint="default"/>
          <w:spacing w:val="-1"/>
        </w:rPr>
        <w:t>1,225</w:t>
      </w:r>
      <w:r>
        <w:rPr>
          <w:spacing w:val="-1"/>
        </w:rPr>
        <w:t>万股，回购价格由</w:t>
      </w:r>
      <w:r>
        <w:rPr>
          <w:rFonts w:ascii="宋体" w:hAnsi="宋体" w:cs="宋体" w:eastAsia="宋体" w:hint="default"/>
          <w:spacing w:val="-1"/>
        </w:rPr>
        <w:t>19.48</w:t>
      </w:r>
      <w:r>
        <w:rPr>
          <w:spacing w:val="-1"/>
        </w:rPr>
        <w:t>元</w:t>
      </w:r>
      <w:r>
        <w:rPr>
          <w:rFonts w:ascii="宋体" w:hAnsi="宋体" w:cs="宋体" w:eastAsia="宋体" w:hint="default"/>
          <w:spacing w:val="-1"/>
        </w:rPr>
        <w:t>/</w:t>
      </w:r>
      <w:r>
        <w:rPr>
          <w:rFonts w:ascii="宋体" w:hAnsi="宋体" w:cs="宋体" w:eastAsia="宋体" w:hint="default"/>
          <w:spacing w:val="-77"/>
        </w:rPr>
        <w:t> </w:t>
      </w:r>
      <w:r>
        <w:rPr/>
        <w:t>股调整为</w:t>
      </w:r>
      <w:r>
        <w:rPr>
          <w:rFonts w:ascii="宋体" w:hAnsi="宋体" w:cs="宋体" w:eastAsia="宋体" w:hint="default"/>
        </w:rPr>
        <w:t>7.78</w:t>
      </w:r>
      <w:r>
        <w:rPr/>
        <w:t>元</w:t>
      </w:r>
      <w:r>
        <w:rPr>
          <w:rFonts w:ascii="宋体" w:hAnsi="宋体" w:cs="宋体" w:eastAsia="宋体" w:hint="default"/>
        </w:rPr>
        <w:t>/</w:t>
      </w:r>
      <w:r>
        <w:rPr/>
        <w:t>股；同时，对因个人原因离职的</w:t>
      </w:r>
      <w:r>
        <w:rPr>
          <w:rFonts w:ascii="宋体" w:hAnsi="宋体" w:cs="宋体" w:eastAsia="宋体" w:hint="default"/>
        </w:rPr>
        <w:t>4</w:t>
      </w:r>
      <w:r>
        <w:rPr/>
        <w:t>名激励对象已授予尚未解锁的限制性股票合计</w:t>
      </w:r>
      <w:r>
        <w:rPr>
          <w:rFonts w:ascii="宋体" w:hAnsi="宋体" w:cs="宋体" w:eastAsia="宋体" w:hint="default"/>
        </w:rPr>
        <w:t>45.50</w:t>
      </w:r>
      <w:r>
        <w:rPr/>
        <w:t>万</w:t>
      </w:r>
      <w:r>
        <w:rPr>
          <w:spacing w:val="-27"/>
        </w:rPr>
        <w:t> </w:t>
      </w:r>
      <w:r>
        <w:rPr/>
        <w:t>股予以回购注销，已于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日在中国证券登记结算有限责任公司深圳分公司完成注销手续，具体</w:t>
      </w:r>
      <w:r>
        <w:rPr>
          <w:spacing w:val="-32"/>
        </w:rPr>
        <w:t> </w:t>
      </w:r>
      <w:r>
        <w:rPr>
          <w:spacing w:val="-32"/>
        </w:rPr>
      </w:r>
      <w:r>
        <w:rPr/>
        <w:t>内容详见公告</w:t>
      </w:r>
      <w:r>
        <w:rPr>
          <w:rFonts w:ascii="宋体" w:hAnsi="宋体" w:cs="宋体" w:eastAsia="宋体" w:hint="default"/>
        </w:rPr>
        <w:t>2017-049</w:t>
      </w:r>
      <w:r>
        <w:rPr/>
        <w:t>、</w:t>
      </w:r>
      <w:r>
        <w:rPr>
          <w:rFonts w:ascii="宋体" w:hAnsi="宋体" w:cs="宋体" w:eastAsia="宋体" w:hint="default"/>
        </w:rPr>
        <w:t>2017-050</w:t>
      </w:r>
      <w:r>
        <w:rPr/>
        <w:t>、</w:t>
      </w:r>
      <w:r>
        <w:rPr>
          <w:rFonts w:ascii="宋体" w:hAnsi="宋体" w:cs="宋体" w:eastAsia="宋体" w:hint="default"/>
        </w:rPr>
        <w:t>2017-051</w:t>
      </w:r>
      <w:r>
        <w:rPr/>
        <w:t>、</w:t>
      </w:r>
      <w:r>
        <w:rPr>
          <w:rFonts w:ascii="宋体" w:hAnsi="宋体" w:cs="宋体" w:eastAsia="宋体" w:hint="default"/>
        </w:rPr>
        <w:t>2017-054</w:t>
      </w:r>
      <w:r>
        <w:rPr/>
        <w:t>、</w:t>
      </w:r>
      <w:r>
        <w:rPr>
          <w:rFonts w:ascii="宋体" w:hAnsi="宋体" w:cs="宋体" w:eastAsia="宋体" w:hint="default"/>
        </w:rPr>
        <w:t>2017-063</w:t>
      </w:r>
      <w:r>
        <w:rPr/>
        <w:t>。</w:t>
      </w:r>
    </w:p>
    <w:p>
      <w:pPr>
        <w:pStyle w:val="BodyText"/>
        <w:spacing w:line="240" w:lineRule="auto"/>
        <w:ind w:left="1553" w:right="1121"/>
        <w:jc w:val="left"/>
      </w:pPr>
      <w:r>
        <w:rPr>
          <w:rFonts w:ascii="宋体" w:hAnsi="宋体" w:cs="宋体" w:eastAsia="宋体" w:hint="default"/>
        </w:rPr>
        <w:t>2</w:t>
      </w:r>
      <w:r>
        <w:rPr/>
        <w:t>、员工持股计划实施情况</w:t>
      </w:r>
    </w:p>
    <w:p>
      <w:pPr>
        <w:spacing w:line="240" w:lineRule="auto" w:before="10"/>
        <w:rPr>
          <w:rFonts w:ascii="宋体" w:hAnsi="宋体" w:cs="宋体" w:eastAsia="宋体" w:hint="default"/>
          <w:sz w:val="14"/>
          <w:szCs w:val="14"/>
        </w:rPr>
      </w:pPr>
    </w:p>
    <w:p>
      <w:pPr>
        <w:pStyle w:val="BodyText"/>
        <w:spacing w:line="408" w:lineRule="auto" w:before="0"/>
        <w:ind w:right="1093" w:firstLine="420"/>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3</w:t>
      </w:r>
      <w:r>
        <w:rPr/>
        <w:t>日，公司披露了《关于第一期员工持股计划存续期展期的公告》（公告编号</w:t>
      </w:r>
      <w:r>
        <w:rPr>
          <w:rFonts w:ascii="宋体" w:hAnsi="宋体" w:cs="宋体" w:eastAsia="宋体" w:hint="default"/>
        </w:rPr>
        <w:t>2017-040</w:t>
      </w:r>
      <w:r>
        <w:rPr/>
        <w:t>）， 经第三届董事会第十三次会议审议，同意公司第一期员工持股计划存续期延长至</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w:t>
      </w:r>
    </w:p>
    <w:p>
      <w:pPr>
        <w:pStyle w:val="BodyText"/>
        <w:spacing w:line="240" w:lineRule="auto"/>
        <w:ind w:left="1554" w:right="0"/>
        <w:jc w:val="left"/>
      </w:pPr>
      <w:r>
        <w:rPr>
          <w:rFonts w:ascii="宋体" w:hAnsi="宋体" w:cs="宋体" w:eastAsia="宋体" w:hint="default"/>
          <w:spacing w:val="6"/>
        </w:rPr>
        <w:t>2017</w:t>
      </w:r>
      <w:r>
        <w:rPr>
          <w:spacing w:val="6"/>
        </w:rPr>
        <w:t>年</w:t>
      </w:r>
      <w:r>
        <w:rPr>
          <w:rFonts w:ascii="宋体" w:hAnsi="宋体" w:cs="宋体" w:eastAsia="宋体" w:hint="default"/>
          <w:spacing w:val="6"/>
        </w:rPr>
        <w:t>9</w:t>
      </w:r>
      <w:r>
        <w:rPr>
          <w:spacing w:val="6"/>
        </w:rPr>
        <w:t>月</w:t>
      </w:r>
      <w:r>
        <w:rPr>
          <w:rFonts w:ascii="宋体" w:hAnsi="宋体" w:cs="宋体" w:eastAsia="宋体" w:hint="default"/>
          <w:spacing w:val="6"/>
        </w:rPr>
        <w:t>21</w:t>
      </w:r>
      <w:r>
        <w:rPr>
          <w:spacing w:val="6"/>
        </w:rPr>
        <w:t>日，公司披露了《关于第一期员工持股计划出售完毕暨计划终止的公告》（公告编号</w:t>
      </w:r>
      <w:r>
        <w:rPr/>
      </w:r>
    </w:p>
    <w:p>
      <w:pPr>
        <w:spacing w:line="240" w:lineRule="auto" w:before="10"/>
        <w:rPr>
          <w:rFonts w:ascii="宋体" w:hAnsi="宋体" w:cs="宋体" w:eastAsia="宋体" w:hint="default"/>
          <w:sz w:val="14"/>
          <w:szCs w:val="14"/>
        </w:rPr>
      </w:pPr>
    </w:p>
    <w:p>
      <w:pPr>
        <w:pStyle w:val="BodyText"/>
        <w:spacing w:line="240" w:lineRule="auto" w:before="0"/>
        <w:ind w:left="1134" w:right="0"/>
        <w:jc w:val="both"/>
      </w:pPr>
      <w:r>
        <w:rPr>
          <w:rFonts w:ascii="宋体" w:hAnsi="宋体" w:cs="宋体" w:eastAsia="宋体" w:hint="default"/>
        </w:rPr>
        <w:t>2017-066</w:t>
      </w:r>
      <w:r>
        <w:rPr/>
        <w:t>），公司第一期员工持股计划已实施完毕并终止。</w:t>
      </w:r>
    </w:p>
    <w:p>
      <w:pPr>
        <w:spacing w:after="0" w:line="240"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left="1133" w:right="1121"/>
        <w:jc w:val="left"/>
        <w:rPr>
          <w:b w:val="0"/>
          <w:bCs w:val="0"/>
        </w:rPr>
      </w:pPr>
      <w:bookmarkStart w:name="十五、重大关联交易" w:id="78"/>
      <w:bookmarkEnd w:id="78"/>
      <w:r>
        <w:rPr>
          <w:b w:val="0"/>
          <w:bCs w:val="0"/>
        </w:rPr>
      </w:r>
      <w:r>
        <w:rPr/>
        <w:t>十五、重大关联交易</w:t>
      </w:r>
      <w:r>
        <w:rPr>
          <w:b w:val="0"/>
          <w:bCs w:val="0"/>
        </w:rPr>
      </w:r>
    </w:p>
    <w:p>
      <w:pPr>
        <w:pStyle w:val="Heading4"/>
        <w:spacing w:line="240" w:lineRule="auto" w:before="177"/>
        <w:ind w:left="1133" w:right="1121"/>
        <w:jc w:val="left"/>
        <w:rPr>
          <w:b w:val="0"/>
          <w:bCs w:val="0"/>
        </w:rPr>
      </w:pPr>
      <w:bookmarkStart w:name="1、与日常经营相关的关联交易" w:id="79"/>
      <w:bookmarkEnd w:id="79"/>
      <w:r>
        <w:rPr>
          <w:b w:val="0"/>
          <w:bCs w:val="0"/>
        </w:rPr>
      </w:r>
      <w:r>
        <w:rPr>
          <w:rFonts w:ascii="宋体" w:hAnsi="宋体" w:cs="宋体" w:eastAsia="宋体" w:hint="default"/>
        </w:rPr>
        <w:t>1</w:t>
      </w:r>
      <w:r>
        <w:rPr/>
        <w:t>、与日常经营相关的关联交易</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634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公司报告期未发生与日常经营相关的关联交易。 </w:t>
      </w:r>
      <w:bookmarkStart w:name="2、资产或股权收购、出售发生的关联交易" w:id="80"/>
      <w:bookmarkEnd w:id="80"/>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408" w:lineRule="auto" w:before="46"/>
        <w:ind w:left="1134" w:right="571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公司报告期未发生资产或股权收购、出售的关联交易。 </w:t>
      </w:r>
      <w:bookmarkStart w:name="3、共同对外投资的关联交易" w:id="81"/>
      <w:bookmarkEnd w:id="81"/>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408" w:lineRule="auto" w:before="46"/>
        <w:ind w:left="1134" w:right="655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公司报告期未发生共同对外投资的关联交易。 </w:t>
      </w:r>
      <w:bookmarkStart w:name="4、关联债权债务往来" w:id="82"/>
      <w:bookmarkEnd w:id="82"/>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408" w:lineRule="auto" w:before="46"/>
        <w:ind w:left="1134" w:right="718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公司报告期不存在关联债权债务往来。 </w:t>
      </w:r>
      <w:bookmarkStart w:name="5、其他重大关联交易" w:id="83"/>
      <w:bookmarkEnd w:id="83"/>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pStyle w:val="BodyText"/>
        <w:spacing w:line="408" w:lineRule="auto"/>
        <w:ind w:left="1554" w:right="1121" w:hanging="420"/>
        <w:jc w:val="left"/>
      </w:pPr>
      <w:r>
        <w:rPr/>
        <w:t>√ 适用 □</w:t>
      </w:r>
      <w:r>
        <w:rPr>
          <w:spacing w:val="-1"/>
        </w:rPr>
        <w:t> </w:t>
      </w:r>
      <w:r>
        <w:rPr/>
        <w:t>不适用</w:t>
      </w:r>
      <w:r>
        <w:rPr/>
        <w:t> </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spacing w:val="-1"/>
        </w:rPr>
        <w:t>日，经公司第三届董事会第十八次会议审议通过，全资子公司光一贵仁与控股股东光一</w:t>
      </w:r>
    </w:p>
    <w:p>
      <w:pPr>
        <w:pStyle w:val="BodyText"/>
        <w:spacing w:line="408" w:lineRule="auto"/>
        <w:ind w:right="1130"/>
        <w:jc w:val="both"/>
      </w:pPr>
      <w:r>
        <w:rPr/>
        <w:t>投资、东证融汇证券资产管理有限公司（代表“东证融汇明珠</w:t>
      </w:r>
      <w:r>
        <w:rPr>
          <w:rFonts w:ascii="宋体" w:hAnsi="宋体" w:cs="宋体" w:eastAsia="宋体" w:hint="default"/>
        </w:rPr>
        <w:t>551</w:t>
      </w:r>
      <w:r>
        <w:rPr/>
        <w:t>号定向资产管理计划”共同出资成立南</w:t>
      </w:r>
      <w:r>
        <w:rPr>
          <w:spacing w:val="-29"/>
        </w:rPr>
        <w:t> </w:t>
      </w:r>
      <w:r>
        <w:rPr>
          <w:spacing w:val="-29"/>
        </w:rPr>
      </w:r>
      <w:r>
        <w:rPr>
          <w:spacing w:val="-1"/>
        </w:rPr>
        <w:t>京捷尼瑞科技产业投资合伙企业（有限合伙），基金总规模为</w:t>
      </w:r>
      <w:r>
        <w:rPr>
          <w:rFonts w:ascii="宋体" w:hAnsi="宋体" w:cs="宋体" w:eastAsia="宋体" w:hint="default"/>
          <w:spacing w:val="-1"/>
        </w:rPr>
        <w:t>32,300</w:t>
      </w:r>
      <w:r>
        <w:rPr>
          <w:spacing w:val="-1"/>
        </w:rPr>
        <w:t>万元，其中：光一贵仁作为普通合伙</w:t>
      </w:r>
      <w:r>
        <w:rPr>
          <w:spacing w:val="-80"/>
        </w:rPr>
        <w:t> </w:t>
      </w:r>
      <w:r>
        <w:rPr>
          <w:spacing w:val="-80"/>
        </w:rPr>
      </w:r>
      <w:r>
        <w:rPr>
          <w:spacing w:val="3"/>
        </w:rPr>
        <w:t>人出资</w:t>
      </w:r>
      <w:r>
        <w:rPr>
          <w:rFonts w:ascii="宋体" w:hAnsi="宋体" w:cs="宋体" w:eastAsia="宋体" w:hint="default"/>
          <w:spacing w:val="3"/>
        </w:rPr>
        <w:t>300</w:t>
      </w:r>
      <w:r>
        <w:rPr>
          <w:spacing w:val="3"/>
        </w:rPr>
        <w:t>万元，光一投资作为劣后级有限合伙人出资</w:t>
      </w:r>
      <w:r>
        <w:rPr>
          <w:rFonts w:ascii="宋体" w:hAnsi="宋体" w:cs="宋体" w:eastAsia="宋体" w:hint="default"/>
          <w:spacing w:val="3"/>
        </w:rPr>
        <w:t>9,500</w:t>
      </w:r>
      <w:r>
        <w:rPr>
          <w:spacing w:val="3"/>
        </w:rPr>
        <w:t>万元，东证资管作为优先级有限合伙人出资</w:t>
      </w:r>
      <w:r>
        <w:rPr>
          <w:spacing w:val="-90"/>
        </w:rPr>
        <w:t> </w:t>
      </w:r>
      <w:r>
        <w:rPr>
          <w:spacing w:val="-90"/>
        </w:rPr>
      </w:r>
      <w:r>
        <w:rPr>
          <w:rFonts w:ascii="宋体" w:hAnsi="宋体" w:cs="宋体" w:eastAsia="宋体" w:hint="default"/>
          <w:spacing w:val="-1"/>
        </w:rPr>
        <w:t>22,500</w:t>
      </w:r>
      <w:r>
        <w:rPr>
          <w:spacing w:val="-1"/>
        </w:rPr>
        <w:t>万元。同时，为保证基金募集工作顺利开展，在合伙企业存续期间，公司与实际控制人龙昌明先生</w:t>
      </w:r>
      <w:r>
        <w:rPr>
          <w:spacing w:val="-83"/>
        </w:rPr>
        <w:t> </w:t>
      </w:r>
      <w:r>
        <w:rPr>
          <w:spacing w:val="-83"/>
        </w:rPr>
      </w:r>
      <w:r>
        <w:rPr>
          <w:spacing w:val="-1"/>
        </w:rPr>
        <w:t>在风险可控的前提下共同为光一投资向优先级合伙人差额补足及远期回购事项提供担保，具体内容详见公</w:t>
      </w:r>
      <w:r>
        <w:rPr>
          <w:spacing w:val="-82"/>
        </w:rPr>
        <w:t> </w:t>
      </w:r>
      <w:r>
        <w:rPr>
          <w:spacing w:val="-82"/>
        </w:rPr>
      </w:r>
      <w:r>
        <w:rPr/>
        <w:t>告</w:t>
      </w:r>
      <w:r>
        <w:rPr>
          <w:rFonts w:ascii="宋体" w:hAnsi="宋体" w:cs="宋体" w:eastAsia="宋体" w:hint="default"/>
        </w:rPr>
        <w:t>2017-072</w:t>
      </w:r>
      <w:r>
        <w:rPr/>
        <w:t>、</w:t>
      </w:r>
      <w:r>
        <w:rPr>
          <w:rFonts w:ascii="宋体" w:hAnsi="宋体" w:cs="宋体" w:eastAsia="宋体" w:hint="default"/>
        </w:rPr>
        <w:t>2017-073</w:t>
      </w:r>
      <w:r>
        <w:rPr/>
        <w:t>。</w:t>
      </w:r>
    </w:p>
    <w:p>
      <w:pPr>
        <w:pStyle w:val="BodyText"/>
        <w:spacing w:line="240" w:lineRule="auto"/>
        <w:ind w:left="1134" w:right="1121"/>
        <w:jc w:val="left"/>
      </w:pPr>
      <w:r>
        <w:rPr/>
        <w:t>重大关联交易临时报告披露网站相关查询</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4963"/>
        <w:gridCol w:w="2127"/>
        <w:gridCol w:w="2479"/>
      </w:tblGrid>
      <w:tr>
        <w:trPr>
          <w:trHeight w:val="419" w:hRule="exact"/>
        </w:trPr>
        <w:tc>
          <w:tcPr>
            <w:tcW w:w="496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47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19" w:hRule="exact"/>
        </w:trPr>
        <w:tc>
          <w:tcPr>
            <w:tcW w:w="49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52"/>
              <w:jc w:val="center"/>
              <w:rPr>
                <w:rFonts w:ascii="宋体" w:hAnsi="宋体" w:cs="宋体" w:eastAsia="宋体" w:hint="default"/>
                <w:sz w:val="18"/>
                <w:szCs w:val="18"/>
              </w:rPr>
            </w:pPr>
            <w:r>
              <w:rPr>
                <w:rFonts w:ascii="宋体" w:hAnsi="宋体" w:cs="宋体" w:eastAsia="宋体" w:hint="default"/>
                <w:sz w:val="18"/>
                <w:szCs w:val="18"/>
              </w:rPr>
              <w:t>《关于全资子公司参与设立产业投资基金暨关联交易的公告》</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31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0"/>
        <w:rPr>
          <w:rFonts w:ascii="宋体" w:hAnsi="宋体" w:cs="宋体" w:eastAsia="宋体" w:hint="default"/>
          <w:sz w:val="13"/>
          <w:szCs w:val="13"/>
        </w:rPr>
      </w:pPr>
    </w:p>
    <w:p>
      <w:pPr>
        <w:pStyle w:val="Heading2"/>
        <w:spacing w:line="240" w:lineRule="auto" w:before="26"/>
        <w:ind w:right="1121"/>
        <w:jc w:val="left"/>
        <w:rPr>
          <w:b w:val="0"/>
          <w:bCs w:val="0"/>
        </w:rPr>
      </w:pPr>
      <w:bookmarkStart w:name="十六、重大合同及其履行情况" w:id="84"/>
      <w:bookmarkEnd w:id="84"/>
      <w:r>
        <w:rPr>
          <w:b w:val="0"/>
          <w:bCs w:val="0"/>
        </w:rPr>
      </w:r>
      <w:r>
        <w:rPr/>
        <w:t>十六、重大合同及其履行情况</w:t>
      </w:r>
      <w:r>
        <w:rPr>
          <w:b w:val="0"/>
          <w:bCs w:val="0"/>
        </w:rPr>
      </w:r>
    </w:p>
    <w:p>
      <w:pPr>
        <w:pStyle w:val="Heading4"/>
        <w:spacing w:line="240" w:lineRule="auto" w:before="177"/>
        <w:ind w:left="1133" w:right="1121"/>
        <w:jc w:val="left"/>
        <w:rPr>
          <w:b w:val="0"/>
          <w:bCs w:val="0"/>
        </w:rPr>
      </w:pPr>
      <w:bookmarkStart w:name="1、托管、承包、租赁事项情况" w:id="85"/>
      <w:bookmarkEnd w:id="85"/>
      <w:r>
        <w:rPr>
          <w:b w:val="0"/>
          <w:bCs w:val="0"/>
        </w:rPr>
      </w:r>
      <w:r>
        <w:rPr>
          <w:rFonts w:ascii="宋体" w:hAnsi="宋体" w:cs="宋体" w:eastAsia="宋体" w:hint="default"/>
        </w:rPr>
        <w:t>1</w:t>
      </w:r>
      <w:r>
        <w:rPr/>
        <w:t>、托管、承包、租赁事项情况</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133" w:right="1121"/>
        <w:jc w:val="left"/>
        <w:rPr>
          <w:b w:val="0"/>
          <w:bCs w:val="0"/>
        </w:rPr>
      </w:pPr>
      <w:bookmarkStart w:name="（1）托管情况" w:id="86"/>
      <w:bookmarkEnd w:id="86"/>
      <w:r>
        <w:rPr>
          <w:b w:val="0"/>
          <w:bCs w:val="0"/>
        </w:rPr>
      </w:r>
      <w:r>
        <w:rPr/>
        <w:t>（</w:t>
      </w:r>
      <w:r>
        <w:rPr>
          <w:rFonts w:ascii="宋体" w:hAnsi="宋体" w:cs="宋体" w:eastAsia="宋体" w:hint="default"/>
        </w:rPr>
        <w:t>1</w:t>
      </w:r>
      <w:r>
        <w:rPr/>
        <w:t>）托管情况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r>
        <w:rPr/>
        <w:pict>
          <v:shape style="position:absolute;margin-left:392.679993pt;margin-top:587.025635pt;width:150.7pt;height:12.3pt;mso-position-horizontal-relative:page;mso-position-vertical-relative:page;z-index:-109475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8.920013pt;margin-top:591.519958pt;width:144.450pt;height:7.8pt;mso-position-horizontal-relative:page;mso-position-vertical-relative:page;z-index:-1094728" coordorigin="7978,11830" coordsize="2889,156">
            <v:shape style="position:absolute;left:7978;top:11830;width:2889;height:156" coordorigin="7978,11830" coordsize="2889,156" path="m7978,11986l10867,11986,10867,11830,7978,11830,7978,11986xe" filled="true" fillcolor="#ffffff" stroked="false">
              <v:path arrowok="t"/>
              <v:fill type="solid"/>
            </v:shape>
            <w10:wrap type="none"/>
          </v:group>
        </w:pict>
      </w: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公司报告期不存在托管情况。</w:t>
      </w:r>
    </w:p>
    <w:p>
      <w:pPr>
        <w:spacing w:line="240" w:lineRule="auto" w:before="10"/>
        <w:rPr>
          <w:rFonts w:ascii="宋体" w:hAnsi="宋体" w:cs="宋体" w:eastAsia="宋体" w:hint="default"/>
          <w:sz w:val="14"/>
          <w:szCs w:val="14"/>
        </w:rPr>
      </w:pPr>
    </w:p>
    <w:p>
      <w:pPr>
        <w:pStyle w:val="Heading4"/>
        <w:spacing w:line="240" w:lineRule="auto"/>
        <w:ind w:left="1133" w:right="1121"/>
        <w:jc w:val="left"/>
        <w:rPr>
          <w:b w:val="0"/>
          <w:bCs w:val="0"/>
        </w:rPr>
      </w:pPr>
      <w:bookmarkStart w:name="（2）承包情况" w:id="87"/>
      <w:bookmarkEnd w:id="87"/>
      <w:r>
        <w:rPr>
          <w:b w:val="0"/>
          <w:bCs w:val="0"/>
        </w:rPr>
      </w:r>
      <w:r>
        <w:rPr/>
        <w:t>（</w:t>
      </w:r>
      <w:r>
        <w:rPr>
          <w:rFonts w:ascii="宋体" w:hAnsi="宋体" w:cs="宋体" w:eastAsia="宋体" w:hint="default"/>
        </w:rPr>
        <w:t>2</w:t>
      </w:r>
      <w:r>
        <w:rPr/>
        <w:t>）承包情况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4" w:right="8022"/>
        <w:jc w:val="left"/>
      </w:pPr>
      <w:r>
        <w:rPr/>
        <w:t>□ 适用 √</w:t>
      </w:r>
      <w:r>
        <w:rPr>
          <w:spacing w:val="-1"/>
        </w:rPr>
        <w:t> </w:t>
      </w:r>
      <w:r>
        <w:rPr/>
        <w:t>不适用</w:t>
      </w:r>
      <w:r>
        <w:rPr/>
        <w:t> 公司报告期不存在承包情况。</w:t>
      </w:r>
    </w:p>
    <w:p>
      <w:pPr>
        <w:pStyle w:val="Heading4"/>
        <w:spacing w:line="240" w:lineRule="auto" w:before="46"/>
        <w:ind w:right="1121"/>
        <w:jc w:val="left"/>
        <w:rPr>
          <w:b w:val="0"/>
          <w:bCs w:val="0"/>
        </w:rPr>
      </w:pPr>
      <w:bookmarkStart w:name="（3）租赁情况" w:id="88"/>
      <w:bookmarkEnd w:id="88"/>
      <w:r>
        <w:rPr>
          <w:b w:val="0"/>
          <w:bCs w:val="0"/>
        </w:rPr>
      </w:r>
      <w:r>
        <w:rPr/>
        <w:t>（</w:t>
      </w:r>
      <w:r>
        <w:rPr>
          <w:rFonts w:ascii="宋体" w:hAnsi="宋体" w:cs="宋体" w:eastAsia="宋体" w:hint="default"/>
        </w:rPr>
        <w:t>3</w:t>
      </w:r>
      <w:r>
        <w:rPr/>
        <w:t>）租赁情况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4" w:right="8022"/>
        <w:jc w:val="left"/>
        <w:rPr>
          <w:rFonts w:ascii="宋体" w:hAnsi="宋体" w:cs="宋体" w:eastAsia="宋体" w:hint="default"/>
        </w:rPr>
      </w:pPr>
      <w:r>
        <w:rPr/>
        <w:t>□ 适用 √</w:t>
      </w:r>
      <w:r>
        <w:rPr>
          <w:spacing w:val="-1"/>
        </w:rPr>
        <w:t> </w:t>
      </w:r>
      <w:r>
        <w:rPr/>
        <w:t>不适用</w:t>
      </w:r>
      <w:r>
        <w:rPr/>
        <w:t> 公司报告期不存在租赁情况。 </w:t>
      </w:r>
      <w:bookmarkStart w:name="2、重大担保" w:id="89"/>
      <w:bookmarkEnd w:id="89"/>
      <w:r>
        <w:rPr/>
      </w:r>
      <w:r>
        <w:rPr>
          <w:rFonts w:ascii="宋体" w:hAnsi="宋体" w:cs="宋体" w:eastAsia="宋体" w:hint="default"/>
          <w:b/>
          <w:bCs/>
        </w:rPr>
        <w:t>2</w:t>
      </w:r>
      <w:r>
        <w:rPr>
          <w:rFonts w:ascii="宋体" w:hAnsi="宋体" w:cs="宋体" w:eastAsia="宋体" w:hint="default"/>
          <w:b/>
          <w:bCs/>
        </w:rPr>
        <w:t>、重大担保</w:t>
      </w:r>
      <w:r>
        <w:rPr>
          <w:rFonts w:ascii="宋体" w:hAnsi="宋体" w:cs="宋体" w:eastAsia="宋体" w:hint="default"/>
        </w:rPr>
      </w:r>
    </w:p>
    <w:p>
      <w:pPr>
        <w:pStyle w:val="BodyText"/>
        <w:spacing w:line="376" w:lineRule="auto"/>
        <w:ind w:left="1134" w:right="8022"/>
        <w:jc w:val="left"/>
      </w:pPr>
      <w:r>
        <w:rPr/>
        <w:t>√ 适用 □</w:t>
      </w:r>
      <w:r>
        <w:rPr>
          <w:spacing w:val="-1"/>
        </w:rPr>
        <w:t> </w:t>
      </w:r>
      <w:r>
        <w:rPr/>
        <w:t>不适用</w:t>
      </w:r>
      <w:r>
        <w:rPr/>
        <w:t> 公司报告期不存在担保情况。</w:t>
      </w:r>
    </w:p>
    <w:p>
      <w:pPr>
        <w:pStyle w:val="Heading4"/>
        <w:spacing w:line="240" w:lineRule="auto" w:before="35"/>
        <w:ind w:right="1121"/>
        <w:jc w:val="left"/>
        <w:rPr>
          <w:b w:val="0"/>
          <w:bCs w:val="0"/>
        </w:rPr>
      </w:pPr>
      <w:bookmarkStart w:name="（1） 担保情况" w:id="90"/>
      <w:bookmarkEnd w:id="90"/>
      <w:r>
        <w:rPr>
          <w:b w:val="0"/>
          <w:bCs w:val="0"/>
        </w:rPr>
      </w:r>
      <w:r>
        <w:rPr/>
        <w:t>（</w:t>
      </w:r>
      <w:r>
        <w:rPr>
          <w:rFonts w:ascii="宋体" w:hAnsi="宋体" w:cs="宋体" w:eastAsia="宋体" w:hint="default"/>
        </w:rPr>
        <w:t>1</w:t>
      </w:r>
      <w:r>
        <w:rPr/>
        <w:t>）</w:t>
      </w:r>
      <w:r>
        <w:rPr>
          <w:spacing w:val="86"/>
        </w:rPr>
        <w:t> </w:t>
      </w:r>
      <w:r>
        <w:rPr/>
        <w:t>担保情况</w:t>
      </w:r>
      <w:r>
        <w:rPr>
          <w:b w:val="0"/>
          <w:bCs w:val="0"/>
        </w:rPr>
      </w:r>
    </w:p>
    <w:p>
      <w:pPr>
        <w:spacing w:line="240" w:lineRule="auto" w:before="6"/>
        <w:rPr>
          <w:rFonts w:ascii="宋体" w:hAnsi="宋体" w:cs="宋体" w:eastAsia="宋体" w:hint="default"/>
          <w:b/>
          <w:bCs/>
          <w:sz w:val="10"/>
          <w:szCs w:val="10"/>
        </w:rPr>
      </w:pPr>
    </w:p>
    <w:p>
      <w:pPr>
        <w:spacing w:before="44"/>
        <w:ind w:left="0" w:right="140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08" w:type="dxa"/>
        <w:tblLayout w:type="fixed"/>
        <w:tblCellMar>
          <w:top w:w="0" w:type="dxa"/>
          <w:left w:w="0" w:type="dxa"/>
          <w:bottom w:w="0" w:type="dxa"/>
          <w:right w:w="0" w:type="dxa"/>
        </w:tblCellMar>
        <w:tblLook w:val="01E0"/>
      </w:tblPr>
      <w:tblGrid>
        <w:gridCol w:w="1419"/>
        <w:gridCol w:w="575"/>
        <w:gridCol w:w="926"/>
        <w:gridCol w:w="924"/>
        <w:gridCol w:w="1545"/>
        <w:gridCol w:w="815"/>
        <w:gridCol w:w="745"/>
        <w:gridCol w:w="1338"/>
        <w:gridCol w:w="792"/>
        <w:gridCol w:w="779"/>
      </w:tblGrid>
      <w:tr>
        <w:trPr>
          <w:trHeight w:val="334" w:hRule="exact"/>
        </w:trPr>
        <w:tc>
          <w:tcPr>
            <w:tcW w:w="9859" w:type="dxa"/>
            <w:gridSpan w:val="10"/>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10"/>
              <w:ind w:left="2665"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640" w:hRule="exact"/>
        </w:trPr>
        <w:tc>
          <w:tcPr>
            <w:tcW w:w="1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0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384" w:right="2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left="22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8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219" w:right="3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7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184" w:right="185"/>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3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209"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1"/>
              <w:ind w:left="22" w:right="1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511"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4" w:right="120"/>
              <w:jc w:val="left"/>
              <w:rPr>
                <w:rFonts w:ascii="宋体" w:hAnsi="宋体" w:cs="宋体" w:eastAsia="宋体" w:hint="default"/>
                <w:sz w:val="18"/>
                <w:szCs w:val="18"/>
              </w:rPr>
            </w:pPr>
            <w:r>
              <w:rPr>
                <w:rFonts w:ascii="宋体" w:hAnsi="宋体" w:cs="宋体" w:eastAsia="宋体" w:hint="default"/>
                <w:sz w:val="18"/>
                <w:szCs w:val="18"/>
              </w:rPr>
              <w:t>江苏光一投资管 理有限责任公司</w:t>
            </w:r>
          </w:p>
        </w:tc>
        <w:tc>
          <w:tcPr>
            <w:tcW w:w="1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21</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8"/>
              <w:jc w:val="right"/>
              <w:rPr>
                <w:rFonts w:ascii="宋体" w:hAnsi="宋体" w:cs="宋体" w:eastAsia="宋体" w:hint="default"/>
                <w:sz w:val="18"/>
                <w:szCs w:val="18"/>
              </w:rPr>
            </w:pPr>
            <w:r>
              <w:rPr>
                <w:rFonts w:ascii="宋体"/>
                <w:sz w:val="18"/>
              </w:rPr>
              <w:t>28,800</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宋体" w:hAnsi="宋体" w:cs="宋体" w:eastAsia="宋体" w:hint="default"/>
                <w:sz w:val="18"/>
                <w:szCs w:val="18"/>
              </w:rPr>
            </w:pPr>
            <w:r>
              <w:rPr>
                <w:rFonts w:ascii="宋体"/>
                <w:sz w:val="18"/>
              </w:rPr>
              <w:t>28,800</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0"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0" w:right="41"/>
              <w:jc w:val="both"/>
              <w:rPr>
                <w:rFonts w:ascii="宋体" w:hAnsi="宋体" w:cs="宋体" w:eastAsia="宋体" w:hint="default"/>
                <w:sz w:val="18"/>
                <w:szCs w:val="18"/>
              </w:rPr>
            </w:pPr>
            <w:r>
              <w:rPr>
                <w:rFonts w:ascii="宋体" w:hAnsi="宋体" w:cs="宋体" w:eastAsia="宋体" w:hint="default"/>
                <w:sz w:val="18"/>
                <w:szCs w:val="18"/>
              </w:rPr>
              <w:t>南京捷尼瑞科技 产业投资合伙企 业（有限合伙） 成立之日起至回 购协议项下光一 投资应履行回购 义务之日起的</w:t>
            </w:r>
            <w:r>
              <w:rPr>
                <w:rFonts w:ascii="宋体" w:hAnsi="宋体" w:cs="宋体" w:eastAsia="宋体" w:hint="default"/>
                <w:spacing w:val="-46"/>
                <w:sz w:val="18"/>
                <w:szCs w:val="18"/>
              </w:rPr>
              <w:t> </w:t>
            </w:r>
            <w:r>
              <w:rPr>
                <w:rFonts w:ascii="宋体" w:hAnsi="宋体" w:cs="宋体" w:eastAsia="宋体" w:hint="default"/>
                <w:sz w:val="18"/>
                <w:szCs w:val="18"/>
              </w:rPr>
              <w:t>2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4" w:hRule="exact"/>
        </w:trPr>
        <w:tc>
          <w:tcPr>
            <w:tcW w:w="2921" w:type="dxa"/>
            <w:gridSpan w:val="3"/>
            <w:tcBorders>
              <w:top w:val="single" w:sz="6" w:space="0" w:color="000000"/>
              <w:left w:val="single" w:sz="12" w:space="0" w:color="000000"/>
              <w:bottom w:val="nil" w:sz="6" w:space="0" w:color="auto"/>
              <w:right w:val="single" w:sz="6" w:space="0" w:color="000000"/>
            </w:tcBorders>
            <w:shd w:val="clear" w:color="auto" w:fill="D2D2D2"/>
          </w:tcPr>
          <w:p>
            <w:pPr/>
          </w:p>
        </w:tc>
        <w:tc>
          <w:tcPr>
            <w:tcW w:w="2469" w:type="dxa"/>
            <w:gridSpan w:val="2"/>
            <w:vMerge w:val="restart"/>
            <w:tcBorders>
              <w:top w:val="single" w:sz="6" w:space="0" w:color="000000"/>
              <w:left w:val="single" w:sz="8" w:space="0" w:color="D2D2D2"/>
              <w:right w:val="single" w:sz="9" w:space="0" w:color="D2D2D2"/>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4"/>
              <w:jc w:val="right"/>
              <w:rPr>
                <w:rFonts w:ascii="宋体" w:hAnsi="宋体" w:cs="宋体" w:eastAsia="宋体" w:hint="default"/>
                <w:sz w:val="18"/>
                <w:szCs w:val="18"/>
              </w:rPr>
            </w:pPr>
            <w:r>
              <w:rPr>
                <w:rFonts w:ascii="宋体"/>
                <w:sz w:val="18"/>
              </w:rPr>
              <w:t>28,800</w:t>
            </w:r>
          </w:p>
        </w:tc>
        <w:tc>
          <w:tcPr>
            <w:tcW w:w="156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1"/>
              <w:ind w:left="20" w:right="83"/>
              <w:jc w:val="left"/>
              <w:rPr>
                <w:rFonts w:ascii="宋体" w:hAnsi="宋体" w:cs="宋体" w:eastAsia="宋体" w:hint="default"/>
                <w:sz w:val="18"/>
                <w:szCs w:val="18"/>
              </w:rPr>
            </w:pPr>
            <w:r>
              <w:rPr>
                <w:rFonts w:ascii="宋体" w:hAnsi="宋体" w:cs="宋体" w:eastAsia="宋体" w:hint="default"/>
                <w:sz w:val="18"/>
                <w:szCs w:val="18"/>
              </w:rPr>
              <w:t>报告期内对外担保 实际发生额合计</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A2</w:t>
            </w:r>
            <w:r>
              <w:rPr>
                <w:rFonts w:ascii="宋体" w:hAnsi="宋体" w:cs="宋体" w:eastAsia="宋体" w:hint="default"/>
                <w:sz w:val="18"/>
                <w:szCs w:val="18"/>
              </w:rPr>
              <w:t>）</w:t>
            </w:r>
          </w:p>
        </w:tc>
        <w:tc>
          <w:tcPr>
            <w:tcW w:w="2910" w:type="dxa"/>
            <w:gridSpan w:val="3"/>
            <w:vMerge w:val="restart"/>
            <w:tcBorders>
              <w:top w:val="single" w:sz="6" w:space="0" w:color="000000"/>
              <w:left w:val="single" w:sz="14" w:space="0" w:color="D2D2D2"/>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28,800</w:t>
            </w:r>
          </w:p>
        </w:tc>
      </w:tr>
      <w:tr>
        <w:trPr>
          <w:trHeight w:val="624" w:hRule="exact"/>
        </w:trPr>
        <w:tc>
          <w:tcPr>
            <w:tcW w:w="2921" w:type="dxa"/>
            <w:gridSpan w:val="3"/>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w:t>
            </w:r>
            <w:r>
              <w:rPr>
                <w:rFonts w:ascii="宋体" w:hAnsi="宋体" w:cs="宋体" w:eastAsia="宋体" w:hint="default"/>
                <w:sz w:val="18"/>
                <w:szCs w:val="18"/>
              </w:rPr>
              <w:t>）</w:t>
            </w:r>
          </w:p>
        </w:tc>
        <w:tc>
          <w:tcPr>
            <w:tcW w:w="2469" w:type="dxa"/>
            <w:gridSpan w:val="2"/>
            <w:vMerge/>
            <w:tcBorders>
              <w:left w:val="single" w:sz="8" w:space="0" w:color="D2D2D2"/>
              <w:right w:val="single" w:sz="9" w:space="0" w:color="D2D2D2"/>
            </w:tcBorders>
          </w:tcPr>
          <w:p>
            <w:pPr/>
          </w:p>
        </w:tc>
        <w:tc>
          <w:tcPr>
            <w:tcW w:w="1560" w:type="dxa"/>
            <w:gridSpan w:val="2"/>
            <w:vMerge/>
            <w:tcBorders>
              <w:left w:val="single" w:sz="6" w:space="0" w:color="000000"/>
              <w:right w:val="single" w:sz="6" w:space="0" w:color="000000"/>
            </w:tcBorders>
            <w:shd w:val="clear" w:color="auto" w:fill="D2D2D2"/>
          </w:tcPr>
          <w:p>
            <w:pPr/>
          </w:p>
        </w:tc>
        <w:tc>
          <w:tcPr>
            <w:tcW w:w="2910" w:type="dxa"/>
            <w:gridSpan w:val="3"/>
            <w:vMerge/>
            <w:tcBorders>
              <w:left w:val="single" w:sz="14" w:space="0" w:color="D2D2D2"/>
              <w:right w:val="single" w:sz="12" w:space="0" w:color="000000"/>
            </w:tcBorders>
          </w:tcPr>
          <w:p>
            <w:pPr/>
          </w:p>
        </w:tc>
      </w:tr>
      <w:tr>
        <w:trPr>
          <w:trHeight w:val="164" w:hRule="exact"/>
        </w:trPr>
        <w:tc>
          <w:tcPr>
            <w:tcW w:w="2921" w:type="dxa"/>
            <w:gridSpan w:val="3"/>
            <w:tcBorders>
              <w:top w:val="nil" w:sz="6" w:space="0" w:color="auto"/>
              <w:left w:val="single" w:sz="12" w:space="0" w:color="000000"/>
              <w:bottom w:val="single" w:sz="6" w:space="0" w:color="000000"/>
              <w:right w:val="single" w:sz="6" w:space="0" w:color="000000"/>
            </w:tcBorders>
            <w:shd w:val="clear" w:color="auto" w:fill="D2D2D2"/>
          </w:tcPr>
          <w:p>
            <w:pPr/>
          </w:p>
        </w:tc>
        <w:tc>
          <w:tcPr>
            <w:tcW w:w="2469" w:type="dxa"/>
            <w:gridSpan w:val="2"/>
            <w:vMerge/>
            <w:tcBorders>
              <w:left w:val="single" w:sz="8" w:space="0" w:color="D2D2D2"/>
              <w:bottom w:val="single" w:sz="6" w:space="0" w:color="000000"/>
              <w:right w:val="single" w:sz="9" w:space="0" w:color="D2D2D2"/>
            </w:tcBorders>
          </w:tcPr>
          <w:p>
            <w:pPr/>
          </w:p>
        </w:tc>
        <w:tc>
          <w:tcPr>
            <w:tcW w:w="1560" w:type="dxa"/>
            <w:gridSpan w:val="2"/>
            <w:vMerge/>
            <w:tcBorders>
              <w:left w:val="single" w:sz="6" w:space="0" w:color="000000"/>
              <w:bottom w:val="single" w:sz="6" w:space="0" w:color="000000"/>
              <w:right w:val="single" w:sz="6" w:space="0" w:color="000000"/>
            </w:tcBorders>
            <w:shd w:val="clear" w:color="auto" w:fill="D2D2D2"/>
          </w:tcPr>
          <w:p>
            <w:pPr/>
          </w:p>
        </w:tc>
        <w:tc>
          <w:tcPr>
            <w:tcW w:w="2910" w:type="dxa"/>
            <w:gridSpan w:val="3"/>
            <w:vMerge/>
            <w:tcBorders>
              <w:left w:val="single" w:sz="14" w:space="0" w:color="D2D2D2"/>
              <w:bottom w:val="single" w:sz="6" w:space="0" w:color="000000"/>
              <w:right w:val="single" w:sz="12" w:space="0" w:color="000000"/>
            </w:tcBorders>
          </w:tcPr>
          <w:p>
            <w:pPr/>
          </w:p>
        </w:tc>
      </w:tr>
      <w:tr>
        <w:trPr>
          <w:trHeight w:val="646" w:hRule="exact"/>
        </w:trPr>
        <w:tc>
          <w:tcPr>
            <w:tcW w:w="2921"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4" w:right="18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 计（</w:t>
            </w:r>
            <w:r>
              <w:rPr>
                <w:rFonts w:ascii="宋体" w:hAnsi="宋体" w:cs="宋体" w:eastAsia="宋体" w:hint="default"/>
                <w:sz w:val="18"/>
                <w:szCs w:val="18"/>
              </w:rPr>
              <w:t>A3</w:t>
            </w:r>
            <w:r>
              <w:rPr>
                <w:rFonts w:ascii="宋体" w:hAnsi="宋体" w:cs="宋体" w:eastAsia="宋体" w:hint="default"/>
                <w:sz w:val="18"/>
                <w:szCs w:val="18"/>
              </w:rPr>
              <w:t>）</w:t>
            </w:r>
          </w:p>
        </w:tc>
        <w:tc>
          <w:tcPr>
            <w:tcW w:w="2469" w:type="dxa"/>
            <w:gridSpan w:val="2"/>
            <w:tcBorders>
              <w:top w:val="single" w:sz="6" w:space="0" w:color="000000"/>
              <w:left w:val="single" w:sz="14" w:space="0" w:color="D2D2D2"/>
              <w:bottom w:val="single" w:sz="6" w:space="0" w:color="000000"/>
              <w:right w:val="single" w:sz="9" w:space="0" w:color="D2D2D2"/>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sz w:val="18"/>
              </w:rPr>
              <w:t>28,800</w:t>
            </w:r>
          </w:p>
        </w:tc>
        <w:tc>
          <w:tcPr>
            <w:tcW w:w="1560" w:type="dxa"/>
            <w:gridSpan w:val="2"/>
            <w:tcBorders>
              <w:top w:val="single" w:sz="6" w:space="0" w:color="000000"/>
              <w:left w:val="single" w:sz="6" w:space="0" w:color="000000"/>
              <w:bottom w:val="single" w:sz="6" w:space="0" w:color="000000"/>
              <w:right w:val="single" w:sz="9" w:space="0" w:color="FFFFFF"/>
            </w:tcBorders>
            <w:shd w:val="clear" w:color="auto" w:fill="D2D2D2"/>
          </w:tcPr>
          <w:p>
            <w:pPr>
              <w:pStyle w:val="TableParagraph"/>
              <w:spacing w:line="316" w:lineRule="auto" w:before="10"/>
              <w:ind w:left="20" w:right="79"/>
              <w:jc w:val="left"/>
              <w:rPr>
                <w:rFonts w:ascii="宋体" w:hAnsi="宋体" w:cs="宋体" w:eastAsia="宋体" w:hint="default"/>
                <w:sz w:val="18"/>
                <w:szCs w:val="18"/>
              </w:rPr>
            </w:pPr>
            <w:r>
              <w:rPr>
                <w:rFonts w:ascii="宋体" w:hAnsi="宋体" w:cs="宋体" w:eastAsia="宋体" w:hint="default"/>
                <w:sz w:val="18"/>
                <w:szCs w:val="18"/>
              </w:rPr>
              <w:t>报告期末实际对外 </w:t>
            </w:r>
            <w:r>
              <w:rPr>
                <w:rFonts w:ascii="宋体" w:hAnsi="宋体" w:cs="宋体" w:eastAsia="宋体" w:hint="default"/>
                <w:spacing w:val="-3"/>
                <w:sz w:val="18"/>
                <w:szCs w:val="18"/>
              </w:rPr>
              <w:t>担保余额合计（</w:t>
            </w:r>
            <w:r>
              <w:rPr>
                <w:rFonts w:ascii="宋体" w:hAnsi="宋体" w:cs="宋体" w:eastAsia="宋体" w:hint="default"/>
                <w:spacing w:val="-3"/>
                <w:sz w:val="18"/>
                <w:szCs w:val="18"/>
              </w:rPr>
              <w:t>A4</w:t>
            </w:r>
          </w:p>
        </w:tc>
        <w:tc>
          <w:tcPr>
            <w:tcW w:w="1338" w:type="dxa"/>
            <w:tcBorders>
              <w:top w:val="single" w:sz="6" w:space="0" w:color="000000"/>
              <w:left w:val="single" w:sz="23" w:space="0" w:color="FFFFFF"/>
              <w:bottom w:val="single" w:sz="6" w:space="0" w:color="000000"/>
              <w:right w:val="nil" w:sz="6" w:space="0" w:color="auto"/>
            </w:tcBorders>
          </w:tcPr>
          <w:p>
            <w:pPr/>
          </w:p>
        </w:tc>
        <w:tc>
          <w:tcPr>
            <w:tcW w:w="792" w:type="dxa"/>
            <w:tcBorders>
              <w:top w:val="single" w:sz="6" w:space="0" w:color="000000"/>
              <w:left w:val="nil" w:sz="6" w:space="0" w:color="auto"/>
              <w:bottom w:val="single" w:sz="6" w:space="0" w:color="000000"/>
              <w:right w:val="nil" w:sz="6" w:space="0" w:color="auto"/>
            </w:tcBorders>
          </w:tcPr>
          <w:p>
            <w:pPr/>
          </w:p>
        </w:tc>
        <w:tc>
          <w:tcPr>
            <w:tcW w:w="779" w:type="dxa"/>
            <w:tcBorders>
              <w:top w:val="single" w:sz="6" w:space="0" w:color="000000"/>
              <w:left w:val="nil" w:sz="6" w:space="0" w:color="auto"/>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sz w:val="18"/>
              </w:rPr>
              <w:t>28,800</w:t>
            </w:r>
          </w:p>
        </w:tc>
      </w:tr>
      <w:tr>
        <w:trPr>
          <w:trHeight w:val="320" w:hRule="exact"/>
        </w:trPr>
        <w:tc>
          <w:tcPr>
            <w:tcW w:w="9859" w:type="dxa"/>
            <w:gridSpan w:val="10"/>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3" w:hRule="exact"/>
        </w:trPr>
        <w:tc>
          <w:tcPr>
            <w:tcW w:w="1994" w:type="dxa"/>
            <w:gridSpan w:val="2"/>
            <w:vMerge w:val="restart"/>
            <w:tcBorders>
              <w:top w:val="single" w:sz="6" w:space="0" w:color="000000"/>
              <w:left w:val="single" w:sz="12" w:space="0" w:color="000000"/>
              <w:right w:val="single" w:sz="6" w:space="0" w:color="000000"/>
            </w:tcBorders>
            <w:shd w:val="clear" w:color="auto" w:fill="D2D2D2"/>
          </w:tcPr>
          <w:p>
            <w:pPr/>
          </w:p>
        </w:tc>
        <w:tc>
          <w:tcPr>
            <w:tcW w:w="92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94"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6" w:space="0" w:color="000000"/>
              <w:left w:val="single" w:sz="6" w:space="0" w:color="000000"/>
              <w:right w:val="single" w:sz="6" w:space="0" w:color="000000"/>
            </w:tcBorders>
            <w:shd w:val="clear" w:color="auto" w:fill="D2D2D2"/>
          </w:tcPr>
          <w:p>
            <w:pPr/>
          </w:p>
        </w:tc>
        <w:tc>
          <w:tcPr>
            <w:tcW w:w="1545" w:type="dxa"/>
            <w:tcBorders>
              <w:top w:val="single" w:sz="6" w:space="0" w:color="000000"/>
              <w:left w:val="single" w:sz="6" w:space="0" w:color="000000"/>
              <w:bottom w:val="nil" w:sz="6" w:space="0" w:color="auto"/>
              <w:right w:val="single" w:sz="6" w:space="0" w:color="000000"/>
            </w:tcBorders>
            <w:shd w:val="clear" w:color="auto" w:fill="D2D2D2"/>
          </w:tcPr>
          <w:p>
            <w:pPr/>
          </w:p>
        </w:tc>
        <w:tc>
          <w:tcPr>
            <w:tcW w:w="815" w:type="dxa"/>
            <w:tcBorders>
              <w:top w:val="single" w:sz="6" w:space="0" w:color="000000"/>
              <w:left w:val="single" w:sz="6" w:space="0" w:color="000000"/>
              <w:bottom w:val="nil" w:sz="6" w:space="0" w:color="auto"/>
              <w:right w:val="single" w:sz="6" w:space="0" w:color="000000"/>
            </w:tcBorders>
            <w:shd w:val="clear" w:color="auto" w:fill="D2D2D2"/>
          </w:tcPr>
          <w:p>
            <w:pPr/>
          </w:p>
        </w:tc>
        <w:tc>
          <w:tcPr>
            <w:tcW w:w="745" w:type="dxa"/>
            <w:tcBorders>
              <w:top w:val="single" w:sz="6" w:space="0" w:color="000000"/>
              <w:left w:val="single" w:sz="6" w:space="0" w:color="000000"/>
              <w:bottom w:val="nil" w:sz="6" w:space="0" w:color="auto"/>
              <w:right w:val="single" w:sz="6" w:space="0" w:color="000000"/>
            </w:tcBorders>
            <w:shd w:val="clear" w:color="auto" w:fill="D2D2D2"/>
          </w:tcPr>
          <w:p>
            <w:pPr/>
          </w:p>
        </w:tc>
        <w:tc>
          <w:tcPr>
            <w:tcW w:w="1338" w:type="dxa"/>
            <w:vMerge w:val="restart"/>
            <w:tcBorders>
              <w:top w:val="single" w:sz="6" w:space="0" w:color="000000"/>
              <w:left w:val="single" w:sz="6" w:space="0" w:color="000000"/>
              <w:right w:val="single" w:sz="6" w:space="0" w:color="000000"/>
            </w:tcBorders>
            <w:shd w:val="clear" w:color="auto" w:fill="D2D2D2"/>
          </w:tcPr>
          <w:p>
            <w:pPr/>
          </w:p>
        </w:tc>
        <w:tc>
          <w:tcPr>
            <w:tcW w:w="792" w:type="dxa"/>
            <w:tcBorders>
              <w:top w:val="single" w:sz="6" w:space="0" w:color="000000"/>
              <w:left w:val="single" w:sz="6" w:space="0" w:color="000000"/>
              <w:bottom w:val="nil" w:sz="6" w:space="0" w:color="auto"/>
              <w:right w:val="single" w:sz="6" w:space="0" w:color="000000"/>
            </w:tcBorders>
            <w:shd w:val="clear" w:color="auto" w:fill="D2D2D2"/>
          </w:tcPr>
          <w:p>
            <w:pPr/>
          </w:p>
        </w:tc>
        <w:tc>
          <w:tcPr>
            <w:tcW w:w="779"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56" w:hRule="exact"/>
        </w:trPr>
        <w:tc>
          <w:tcPr>
            <w:tcW w:w="1994" w:type="dxa"/>
            <w:gridSpan w:val="2"/>
            <w:vMerge/>
            <w:tcBorders>
              <w:left w:val="single" w:sz="12" w:space="0" w:color="000000"/>
              <w:bottom w:val="nil" w:sz="6" w:space="0" w:color="auto"/>
              <w:right w:val="single" w:sz="6" w:space="0" w:color="000000"/>
            </w:tcBorders>
            <w:shd w:val="clear" w:color="auto" w:fill="D2D2D2"/>
          </w:tcPr>
          <w:p>
            <w:pPr/>
          </w:p>
        </w:tc>
        <w:tc>
          <w:tcPr>
            <w:tcW w:w="926" w:type="dxa"/>
            <w:vMerge/>
            <w:tcBorders>
              <w:left w:val="single" w:sz="6" w:space="0" w:color="000000"/>
              <w:right w:val="single" w:sz="6" w:space="0" w:color="000000"/>
            </w:tcBorders>
            <w:shd w:val="clear" w:color="auto" w:fill="D2D2D2"/>
          </w:tcPr>
          <w:p>
            <w:pPr/>
          </w:p>
        </w:tc>
        <w:tc>
          <w:tcPr>
            <w:tcW w:w="924" w:type="dxa"/>
            <w:vMerge/>
            <w:tcBorders>
              <w:left w:val="single" w:sz="6" w:space="0" w:color="000000"/>
              <w:bottom w:val="nil" w:sz="6" w:space="0" w:color="auto"/>
              <w:right w:val="single" w:sz="6" w:space="0" w:color="000000"/>
            </w:tcBorders>
            <w:shd w:val="clear" w:color="auto" w:fill="D2D2D2"/>
          </w:tcPr>
          <w:p>
            <w:pPr/>
          </w:p>
        </w:tc>
        <w:tc>
          <w:tcPr>
            <w:tcW w:w="154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22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81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219" w:right="3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74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274" w:right="95"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1338" w:type="dxa"/>
            <w:vMerge/>
            <w:tcBorders>
              <w:left w:val="single" w:sz="6" w:space="0" w:color="000000"/>
              <w:bottom w:val="nil" w:sz="6" w:space="0" w:color="auto"/>
              <w:right w:val="single" w:sz="6" w:space="0" w:color="000000"/>
            </w:tcBorders>
            <w:shd w:val="clear" w:color="auto" w:fill="D2D2D2"/>
          </w:tcPr>
          <w:p>
            <w:pPr/>
          </w:p>
        </w:tc>
        <w:tc>
          <w:tcPr>
            <w:tcW w:w="792"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206"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6" w:space="0" w:color="000000"/>
              <w:right w:val="single" w:sz="12" w:space="0" w:color="000000"/>
            </w:tcBorders>
            <w:shd w:val="clear" w:color="auto" w:fill="D2D2D2"/>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2" w:hRule="exact"/>
        </w:trPr>
        <w:tc>
          <w:tcPr>
            <w:tcW w:w="1994"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vMerge/>
            <w:tcBorders>
              <w:left w:val="single" w:sz="6" w:space="0" w:color="000000"/>
              <w:right w:val="single" w:sz="6" w:space="0" w:color="000000"/>
            </w:tcBorders>
            <w:shd w:val="clear" w:color="auto" w:fill="D2D2D2"/>
          </w:tcPr>
          <w:p>
            <w:pPr/>
          </w:p>
        </w:tc>
        <w:tc>
          <w:tcPr>
            <w:tcW w:w="92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5" w:type="dxa"/>
            <w:vMerge/>
            <w:tcBorders>
              <w:left w:val="single" w:sz="6" w:space="0" w:color="000000"/>
              <w:right w:val="single" w:sz="6" w:space="0" w:color="000000"/>
            </w:tcBorders>
            <w:shd w:val="clear" w:color="auto" w:fill="D2D2D2"/>
          </w:tcPr>
          <w:p>
            <w:pPr/>
          </w:p>
        </w:tc>
        <w:tc>
          <w:tcPr>
            <w:tcW w:w="815" w:type="dxa"/>
            <w:vMerge/>
            <w:tcBorders>
              <w:left w:val="single" w:sz="6" w:space="0" w:color="000000"/>
              <w:right w:val="single" w:sz="6" w:space="0" w:color="000000"/>
            </w:tcBorders>
            <w:shd w:val="clear" w:color="auto" w:fill="D2D2D2"/>
          </w:tcPr>
          <w:p>
            <w:pPr/>
          </w:p>
        </w:tc>
        <w:tc>
          <w:tcPr>
            <w:tcW w:w="745" w:type="dxa"/>
            <w:vMerge/>
            <w:tcBorders>
              <w:left w:val="single" w:sz="6" w:space="0" w:color="000000"/>
              <w:right w:val="single" w:sz="6" w:space="0" w:color="000000"/>
            </w:tcBorders>
            <w:shd w:val="clear" w:color="auto" w:fill="D2D2D2"/>
          </w:tcPr>
          <w:p>
            <w:pPr/>
          </w:p>
        </w:tc>
        <w:tc>
          <w:tcPr>
            <w:tcW w:w="133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6" w:space="0" w:color="000000"/>
              <w:right w:val="single" w:sz="6" w:space="0" w:color="000000"/>
            </w:tcBorders>
            <w:shd w:val="clear" w:color="auto" w:fill="D2D2D2"/>
          </w:tcPr>
          <w:p>
            <w:pPr/>
          </w:p>
        </w:tc>
        <w:tc>
          <w:tcPr>
            <w:tcW w:w="779" w:type="dxa"/>
            <w:vMerge/>
            <w:tcBorders>
              <w:left w:val="single" w:sz="6" w:space="0" w:color="000000"/>
              <w:right w:val="single" w:sz="12" w:space="0" w:color="000000"/>
            </w:tcBorders>
            <w:shd w:val="clear" w:color="auto" w:fill="D2D2D2"/>
          </w:tcPr>
          <w:p>
            <w:pPr/>
          </w:p>
        </w:tc>
      </w:tr>
      <w:tr>
        <w:trPr>
          <w:trHeight w:val="156" w:hRule="exact"/>
        </w:trPr>
        <w:tc>
          <w:tcPr>
            <w:tcW w:w="1994" w:type="dxa"/>
            <w:gridSpan w:val="2"/>
            <w:vMerge w:val="restart"/>
            <w:tcBorders>
              <w:top w:val="nil" w:sz="6" w:space="0" w:color="auto"/>
              <w:left w:val="single" w:sz="12" w:space="0" w:color="000000"/>
              <w:right w:val="single" w:sz="6" w:space="0" w:color="000000"/>
            </w:tcBorders>
            <w:shd w:val="clear" w:color="auto" w:fill="D2D2D2"/>
          </w:tcPr>
          <w:p>
            <w:pPr/>
          </w:p>
        </w:tc>
        <w:tc>
          <w:tcPr>
            <w:tcW w:w="926" w:type="dxa"/>
            <w:vMerge/>
            <w:tcBorders>
              <w:left w:val="single" w:sz="6" w:space="0" w:color="000000"/>
              <w:right w:val="single" w:sz="6" w:space="0" w:color="000000"/>
            </w:tcBorders>
            <w:shd w:val="clear" w:color="auto" w:fill="D2D2D2"/>
          </w:tcPr>
          <w:p>
            <w:pPr/>
          </w:p>
        </w:tc>
        <w:tc>
          <w:tcPr>
            <w:tcW w:w="924" w:type="dxa"/>
            <w:vMerge w:val="restart"/>
            <w:tcBorders>
              <w:top w:val="nil" w:sz="6" w:space="0" w:color="auto"/>
              <w:left w:val="single" w:sz="6" w:space="0" w:color="000000"/>
              <w:right w:val="single" w:sz="6" w:space="0" w:color="000000"/>
            </w:tcBorders>
            <w:shd w:val="clear" w:color="auto" w:fill="D2D2D2"/>
          </w:tcPr>
          <w:p>
            <w:pPr/>
          </w:p>
        </w:tc>
        <w:tc>
          <w:tcPr>
            <w:tcW w:w="1545" w:type="dxa"/>
            <w:vMerge/>
            <w:tcBorders>
              <w:left w:val="single" w:sz="6" w:space="0" w:color="000000"/>
              <w:bottom w:val="nil" w:sz="6" w:space="0" w:color="auto"/>
              <w:right w:val="single" w:sz="6" w:space="0" w:color="000000"/>
            </w:tcBorders>
            <w:shd w:val="clear" w:color="auto" w:fill="D2D2D2"/>
          </w:tcPr>
          <w:p>
            <w:pPr/>
          </w:p>
        </w:tc>
        <w:tc>
          <w:tcPr>
            <w:tcW w:w="815" w:type="dxa"/>
            <w:vMerge/>
            <w:tcBorders>
              <w:left w:val="single" w:sz="6" w:space="0" w:color="000000"/>
              <w:bottom w:val="nil" w:sz="6" w:space="0" w:color="auto"/>
              <w:right w:val="single" w:sz="6" w:space="0" w:color="000000"/>
            </w:tcBorders>
            <w:shd w:val="clear" w:color="auto" w:fill="D2D2D2"/>
          </w:tcPr>
          <w:p>
            <w:pPr/>
          </w:p>
        </w:tc>
        <w:tc>
          <w:tcPr>
            <w:tcW w:w="745" w:type="dxa"/>
            <w:vMerge/>
            <w:tcBorders>
              <w:left w:val="single" w:sz="6" w:space="0" w:color="000000"/>
              <w:bottom w:val="nil" w:sz="6" w:space="0" w:color="auto"/>
              <w:right w:val="single" w:sz="6" w:space="0" w:color="000000"/>
            </w:tcBorders>
            <w:shd w:val="clear" w:color="auto" w:fill="D2D2D2"/>
          </w:tcPr>
          <w:p>
            <w:pPr/>
          </w:p>
        </w:tc>
        <w:tc>
          <w:tcPr>
            <w:tcW w:w="1338" w:type="dxa"/>
            <w:vMerge w:val="restart"/>
            <w:tcBorders>
              <w:top w:val="nil" w:sz="6" w:space="0" w:color="auto"/>
              <w:left w:val="single" w:sz="6" w:space="0" w:color="000000"/>
              <w:right w:val="single" w:sz="6" w:space="0" w:color="000000"/>
            </w:tcBorders>
            <w:shd w:val="clear" w:color="auto" w:fill="D2D2D2"/>
          </w:tcPr>
          <w:p>
            <w:pPr/>
          </w:p>
        </w:tc>
        <w:tc>
          <w:tcPr>
            <w:tcW w:w="792" w:type="dxa"/>
            <w:vMerge/>
            <w:tcBorders>
              <w:left w:val="single" w:sz="6" w:space="0" w:color="000000"/>
              <w:bottom w:val="nil" w:sz="6" w:space="0" w:color="auto"/>
              <w:right w:val="single" w:sz="6" w:space="0" w:color="000000"/>
            </w:tcBorders>
            <w:shd w:val="clear" w:color="auto" w:fill="D2D2D2"/>
          </w:tcPr>
          <w:p>
            <w:pPr/>
          </w:p>
        </w:tc>
        <w:tc>
          <w:tcPr>
            <w:tcW w:w="779"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1994" w:type="dxa"/>
            <w:gridSpan w:val="2"/>
            <w:vMerge/>
            <w:tcBorders>
              <w:left w:val="single" w:sz="12" w:space="0" w:color="000000"/>
              <w:bottom w:val="single" w:sz="6" w:space="0" w:color="000000"/>
              <w:right w:val="single" w:sz="6" w:space="0" w:color="000000"/>
            </w:tcBorders>
            <w:shd w:val="clear" w:color="auto" w:fill="D2D2D2"/>
          </w:tcPr>
          <w:p>
            <w:pPr/>
          </w:p>
        </w:tc>
        <w:tc>
          <w:tcPr>
            <w:tcW w:w="926" w:type="dxa"/>
            <w:vMerge/>
            <w:tcBorders>
              <w:left w:val="single" w:sz="6" w:space="0" w:color="000000"/>
              <w:bottom w:val="single" w:sz="6" w:space="0" w:color="000000"/>
              <w:right w:val="single" w:sz="6" w:space="0" w:color="000000"/>
            </w:tcBorders>
            <w:shd w:val="clear" w:color="auto" w:fill="D2D2D2"/>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545" w:type="dxa"/>
            <w:tcBorders>
              <w:top w:val="nil" w:sz="6" w:space="0" w:color="auto"/>
              <w:left w:val="single" w:sz="6" w:space="0" w:color="000000"/>
              <w:bottom w:val="single" w:sz="6" w:space="0" w:color="000000"/>
              <w:right w:val="single" w:sz="6" w:space="0" w:color="000000"/>
            </w:tcBorders>
            <w:shd w:val="clear" w:color="auto" w:fill="D2D2D2"/>
          </w:tcPr>
          <w:p>
            <w:pPr/>
          </w:p>
        </w:tc>
        <w:tc>
          <w:tcPr>
            <w:tcW w:w="815" w:type="dxa"/>
            <w:tcBorders>
              <w:top w:val="nil" w:sz="6" w:space="0" w:color="auto"/>
              <w:left w:val="single" w:sz="6" w:space="0" w:color="000000"/>
              <w:bottom w:val="single" w:sz="6" w:space="0" w:color="000000"/>
              <w:right w:val="single" w:sz="6" w:space="0" w:color="000000"/>
            </w:tcBorders>
            <w:shd w:val="clear" w:color="auto" w:fill="D2D2D2"/>
          </w:tcPr>
          <w:p>
            <w:pPr/>
          </w:p>
        </w:tc>
        <w:tc>
          <w:tcPr>
            <w:tcW w:w="74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38" w:type="dxa"/>
            <w:vMerge/>
            <w:tcBorders>
              <w:left w:val="single" w:sz="6" w:space="0" w:color="000000"/>
              <w:bottom w:val="single" w:sz="6" w:space="0" w:color="000000"/>
              <w:right w:val="single" w:sz="6" w:space="0" w:color="000000"/>
            </w:tcBorders>
            <w:shd w:val="clear" w:color="auto" w:fill="D2D2D2"/>
          </w:tcPr>
          <w:p>
            <w:pPr/>
          </w:p>
        </w:tc>
        <w:tc>
          <w:tcPr>
            <w:tcW w:w="792" w:type="dxa"/>
            <w:tcBorders>
              <w:top w:val="nil" w:sz="6" w:space="0" w:color="auto"/>
              <w:left w:val="single" w:sz="6" w:space="0" w:color="000000"/>
              <w:bottom w:val="single" w:sz="6" w:space="0" w:color="000000"/>
              <w:right w:val="single" w:sz="6" w:space="0" w:color="000000"/>
            </w:tcBorders>
            <w:shd w:val="clear" w:color="auto" w:fill="D2D2D2"/>
          </w:tcPr>
          <w:p>
            <w:pPr/>
          </w:p>
        </w:tc>
        <w:tc>
          <w:tcPr>
            <w:tcW w:w="779"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640" w:hRule="exact"/>
        </w:trPr>
        <w:tc>
          <w:tcPr>
            <w:tcW w:w="1994"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4" w:right="155"/>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600</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0"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9" w:hRule="exact"/>
        </w:trPr>
        <w:tc>
          <w:tcPr>
            <w:tcW w:w="1994"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4" w:right="155"/>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900</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0"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7" w:hRule="exact"/>
        </w:trPr>
        <w:tc>
          <w:tcPr>
            <w:tcW w:w="1994" w:type="dxa"/>
            <w:gridSpan w:val="2"/>
            <w:tcBorders>
              <w:top w:val="single" w:sz="6" w:space="0" w:color="000000"/>
              <w:left w:val="single" w:sz="12" w:space="0" w:color="000000"/>
              <w:bottom w:val="single" w:sz="12" w:space="0" w:color="000000"/>
              <w:right w:val="single" w:sz="6" w:space="0" w:color="000000"/>
            </w:tcBorders>
          </w:tcPr>
          <w:p>
            <w:pPr>
              <w:pStyle w:val="TableParagraph"/>
              <w:spacing w:line="316" w:lineRule="auto" w:before="11"/>
              <w:ind w:left="14" w:right="155"/>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2,000</w:t>
            </w:r>
          </w:p>
        </w:tc>
        <w:tc>
          <w:tcPr>
            <w:tcW w:w="15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600</w:t>
            </w:r>
          </w:p>
        </w:tc>
        <w:tc>
          <w:tcPr>
            <w:tcW w:w="74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1"/>
              <w:ind w:left="20"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08" w:type="dxa"/>
        <w:tblLayout w:type="fixed"/>
        <w:tblCellMar>
          <w:top w:w="0" w:type="dxa"/>
          <w:left w:w="0" w:type="dxa"/>
          <w:bottom w:w="0" w:type="dxa"/>
          <w:right w:w="0" w:type="dxa"/>
        </w:tblCellMar>
        <w:tblLook w:val="01E0"/>
      </w:tblPr>
      <w:tblGrid>
        <w:gridCol w:w="2000"/>
        <w:gridCol w:w="909"/>
        <w:gridCol w:w="933"/>
        <w:gridCol w:w="1299"/>
        <w:gridCol w:w="249"/>
        <w:gridCol w:w="800"/>
        <w:gridCol w:w="760"/>
        <w:gridCol w:w="285"/>
        <w:gridCol w:w="1055"/>
        <w:gridCol w:w="786"/>
        <w:gridCol w:w="784"/>
      </w:tblGrid>
      <w:tr>
        <w:trPr>
          <w:trHeight w:val="646" w:hRule="exact"/>
        </w:trPr>
        <w:tc>
          <w:tcPr>
            <w:tcW w:w="2000"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14" w:right="162"/>
              <w:jc w:val="left"/>
              <w:rPr>
                <w:rFonts w:ascii="宋体" w:hAnsi="宋体" w:cs="宋体" w:eastAsia="宋体" w:hint="default"/>
                <w:sz w:val="18"/>
                <w:szCs w:val="18"/>
              </w:rPr>
            </w:pPr>
            <w:r>
              <w:rPr>
                <w:rFonts w:ascii="宋体" w:hAnsi="宋体" w:cs="宋体" w:eastAsia="宋体" w:hint="default"/>
                <w:sz w:val="18"/>
                <w:szCs w:val="18"/>
              </w:rPr>
              <w:t>南京云商天下信息技术 有限公司</w:t>
            </w:r>
          </w:p>
        </w:tc>
        <w:tc>
          <w:tcPr>
            <w:tcW w:w="9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w:t>
            </w:r>
          </w:p>
        </w:tc>
        <w:tc>
          <w:tcPr>
            <w:tcW w:w="154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
              <w:jc w:val="right"/>
              <w:rPr>
                <w:rFonts w:ascii="宋体" w:hAnsi="宋体" w:cs="宋体" w:eastAsia="宋体" w:hint="default"/>
                <w:sz w:val="18"/>
                <w:szCs w:val="18"/>
              </w:rPr>
            </w:pPr>
            <w:r>
              <w:rPr>
                <w:rFonts w:ascii="宋体"/>
                <w:sz w:val="18"/>
              </w:rPr>
              <w:t>300</w:t>
            </w:r>
          </w:p>
        </w:tc>
        <w:tc>
          <w:tcPr>
            <w:tcW w:w="760"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35"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4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200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4" w:right="162"/>
              <w:jc w:val="left"/>
              <w:rPr>
                <w:rFonts w:ascii="宋体" w:hAnsi="宋体" w:cs="宋体" w:eastAsia="宋体" w:hint="default"/>
                <w:sz w:val="18"/>
                <w:szCs w:val="18"/>
              </w:rPr>
            </w:pPr>
            <w:r>
              <w:rPr>
                <w:rFonts w:ascii="宋体" w:hAnsi="宋体" w:cs="宋体" w:eastAsia="宋体" w:hint="default"/>
                <w:sz w:val="18"/>
                <w:szCs w:val="18"/>
              </w:rPr>
              <w:t>南京云商天下信息技术 有限公司</w:t>
            </w:r>
          </w:p>
        </w:tc>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1,000</w:t>
            </w:r>
          </w:p>
        </w:tc>
        <w:tc>
          <w:tcPr>
            <w:tcW w:w="1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
              <w:jc w:val="right"/>
              <w:rPr>
                <w:rFonts w:ascii="宋体" w:hAnsi="宋体" w:cs="宋体" w:eastAsia="宋体" w:hint="default"/>
                <w:sz w:val="18"/>
                <w:szCs w:val="18"/>
              </w:rPr>
            </w:pPr>
            <w:r>
              <w:rPr>
                <w:rFonts w:ascii="宋体"/>
                <w:sz w:val="18"/>
              </w:rPr>
              <w:t>500</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5"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0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8,000</w:t>
            </w:r>
          </w:p>
        </w:tc>
        <w:tc>
          <w:tcPr>
            <w:tcW w:w="1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
              <w:jc w:val="right"/>
              <w:rPr>
                <w:rFonts w:ascii="宋体" w:hAnsi="宋体" w:cs="宋体" w:eastAsia="宋体" w:hint="default"/>
                <w:sz w:val="18"/>
                <w:szCs w:val="18"/>
              </w:rPr>
            </w:pPr>
            <w:r>
              <w:rPr>
                <w:rFonts w:ascii="宋体"/>
                <w:sz w:val="18"/>
              </w:rPr>
              <w:t>900</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2"/>
              <w:ind w:left="35"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20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8,000</w:t>
            </w:r>
          </w:p>
        </w:tc>
        <w:tc>
          <w:tcPr>
            <w:tcW w:w="1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
              <w:jc w:val="right"/>
              <w:rPr>
                <w:rFonts w:ascii="宋体" w:hAnsi="宋体" w:cs="宋体" w:eastAsia="宋体" w:hint="default"/>
                <w:sz w:val="18"/>
                <w:szCs w:val="18"/>
              </w:rPr>
            </w:pPr>
            <w:r>
              <w:rPr>
                <w:rFonts w:ascii="宋体"/>
                <w:sz w:val="18"/>
              </w:rPr>
              <w:t>1,500</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5"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200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4" w:right="162"/>
              <w:jc w:val="left"/>
              <w:rPr>
                <w:rFonts w:ascii="宋体" w:hAnsi="宋体" w:cs="宋体" w:eastAsia="宋体" w:hint="default"/>
                <w:sz w:val="18"/>
                <w:szCs w:val="18"/>
              </w:rPr>
            </w:pPr>
            <w:r>
              <w:rPr>
                <w:rFonts w:ascii="宋体" w:hAnsi="宋体" w:cs="宋体" w:eastAsia="宋体" w:hint="default"/>
                <w:sz w:val="18"/>
                <w:szCs w:val="18"/>
              </w:rPr>
              <w:t>江苏其厚智能电气设备 有限公司</w:t>
            </w:r>
          </w:p>
        </w:tc>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2,000</w:t>
            </w:r>
          </w:p>
        </w:tc>
        <w:tc>
          <w:tcPr>
            <w:tcW w:w="1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
              <w:jc w:val="right"/>
              <w:rPr>
                <w:rFonts w:ascii="宋体" w:hAnsi="宋体" w:cs="宋体" w:eastAsia="宋体" w:hint="default"/>
                <w:sz w:val="18"/>
                <w:szCs w:val="18"/>
              </w:rPr>
            </w:pPr>
            <w:r>
              <w:rPr>
                <w:rFonts w:ascii="宋体"/>
                <w:sz w:val="18"/>
              </w:rPr>
              <w:t>1,000</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5"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9" w:hRule="exact"/>
        </w:trPr>
        <w:tc>
          <w:tcPr>
            <w:tcW w:w="200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4" w:right="162"/>
              <w:jc w:val="left"/>
              <w:rPr>
                <w:rFonts w:ascii="宋体" w:hAnsi="宋体" w:cs="宋体" w:eastAsia="宋体" w:hint="default"/>
                <w:sz w:val="18"/>
                <w:szCs w:val="18"/>
              </w:rPr>
            </w:pPr>
            <w:r>
              <w:rPr>
                <w:rFonts w:ascii="宋体" w:hAnsi="宋体" w:cs="宋体" w:eastAsia="宋体" w:hint="default"/>
                <w:sz w:val="18"/>
                <w:szCs w:val="18"/>
              </w:rPr>
              <w:t>江苏其厚智能电气设备 有限公司</w:t>
            </w:r>
          </w:p>
        </w:tc>
        <w:tc>
          <w:tcPr>
            <w:tcW w:w="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2,000</w:t>
            </w:r>
          </w:p>
        </w:tc>
        <w:tc>
          <w:tcPr>
            <w:tcW w:w="15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
              <w:jc w:val="right"/>
              <w:rPr>
                <w:rFonts w:ascii="宋体" w:hAnsi="宋体" w:cs="宋体" w:eastAsia="宋体" w:hint="default"/>
                <w:sz w:val="18"/>
                <w:szCs w:val="18"/>
              </w:rPr>
            </w:pPr>
            <w:r>
              <w:rPr>
                <w:rFonts w:ascii="宋体"/>
                <w:sz w:val="18"/>
              </w:rPr>
              <w:t>500</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5" w:right="168"/>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4" w:hRule="exact"/>
        </w:trPr>
        <w:tc>
          <w:tcPr>
            <w:tcW w:w="2909"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2480" w:type="dxa"/>
            <w:gridSpan w:val="3"/>
            <w:vMerge w:val="restart"/>
            <w:tcBorders>
              <w:top w:val="single" w:sz="6" w:space="0" w:color="000000"/>
              <w:left w:val="single" w:sz="8"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4"/>
              <w:jc w:val="right"/>
              <w:rPr>
                <w:rFonts w:ascii="宋体" w:hAnsi="宋体" w:cs="宋体" w:eastAsia="宋体" w:hint="default"/>
                <w:sz w:val="18"/>
                <w:szCs w:val="18"/>
              </w:rPr>
            </w:pPr>
            <w:r>
              <w:rPr>
                <w:rFonts w:ascii="宋体"/>
                <w:sz w:val="18"/>
              </w:rPr>
              <w:t>12,000</w:t>
            </w:r>
          </w:p>
        </w:tc>
        <w:tc>
          <w:tcPr>
            <w:tcW w:w="156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1"/>
              <w:ind w:left="20" w:right="83"/>
              <w:jc w:val="both"/>
              <w:rPr>
                <w:rFonts w:ascii="宋体" w:hAnsi="宋体" w:cs="宋体" w:eastAsia="宋体" w:hint="default"/>
                <w:sz w:val="18"/>
                <w:szCs w:val="18"/>
              </w:rPr>
            </w:pPr>
            <w:r>
              <w:rPr>
                <w:rFonts w:ascii="宋体" w:hAnsi="宋体" w:cs="宋体" w:eastAsia="宋体" w:hint="default"/>
                <w:sz w:val="18"/>
                <w:szCs w:val="18"/>
              </w:rPr>
              <w:t>报告期内对子公司 担保实际发生额合 计（</w:t>
            </w:r>
            <w:r>
              <w:rPr>
                <w:rFonts w:ascii="宋体" w:hAnsi="宋体" w:cs="宋体" w:eastAsia="宋体" w:hint="default"/>
                <w:sz w:val="18"/>
                <w:szCs w:val="18"/>
              </w:rPr>
              <w:t>B2</w:t>
            </w:r>
            <w:r>
              <w:rPr>
                <w:rFonts w:ascii="宋体" w:hAnsi="宋体" w:cs="宋体" w:eastAsia="宋体" w:hint="default"/>
                <w:sz w:val="18"/>
                <w:szCs w:val="18"/>
              </w:rPr>
              <w:t>）</w:t>
            </w:r>
          </w:p>
        </w:tc>
        <w:tc>
          <w:tcPr>
            <w:tcW w:w="2910" w:type="dxa"/>
            <w:gridSpan w:val="4"/>
            <w:vMerge w:val="restart"/>
            <w:tcBorders>
              <w:top w:val="single" w:sz="6" w:space="0" w:color="000000"/>
              <w:left w:val="single" w:sz="14" w:space="0" w:color="D2D2D2"/>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z w:val="18"/>
              </w:rPr>
              <w:t>3,000</w:t>
            </w:r>
          </w:p>
        </w:tc>
      </w:tr>
      <w:tr>
        <w:trPr>
          <w:trHeight w:val="624" w:hRule="exact"/>
        </w:trPr>
        <w:tc>
          <w:tcPr>
            <w:tcW w:w="2909"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10"/>
              <w:ind w:left="14" w:right="1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宋体" w:hAnsi="宋体" w:cs="宋体" w:eastAsia="宋体" w:hint="default"/>
                <w:sz w:val="18"/>
                <w:szCs w:val="18"/>
              </w:rPr>
              <w:t>B1</w:t>
            </w:r>
            <w:r>
              <w:rPr>
                <w:rFonts w:ascii="宋体" w:hAnsi="宋体" w:cs="宋体" w:eastAsia="宋体" w:hint="default"/>
                <w:sz w:val="18"/>
                <w:szCs w:val="18"/>
              </w:rPr>
              <w:t>）</w:t>
            </w:r>
          </w:p>
        </w:tc>
        <w:tc>
          <w:tcPr>
            <w:tcW w:w="2480" w:type="dxa"/>
            <w:gridSpan w:val="3"/>
            <w:vMerge/>
            <w:tcBorders>
              <w:left w:val="single" w:sz="8" w:space="0" w:color="D2D2D2"/>
              <w:right w:val="single" w:sz="9" w:space="0" w:color="D2D2D2"/>
            </w:tcBorders>
          </w:tcPr>
          <w:p>
            <w:pPr/>
          </w:p>
        </w:tc>
        <w:tc>
          <w:tcPr>
            <w:tcW w:w="1560" w:type="dxa"/>
            <w:gridSpan w:val="2"/>
            <w:vMerge/>
            <w:tcBorders>
              <w:left w:val="single" w:sz="6" w:space="0" w:color="000000"/>
              <w:right w:val="single" w:sz="6" w:space="0" w:color="000000"/>
            </w:tcBorders>
            <w:shd w:val="clear" w:color="auto" w:fill="D2D2D2"/>
          </w:tcPr>
          <w:p>
            <w:pPr/>
          </w:p>
        </w:tc>
        <w:tc>
          <w:tcPr>
            <w:tcW w:w="2910" w:type="dxa"/>
            <w:gridSpan w:val="4"/>
            <w:vMerge/>
            <w:tcBorders>
              <w:left w:val="single" w:sz="14" w:space="0" w:color="D2D2D2"/>
              <w:right w:val="single" w:sz="12" w:space="0" w:color="000000"/>
            </w:tcBorders>
          </w:tcPr>
          <w:p>
            <w:pPr/>
          </w:p>
        </w:tc>
      </w:tr>
      <w:tr>
        <w:trPr>
          <w:trHeight w:val="164" w:hRule="exact"/>
        </w:trPr>
        <w:tc>
          <w:tcPr>
            <w:tcW w:w="2909" w:type="dxa"/>
            <w:gridSpan w:val="2"/>
            <w:tcBorders>
              <w:top w:val="nil" w:sz="6" w:space="0" w:color="auto"/>
              <w:left w:val="single" w:sz="12" w:space="0" w:color="000000"/>
              <w:bottom w:val="single" w:sz="6" w:space="0" w:color="000000"/>
              <w:right w:val="single" w:sz="6" w:space="0" w:color="000000"/>
            </w:tcBorders>
            <w:shd w:val="clear" w:color="auto" w:fill="D2D2D2"/>
          </w:tcPr>
          <w:p>
            <w:pPr/>
          </w:p>
        </w:tc>
        <w:tc>
          <w:tcPr>
            <w:tcW w:w="2480" w:type="dxa"/>
            <w:gridSpan w:val="3"/>
            <w:vMerge/>
            <w:tcBorders>
              <w:left w:val="single" w:sz="8" w:space="0" w:color="D2D2D2"/>
              <w:bottom w:val="single" w:sz="6" w:space="0" w:color="000000"/>
              <w:right w:val="single" w:sz="9" w:space="0" w:color="D2D2D2"/>
            </w:tcBorders>
          </w:tcPr>
          <w:p>
            <w:pPr/>
          </w:p>
        </w:tc>
        <w:tc>
          <w:tcPr>
            <w:tcW w:w="1560" w:type="dxa"/>
            <w:gridSpan w:val="2"/>
            <w:vMerge/>
            <w:tcBorders>
              <w:left w:val="single" w:sz="6" w:space="0" w:color="000000"/>
              <w:bottom w:val="single" w:sz="6" w:space="0" w:color="000000"/>
              <w:right w:val="single" w:sz="6" w:space="0" w:color="000000"/>
            </w:tcBorders>
            <w:shd w:val="clear" w:color="auto" w:fill="D2D2D2"/>
          </w:tcPr>
          <w:p>
            <w:pPr/>
          </w:p>
        </w:tc>
        <w:tc>
          <w:tcPr>
            <w:tcW w:w="2910" w:type="dxa"/>
            <w:gridSpan w:val="4"/>
            <w:vMerge/>
            <w:tcBorders>
              <w:left w:val="single" w:sz="14" w:space="0" w:color="D2D2D2"/>
              <w:bottom w:val="single" w:sz="6" w:space="0" w:color="000000"/>
              <w:right w:val="single" w:sz="12" w:space="0" w:color="000000"/>
            </w:tcBorders>
          </w:tcPr>
          <w:p>
            <w:pPr/>
          </w:p>
        </w:tc>
      </w:tr>
      <w:tr>
        <w:trPr>
          <w:trHeight w:val="163" w:hRule="exact"/>
        </w:trPr>
        <w:tc>
          <w:tcPr>
            <w:tcW w:w="2909"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2480" w:type="dxa"/>
            <w:gridSpan w:val="3"/>
            <w:vMerge w:val="restart"/>
            <w:tcBorders>
              <w:top w:val="single" w:sz="6" w:space="0" w:color="000000"/>
              <w:left w:val="single" w:sz="8"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right"/>
              <w:rPr>
                <w:rFonts w:ascii="宋体" w:hAnsi="宋体" w:cs="宋体" w:eastAsia="宋体" w:hint="default"/>
                <w:sz w:val="18"/>
                <w:szCs w:val="18"/>
              </w:rPr>
            </w:pPr>
            <w:r>
              <w:rPr>
                <w:rFonts w:ascii="宋体"/>
                <w:sz w:val="18"/>
              </w:rPr>
              <w:t>12,000</w:t>
            </w:r>
          </w:p>
        </w:tc>
        <w:tc>
          <w:tcPr>
            <w:tcW w:w="156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20" w:right="83"/>
              <w:jc w:val="left"/>
              <w:rPr>
                <w:rFonts w:ascii="宋体" w:hAnsi="宋体" w:cs="宋体" w:eastAsia="宋体" w:hint="default"/>
                <w:sz w:val="18"/>
                <w:szCs w:val="18"/>
              </w:rPr>
            </w:pPr>
            <w:r>
              <w:rPr>
                <w:rFonts w:ascii="宋体" w:hAnsi="宋体" w:cs="宋体" w:eastAsia="宋体" w:hint="default"/>
                <w:sz w:val="18"/>
                <w:szCs w:val="18"/>
              </w:rPr>
              <w:t>报告期末对子公司 实际担保余额合计</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B4</w:t>
            </w:r>
            <w:r>
              <w:rPr>
                <w:rFonts w:ascii="宋体" w:hAnsi="宋体" w:cs="宋体" w:eastAsia="宋体" w:hint="default"/>
                <w:sz w:val="18"/>
                <w:szCs w:val="18"/>
              </w:rPr>
              <w:t>）</w:t>
            </w:r>
          </w:p>
        </w:tc>
        <w:tc>
          <w:tcPr>
            <w:tcW w:w="2910" w:type="dxa"/>
            <w:gridSpan w:val="4"/>
            <w:vMerge w:val="restart"/>
            <w:tcBorders>
              <w:top w:val="single" w:sz="6" w:space="0" w:color="000000"/>
              <w:left w:val="single" w:sz="14" w:space="0" w:color="D2D2D2"/>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
              <w:jc w:val="right"/>
              <w:rPr>
                <w:rFonts w:ascii="宋体" w:hAnsi="宋体" w:cs="宋体" w:eastAsia="宋体" w:hint="default"/>
                <w:sz w:val="18"/>
                <w:szCs w:val="18"/>
              </w:rPr>
            </w:pPr>
            <w:r>
              <w:rPr>
                <w:rFonts w:ascii="宋体"/>
                <w:sz w:val="18"/>
              </w:rPr>
              <w:t>4,500</w:t>
            </w:r>
          </w:p>
        </w:tc>
      </w:tr>
      <w:tr>
        <w:trPr>
          <w:trHeight w:val="624" w:hRule="exact"/>
        </w:trPr>
        <w:tc>
          <w:tcPr>
            <w:tcW w:w="2909" w:type="dxa"/>
            <w:gridSpan w:val="2"/>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10"/>
              <w:ind w:left="14" w:right="1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宋体" w:hAnsi="宋体" w:cs="宋体" w:eastAsia="宋体" w:hint="default"/>
                <w:sz w:val="18"/>
                <w:szCs w:val="18"/>
              </w:rPr>
              <w:t>B3</w:t>
            </w:r>
            <w:r>
              <w:rPr>
                <w:rFonts w:ascii="宋体" w:hAnsi="宋体" w:cs="宋体" w:eastAsia="宋体" w:hint="default"/>
                <w:sz w:val="18"/>
                <w:szCs w:val="18"/>
              </w:rPr>
              <w:t>）</w:t>
            </w:r>
          </w:p>
        </w:tc>
        <w:tc>
          <w:tcPr>
            <w:tcW w:w="2480" w:type="dxa"/>
            <w:gridSpan w:val="3"/>
            <w:vMerge/>
            <w:tcBorders>
              <w:left w:val="single" w:sz="8" w:space="0" w:color="D2D2D2"/>
              <w:right w:val="single" w:sz="9" w:space="0" w:color="D2D2D2"/>
            </w:tcBorders>
          </w:tcPr>
          <w:p>
            <w:pPr/>
          </w:p>
        </w:tc>
        <w:tc>
          <w:tcPr>
            <w:tcW w:w="1560" w:type="dxa"/>
            <w:gridSpan w:val="2"/>
            <w:vMerge/>
            <w:tcBorders>
              <w:left w:val="single" w:sz="6" w:space="0" w:color="000000"/>
              <w:right w:val="single" w:sz="6" w:space="0" w:color="000000"/>
            </w:tcBorders>
            <w:shd w:val="clear" w:color="auto" w:fill="D2D2D2"/>
          </w:tcPr>
          <w:p>
            <w:pPr/>
          </w:p>
        </w:tc>
        <w:tc>
          <w:tcPr>
            <w:tcW w:w="2910" w:type="dxa"/>
            <w:gridSpan w:val="4"/>
            <w:vMerge/>
            <w:tcBorders>
              <w:left w:val="single" w:sz="14" w:space="0" w:color="D2D2D2"/>
              <w:right w:val="single" w:sz="12" w:space="0" w:color="000000"/>
            </w:tcBorders>
          </w:tcPr>
          <w:p>
            <w:pPr/>
          </w:p>
        </w:tc>
      </w:tr>
      <w:tr>
        <w:trPr>
          <w:trHeight w:val="172" w:hRule="exact"/>
        </w:trPr>
        <w:tc>
          <w:tcPr>
            <w:tcW w:w="2909" w:type="dxa"/>
            <w:gridSpan w:val="2"/>
            <w:tcBorders>
              <w:top w:val="nil" w:sz="6" w:space="0" w:color="auto"/>
              <w:left w:val="single" w:sz="12" w:space="0" w:color="000000"/>
              <w:bottom w:val="single" w:sz="6" w:space="0" w:color="000000"/>
              <w:right w:val="single" w:sz="6" w:space="0" w:color="000000"/>
            </w:tcBorders>
            <w:shd w:val="clear" w:color="auto" w:fill="D2D2D2"/>
          </w:tcPr>
          <w:p>
            <w:pPr/>
          </w:p>
        </w:tc>
        <w:tc>
          <w:tcPr>
            <w:tcW w:w="2480" w:type="dxa"/>
            <w:gridSpan w:val="3"/>
            <w:vMerge/>
            <w:tcBorders>
              <w:left w:val="single" w:sz="8" w:space="0" w:color="D2D2D2"/>
              <w:bottom w:val="single" w:sz="6" w:space="0" w:color="000000"/>
              <w:right w:val="single" w:sz="9" w:space="0" w:color="D2D2D2"/>
            </w:tcBorders>
          </w:tcPr>
          <w:p>
            <w:pPr/>
          </w:p>
        </w:tc>
        <w:tc>
          <w:tcPr>
            <w:tcW w:w="1560" w:type="dxa"/>
            <w:gridSpan w:val="2"/>
            <w:vMerge/>
            <w:tcBorders>
              <w:left w:val="single" w:sz="6" w:space="0" w:color="000000"/>
              <w:bottom w:val="single" w:sz="6" w:space="0" w:color="000000"/>
              <w:right w:val="single" w:sz="6" w:space="0" w:color="000000"/>
            </w:tcBorders>
            <w:shd w:val="clear" w:color="auto" w:fill="D2D2D2"/>
          </w:tcPr>
          <w:p>
            <w:pPr/>
          </w:p>
        </w:tc>
        <w:tc>
          <w:tcPr>
            <w:tcW w:w="2910" w:type="dxa"/>
            <w:gridSpan w:val="4"/>
            <w:vMerge/>
            <w:tcBorders>
              <w:left w:val="single" w:sz="14" w:space="0" w:color="D2D2D2"/>
              <w:bottom w:val="single" w:sz="6" w:space="0" w:color="000000"/>
              <w:right w:val="single" w:sz="12" w:space="0" w:color="000000"/>
            </w:tcBorders>
          </w:tcPr>
          <w:p>
            <w:pPr/>
          </w:p>
        </w:tc>
      </w:tr>
      <w:tr>
        <w:trPr>
          <w:trHeight w:val="319" w:hRule="exact"/>
        </w:trPr>
        <w:tc>
          <w:tcPr>
            <w:tcW w:w="9859"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3" w:hRule="exact"/>
        </w:trPr>
        <w:tc>
          <w:tcPr>
            <w:tcW w:w="2000" w:type="dxa"/>
            <w:vMerge w:val="restart"/>
            <w:tcBorders>
              <w:top w:val="single" w:sz="6" w:space="0" w:color="000000"/>
              <w:left w:val="single" w:sz="12" w:space="0" w:color="000000"/>
              <w:right w:val="single" w:sz="6" w:space="0" w:color="000000"/>
            </w:tcBorders>
            <w:shd w:val="clear" w:color="auto" w:fill="D2D2D2"/>
          </w:tcPr>
          <w:p>
            <w:pPr/>
          </w:p>
        </w:tc>
        <w:tc>
          <w:tcPr>
            <w:tcW w:w="909"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85"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vMerge w:val="restart"/>
            <w:tcBorders>
              <w:top w:val="single" w:sz="6" w:space="0" w:color="000000"/>
              <w:left w:val="single" w:sz="6" w:space="0" w:color="000000"/>
              <w:right w:val="single" w:sz="6" w:space="0" w:color="000000"/>
            </w:tcBorders>
            <w:shd w:val="clear" w:color="auto" w:fill="D2D2D2"/>
          </w:tcPr>
          <w:p>
            <w:pPr/>
          </w:p>
        </w:tc>
        <w:tc>
          <w:tcPr>
            <w:tcW w:w="1299" w:type="dxa"/>
            <w:tcBorders>
              <w:top w:val="single" w:sz="6" w:space="0" w:color="000000"/>
              <w:left w:val="single" w:sz="6" w:space="0" w:color="000000"/>
              <w:bottom w:val="nil" w:sz="6" w:space="0" w:color="auto"/>
              <w:right w:val="single" w:sz="6" w:space="0" w:color="FFFFFF"/>
            </w:tcBorders>
            <w:shd w:val="clear" w:color="auto" w:fill="D2D2D2"/>
          </w:tcPr>
          <w:p>
            <w:pPr/>
          </w:p>
        </w:tc>
        <w:tc>
          <w:tcPr>
            <w:tcW w:w="1048" w:type="dxa"/>
            <w:gridSpan w:val="2"/>
            <w:tcBorders>
              <w:top w:val="single" w:sz="6" w:space="0" w:color="000000"/>
              <w:left w:val="single" w:sz="6" w:space="0" w:color="FFFFFF"/>
              <w:bottom w:val="nil" w:sz="6" w:space="0" w:color="auto"/>
              <w:right w:val="single" w:sz="6" w:space="0" w:color="000000"/>
            </w:tcBorders>
            <w:shd w:val="clear" w:color="auto" w:fill="D2D2D2"/>
          </w:tcPr>
          <w:p>
            <w:pPr/>
          </w:p>
        </w:tc>
        <w:tc>
          <w:tcPr>
            <w:tcW w:w="1045" w:type="dxa"/>
            <w:gridSpan w:val="2"/>
            <w:vMerge w:val="restart"/>
            <w:tcBorders>
              <w:top w:val="single" w:sz="6" w:space="0" w:color="000000"/>
              <w:left w:val="single" w:sz="6" w:space="0" w:color="000000"/>
              <w:right w:val="single" w:sz="6" w:space="0" w:color="000000"/>
            </w:tcBorders>
            <w:shd w:val="clear" w:color="auto" w:fill="D2D2D2"/>
          </w:tcPr>
          <w:p>
            <w:pPr/>
          </w:p>
        </w:tc>
        <w:tc>
          <w:tcPr>
            <w:tcW w:w="1055" w:type="dxa"/>
            <w:vMerge w:val="restart"/>
            <w:tcBorders>
              <w:top w:val="single" w:sz="6" w:space="0" w:color="000000"/>
              <w:left w:val="single" w:sz="6" w:space="0" w:color="000000"/>
              <w:right w:val="single" w:sz="6" w:space="0" w:color="000000"/>
            </w:tcBorders>
            <w:shd w:val="clear" w:color="auto" w:fill="D2D2D2"/>
          </w:tcPr>
          <w:p>
            <w:pPr/>
          </w:p>
        </w:tc>
        <w:tc>
          <w:tcPr>
            <w:tcW w:w="786" w:type="dxa"/>
            <w:tcBorders>
              <w:top w:val="single" w:sz="6" w:space="0" w:color="000000"/>
              <w:left w:val="single" w:sz="6" w:space="0" w:color="000000"/>
              <w:bottom w:val="nil" w:sz="6" w:space="0" w:color="auto"/>
              <w:right w:val="single" w:sz="6" w:space="0" w:color="000000"/>
            </w:tcBorders>
            <w:shd w:val="clear" w:color="auto" w:fill="D2D2D2"/>
          </w:tcPr>
          <w:p>
            <w:pPr/>
          </w:p>
        </w:tc>
        <w:tc>
          <w:tcPr>
            <w:tcW w:w="784"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56" w:hRule="exact"/>
        </w:trPr>
        <w:tc>
          <w:tcPr>
            <w:tcW w:w="2000" w:type="dxa"/>
            <w:vMerge/>
            <w:tcBorders>
              <w:left w:val="single" w:sz="12" w:space="0" w:color="000000"/>
              <w:bottom w:val="nil" w:sz="6" w:space="0" w:color="auto"/>
              <w:right w:val="single" w:sz="6" w:space="0" w:color="000000"/>
            </w:tcBorders>
            <w:shd w:val="clear" w:color="auto" w:fill="D2D2D2"/>
          </w:tcPr>
          <w:p>
            <w:pPr/>
          </w:p>
        </w:tc>
        <w:tc>
          <w:tcPr>
            <w:tcW w:w="909" w:type="dxa"/>
            <w:vMerge/>
            <w:tcBorders>
              <w:left w:val="single" w:sz="6" w:space="0" w:color="000000"/>
              <w:right w:val="single" w:sz="6" w:space="0" w:color="000000"/>
            </w:tcBorders>
            <w:shd w:val="clear" w:color="auto" w:fill="D2D2D2"/>
          </w:tcPr>
          <w:p>
            <w:pPr/>
          </w:p>
        </w:tc>
        <w:tc>
          <w:tcPr>
            <w:tcW w:w="933" w:type="dxa"/>
            <w:vMerge/>
            <w:tcBorders>
              <w:left w:val="single" w:sz="6" w:space="0" w:color="000000"/>
              <w:bottom w:val="nil" w:sz="6" w:space="0" w:color="auto"/>
              <w:right w:val="single" w:sz="6" w:space="0" w:color="000000"/>
            </w:tcBorders>
            <w:shd w:val="clear" w:color="auto" w:fill="D2D2D2"/>
          </w:tcPr>
          <w:p>
            <w:pPr/>
          </w:p>
        </w:tc>
        <w:tc>
          <w:tcPr>
            <w:tcW w:w="1299" w:type="dxa"/>
            <w:vMerge w:val="restart"/>
            <w:tcBorders>
              <w:top w:val="nil" w:sz="6" w:space="0" w:color="auto"/>
              <w:left w:val="single" w:sz="6" w:space="0" w:color="000000"/>
              <w:right w:val="single" w:sz="6" w:space="0" w:color="FFFFFF"/>
            </w:tcBorders>
            <w:shd w:val="clear" w:color="auto" w:fill="D2D2D2"/>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gridSpan w:val="2"/>
            <w:vMerge w:val="restart"/>
            <w:tcBorders>
              <w:top w:val="nil" w:sz="6" w:space="0" w:color="auto"/>
              <w:left w:val="single" w:sz="6" w:space="0" w:color="FFFFFF"/>
              <w:right w:val="single" w:sz="6" w:space="0" w:color="000000"/>
            </w:tcBorders>
            <w:shd w:val="clear" w:color="auto" w:fill="D2D2D2"/>
          </w:tcPr>
          <w:p>
            <w:pPr>
              <w:pStyle w:val="TableParagraph"/>
              <w:spacing w:line="316" w:lineRule="auto" w:before="10"/>
              <w:ind w:left="423"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gridSpan w:val="2"/>
            <w:vMerge/>
            <w:tcBorders>
              <w:left w:val="single" w:sz="6" w:space="0" w:color="000000"/>
              <w:bottom w:val="nil" w:sz="6" w:space="0" w:color="auto"/>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7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200"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6" w:space="0" w:color="000000"/>
              <w:right w:val="single" w:sz="12" w:space="0" w:color="000000"/>
            </w:tcBorders>
            <w:shd w:val="clear" w:color="auto" w:fill="D2D2D2"/>
          </w:tcPr>
          <w:p>
            <w:pPr>
              <w:pStyle w:val="TableParagraph"/>
              <w:spacing w:line="316" w:lineRule="auto" w:before="10"/>
              <w:ind w:left="21" w:right="1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2" w:hRule="exact"/>
        </w:trPr>
        <w:tc>
          <w:tcPr>
            <w:tcW w:w="200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9" w:type="dxa"/>
            <w:vMerge/>
            <w:tcBorders>
              <w:left w:val="single" w:sz="6" w:space="0" w:color="000000"/>
              <w:right w:val="single" w:sz="6" w:space="0" w:color="000000"/>
            </w:tcBorders>
            <w:shd w:val="clear" w:color="auto" w:fill="D2D2D2"/>
          </w:tcPr>
          <w:p>
            <w:pPr/>
          </w:p>
        </w:tc>
        <w:tc>
          <w:tcPr>
            <w:tcW w:w="9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6" w:space="0" w:color="000000"/>
              <w:right w:val="single" w:sz="6" w:space="0" w:color="FFFFFF"/>
            </w:tcBorders>
            <w:shd w:val="clear" w:color="auto" w:fill="D2D2D2"/>
          </w:tcPr>
          <w:p>
            <w:pPr/>
          </w:p>
        </w:tc>
        <w:tc>
          <w:tcPr>
            <w:tcW w:w="1048" w:type="dxa"/>
            <w:gridSpan w:val="2"/>
            <w:vMerge/>
            <w:tcBorders>
              <w:left w:val="single" w:sz="6" w:space="0" w:color="FFFFFF"/>
              <w:right w:val="single" w:sz="6" w:space="0" w:color="000000"/>
            </w:tcBorders>
            <w:shd w:val="clear" w:color="auto" w:fill="D2D2D2"/>
          </w:tcPr>
          <w:p>
            <w:pPr/>
          </w:p>
        </w:tc>
        <w:tc>
          <w:tcPr>
            <w:tcW w:w="1045"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6" w:space="0" w:color="000000"/>
              <w:right w:val="single" w:sz="6" w:space="0" w:color="000000"/>
            </w:tcBorders>
            <w:shd w:val="clear" w:color="auto" w:fill="D2D2D2"/>
          </w:tcPr>
          <w:p>
            <w:pPr/>
          </w:p>
        </w:tc>
        <w:tc>
          <w:tcPr>
            <w:tcW w:w="784" w:type="dxa"/>
            <w:vMerge/>
            <w:tcBorders>
              <w:left w:val="single" w:sz="6" w:space="0" w:color="000000"/>
              <w:right w:val="single" w:sz="12" w:space="0" w:color="000000"/>
            </w:tcBorders>
            <w:shd w:val="clear" w:color="auto" w:fill="D2D2D2"/>
          </w:tcPr>
          <w:p>
            <w:pPr/>
          </w:p>
        </w:tc>
      </w:tr>
      <w:tr>
        <w:trPr>
          <w:trHeight w:val="156" w:hRule="exact"/>
        </w:trPr>
        <w:tc>
          <w:tcPr>
            <w:tcW w:w="2000" w:type="dxa"/>
            <w:vMerge w:val="restart"/>
            <w:tcBorders>
              <w:top w:val="nil" w:sz="6" w:space="0" w:color="auto"/>
              <w:left w:val="single" w:sz="12" w:space="0" w:color="000000"/>
              <w:right w:val="single" w:sz="6" w:space="0" w:color="000000"/>
            </w:tcBorders>
            <w:shd w:val="clear" w:color="auto" w:fill="D2D2D2"/>
          </w:tcPr>
          <w:p>
            <w:pPr/>
          </w:p>
        </w:tc>
        <w:tc>
          <w:tcPr>
            <w:tcW w:w="909" w:type="dxa"/>
            <w:vMerge/>
            <w:tcBorders>
              <w:left w:val="single" w:sz="6" w:space="0" w:color="000000"/>
              <w:right w:val="single" w:sz="6" w:space="0" w:color="000000"/>
            </w:tcBorders>
            <w:shd w:val="clear" w:color="auto" w:fill="D2D2D2"/>
          </w:tcPr>
          <w:p>
            <w:pPr/>
          </w:p>
        </w:tc>
        <w:tc>
          <w:tcPr>
            <w:tcW w:w="933" w:type="dxa"/>
            <w:vMerge w:val="restart"/>
            <w:tcBorders>
              <w:top w:val="nil" w:sz="6" w:space="0" w:color="auto"/>
              <w:left w:val="single" w:sz="6" w:space="0" w:color="000000"/>
              <w:right w:val="single" w:sz="6" w:space="0" w:color="000000"/>
            </w:tcBorders>
            <w:shd w:val="clear" w:color="auto" w:fill="D2D2D2"/>
          </w:tcPr>
          <w:p>
            <w:pPr/>
          </w:p>
        </w:tc>
        <w:tc>
          <w:tcPr>
            <w:tcW w:w="1299" w:type="dxa"/>
            <w:vMerge/>
            <w:tcBorders>
              <w:left w:val="single" w:sz="6" w:space="0" w:color="000000"/>
              <w:bottom w:val="nil" w:sz="6" w:space="0" w:color="auto"/>
              <w:right w:val="single" w:sz="6" w:space="0" w:color="FFFFFF"/>
            </w:tcBorders>
            <w:shd w:val="clear" w:color="auto" w:fill="D2D2D2"/>
          </w:tcPr>
          <w:p>
            <w:pPr/>
          </w:p>
        </w:tc>
        <w:tc>
          <w:tcPr>
            <w:tcW w:w="1048" w:type="dxa"/>
            <w:gridSpan w:val="2"/>
            <w:vMerge/>
            <w:tcBorders>
              <w:left w:val="single" w:sz="6" w:space="0" w:color="FFFFFF"/>
              <w:bottom w:val="nil" w:sz="6" w:space="0" w:color="auto"/>
              <w:right w:val="single" w:sz="6" w:space="0" w:color="000000"/>
            </w:tcBorders>
            <w:shd w:val="clear" w:color="auto" w:fill="D2D2D2"/>
          </w:tcPr>
          <w:p>
            <w:pPr/>
          </w:p>
        </w:tc>
        <w:tc>
          <w:tcPr>
            <w:tcW w:w="1045" w:type="dxa"/>
            <w:gridSpan w:val="2"/>
            <w:vMerge w:val="restart"/>
            <w:tcBorders>
              <w:top w:val="nil" w:sz="6" w:space="0" w:color="auto"/>
              <w:left w:val="single" w:sz="6" w:space="0" w:color="000000"/>
              <w:right w:val="single" w:sz="6" w:space="0" w:color="000000"/>
            </w:tcBorders>
            <w:shd w:val="clear" w:color="auto" w:fill="D2D2D2"/>
          </w:tcPr>
          <w:p>
            <w:pPr/>
          </w:p>
        </w:tc>
        <w:tc>
          <w:tcPr>
            <w:tcW w:w="1055" w:type="dxa"/>
            <w:vMerge w:val="restart"/>
            <w:tcBorders>
              <w:top w:val="nil" w:sz="6" w:space="0" w:color="auto"/>
              <w:left w:val="single" w:sz="6" w:space="0" w:color="000000"/>
              <w:right w:val="single" w:sz="6" w:space="0" w:color="000000"/>
            </w:tcBorders>
            <w:shd w:val="clear" w:color="auto" w:fill="D2D2D2"/>
          </w:tcPr>
          <w:p>
            <w:pPr/>
          </w:p>
        </w:tc>
        <w:tc>
          <w:tcPr>
            <w:tcW w:w="786" w:type="dxa"/>
            <w:vMerge/>
            <w:tcBorders>
              <w:left w:val="single" w:sz="6" w:space="0" w:color="000000"/>
              <w:bottom w:val="nil" w:sz="6" w:space="0" w:color="auto"/>
              <w:right w:val="single" w:sz="6" w:space="0" w:color="000000"/>
            </w:tcBorders>
            <w:shd w:val="clear" w:color="auto" w:fill="D2D2D2"/>
          </w:tcPr>
          <w:p>
            <w:pPr/>
          </w:p>
        </w:tc>
        <w:tc>
          <w:tcPr>
            <w:tcW w:w="784" w:type="dxa"/>
            <w:vMerge/>
            <w:tcBorders>
              <w:left w:val="single" w:sz="6" w:space="0" w:color="000000"/>
              <w:bottom w:val="nil" w:sz="6" w:space="0" w:color="auto"/>
              <w:right w:val="single" w:sz="12" w:space="0" w:color="000000"/>
            </w:tcBorders>
            <w:shd w:val="clear" w:color="auto" w:fill="D2D2D2"/>
          </w:tcPr>
          <w:p>
            <w:pPr/>
          </w:p>
        </w:tc>
      </w:tr>
      <w:tr>
        <w:trPr>
          <w:trHeight w:val="164" w:hRule="exact"/>
        </w:trPr>
        <w:tc>
          <w:tcPr>
            <w:tcW w:w="2000" w:type="dxa"/>
            <w:vMerge/>
            <w:tcBorders>
              <w:left w:val="single" w:sz="12" w:space="0" w:color="000000"/>
              <w:bottom w:val="single" w:sz="6" w:space="0" w:color="000000"/>
              <w:right w:val="single" w:sz="6" w:space="0" w:color="000000"/>
            </w:tcBorders>
            <w:shd w:val="clear" w:color="auto" w:fill="D2D2D2"/>
          </w:tcPr>
          <w:p>
            <w:pPr/>
          </w:p>
        </w:tc>
        <w:tc>
          <w:tcPr>
            <w:tcW w:w="909" w:type="dxa"/>
            <w:vMerge/>
            <w:tcBorders>
              <w:left w:val="single" w:sz="6" w:space="0" w:color="000000"/>
              <w:bottom w:val="single" w:sz="6" w:space="0" w:color="000000"/>
              <w:right w:val="single" w:sz="6" w:space="0" w:color="000000"/>
            </w:tcBorders>
            <w:shd w:val="clear" w:color="auto" w:fill="D2D2D2"/>
          </w:tcPr>
          <w:p>
            <w:pPr/>
          </w:p>
        </w:tc>
        <w:tc>
          <w:tcPr>
            <w:tcW w:w="933" w:type="dxa"/>
            <w:vMerge/>
            <w:tcBorders>
              <w:left w:val="single" w:sz="6" w:space="0" w:color="000000"/>
              <w:bottom w:val="single" w:sz="6" w:space="0" w:color="000000"/>
              <w:right w:val="single" w:sz="6" w:space="0" w:color="000000"/>
            </w:tcBorders>
            <w:shd w:val="clear" w:color="auto" w:fill="D2D2D2"/>
          </w:tcPr>
          <w:p>
            <w:pPr/>
          </w:p>
        </w:tc>
        <w:tc>
          <w:tcPr>
            <w:tcW w:w="1299" w:type="dxa"/>
            <w:tcBorders>
              <w:top w:val="nil" w:sz="6" w:space="0" w:color="auto"/>
              <w:left w:val="single" w:sz="6" w:space="0" w:color="000000"/>
              <w:bottom w:val="single" w:sz="6" w:space="0" w:color="000000"/>
              <w:right w:val="single" w:sz="6" w:space="0" w:color="FFFFFF"/>
            </w:tcBorders>
            <w:shd w:val="clear" w:color="auto" w:fill="D2D2D2"/>
          </w:tcPr>
          <w:p>
            <w:pPr/>
          </w:p>
        </w:tc>
        <w:tc>
          <w:tcPr>
            <w:tcW w:w="1048" w:type="dxa"/>
            <w:gridSpan w:val="2"/>
            <w:tcBorders>
              <w:top w:val="nil" w:sz="6" w:space="0" w:color="auto"/>
              <w:left w:val="single" w:sz="6" w:space="0" w:color="FFFFFF"/>
              <w:bottom w:val="single" w:sz="6" w:space="0" w:color="000000"/>
              <w:right w:val="single" w:sz="6" w:space="0" w:color="000000"/>
            </w:tcBorders>
            <w:shd w:val="clear" w:color="auto" w:fill="D2D2D2"/>
          </w:tcPr>
          <w:p>
            <w:pPr/>
          </w:p>
        </w:tc>
        <w:tc>
          <w:tcPr>
            <w:tcW w:w="1045" w:type="dxa"/>
            <w:gridSpan w:val="2"/>
            <w:vMerge/>
            <w:tcBorders>
              <w:left w:val="single" w:sz="6" w:space="0" w:color="000000"/>
              <w:bottom w:val="single" w:sz="6" w:space="0" w:color="000000"/>
              <w:right w:val="single" w:sz="6" w:space="0" w:color="000000"/>
            </w:tcBorders>
            <w:shd w:val="clear" w:color="auto" w:fill="D2D2D2"/>
          </w:tcPr>
          <w:p>
            <w:pPr/>
          </w:p>
        </w:tc>
        <w:tc>
          <w:tcPr>
            <w:tcW w:w="1055" w:type="dxa"/>
            <w:vMerge/>
            <w:tcBorders>
              <w:left w:val="single" w:sz="6" w:space="0" w:color="000000"/>
              <w:bottom w:val="single" w:sz="6" w:space="0" w:color="000000"/>
              <w:right w:val="single" w:sz="6" w:space="0" w:color="000000"/>
            </w:tcBorders>
            <w:shd w:val="clear" w:color="auto" w:fill="D2D2D2"/>
          </w:tcPr>
          <w:p>
            <w:pPr/>
          </w:p>
        </w:tc>
        <w:tc>
          <w:tcPr>
            <w:tcW w:w="786" w:type="dxa"/>
            <w:tcBorders>
              <w:top w:val="nil" w:sz="6" w:space="0" w:color="auto"/>
              <w:left w:val="single" w:sz="6" w:space="0" w:color="000000"/>
              <w:bottom w:val="single" w:sz="6" w:space="0" w:color="000000"/>
              <w:right w:val="single" w:sz="6" w:space="0" w:color="000000"/>
            </w:tcBorders>
            <w:shd w:val="clear" w:color="auto" w:fill="D2D2D2"/>
          </w:tcPr>
          <w:p>
            <w:pPr/>
          </w:p>
        </w:tc>
        <w:tc>
          <w:tcPr>
            <w:tcW w:w="784"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640" w:hRule="exact"/>
        </w:trPr>
        <w:tc>
          <w:tcPr>
            <w:tcW w:w="2909"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4" w:right="1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宋体" w:hAnsi="宋体" w:cs="宋体" w:eastAsia="宋体" w:hint="default"/>
                <w:sz w:val="18"/>
                <w:szCs w:val="18"/>
              </w:rPr>
              <w:t>C1</w:t>
            </w:r>
            <w:r>
              <w:rPr>
                <w:rFonts w:ascii="宋体" w:hAnsi="宋体" w:cs="宋体" w:eastAsia="宋体" w:hint="default"/>
                <w:sz w:val="18"/>
                <w:szCs w:val="18"/>
              </w:rPr>
              <w:t>）</w:t>
            </w:r>
          </w:p>
        </w:tc>
        <w:tc>
          <w:tcPr>
            <w:tcW w:w="2232" w:type="dxa"/>
            <w:gridSpan w:val="2"/>
            <w:tcBorders>
              <w:top w:val="single" w:sz="6" w:space="0" w:color="000000"/>
              <w:left w:val="single" w:sz="14" w:space="0" w:color="D2D2D2"/>
              <w:bottom w:val="single" w:sz="6" w:space="0" w:color="000000"/>
              <w:right w:val="single" w:sz="6" w:space="0" w:color="FFFFFF"/>
            </w:tcBorders>
          </w:tcPr>
          <w:p>
            <w:pPr/>
          </w:p>
        </w:tc>
        <w:tc>
          <w:tcPr>
            <w:tcW w:w="2093" w:type="dxa"/>
            <w:gridSpan w:val="4"/>
            <w:tcBorders>
              <w:top w:val="single" w:sz="6" w:space="0" w:color="000000"/>
              <w:left w:val="single" w:sz="6" w:space="0" w:color="FFFFFF"/>
              <w:bottom w:val="single" w:sz="6" w:space="0" w:color="000000"/>
              <w:right w:val="single" w:sz="6" w:space="0" w:color="000000"/>
            </w:tcBorders>
            <w:shd w:val="clear" w:color="auto" w:fill="D2D2D2"/>
          </w:tcPr>
          <w:p>
            <w:pPr>
              <w:pStyle w:val="TableParagraph"/>
              <w:spacing w:line="316" w:lineRule="auto" w:before="11"/>
              <w:ind w:left="20" w:right="76"/>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C2</w:t>
            </w:r>
            <w:r>
              <w:rPr>
                <w:rFonts w:ascii="宋体" w:hAnsi="宋体" w:cs="宋体" w:eastAsia="宋体" w:hint="default"/>
                <w:sz w:val="18"/>
                <w:szCs w:val="18"/>
              </w:rPr>
              <w:t>）</w:t>
            </w:r>
          </w:p>
        </w:tc>
        <w:tc>
          <w:tcPr>
            <w:tcW w:w="2625" w:type="dxa"/>
            <w:gridSpan w:val="3"/>
            <w:tcBorders>
              <w:top w:val="single" w:sz="6" w:space="0" w:color="000000"/>
              <w:left w:val="single" w:sz="14" w:space="0" w:color="D2D2D2"/>
              <w:bottom w:val="single" w:sz="6" w:space="0" w:color="000000"/>
              <w:right w:val="single" w:sz="12" w:space="0" w:color="000000"/>
            </w:tcBorders>
          </w:tcPr>
          <w:p>
            <w:pPr/>
          </w:p>
        </w:tc>
      </w:tr>
      <w:tr>
        <w:trPr>
          <w:trHeight w:val="646" w:hRule="exact"/>
        </w:trPr>
        <w:tc>
          <w:tcPr>
            <w:tcW w:w="2909"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4" w:right="1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宋体" w:hAnsi="宋体" w:cs="宋体" w:eastAsia="宋体" w:hint="default"/>
                <w:sz w:val="18"/>
                <w:szCs w:val="18"/>
              </w:rPr>
              <w:t>C3</w:t>
            </w:r>
            <w:r>
              <w:rPr>
                <w:rFonts w:ascii="宋体" w:hAnsi="宋体" w:cs="宋体" w:eastAsia="宋体" w:hint="default"/>
                <w:sz w:val="18"/>
                <w:szCs w:val="18"/>
              </w:rPr>
              <w:t>）</w:t>
            </w:r>
          </w:p>
        </w:tc>
        <w:tc>
          <w:tcPr>
            <w:tcW w:w="2232" w:type="dxa"/>
            <w:gridSpan w:val="2"/>
            <w:tcBorders>
              <w:top w:val="single" w:sz="6" w:space="0" w:color="000000"/>
              <w:left w:val="single" w:sz="14" w:space="0" w:color="D2D2D2"/>
              <w:bottom w:val="single" w:sz="6" w:space="0" w:color="000000"/>
              <w:right w:val="single" w:sz="6" w:space="0" w:color="FFFFFF"/>
            </w:tcBorders>
          </w:tcPr>
          <w:p>
            <w:pPr/>
          </w:p>
        </w:tc>
        <w:tc>
          <w:tcPr>
            <w:tcW w:w="2093" w:type="dxa"/>
            <w:gridSpan w:val="4"/>
            <w:tcBorders>
              <w:top w:val="single" w:sz="6" w:space="0" w:color="000000"/>
              <w:left w:val="single" w:sz="6" w:space="0" w:color="FFFFFF"/>
              <w:bottom w:val="single" w:sz="6" w:space="0" w:color="000000"/>
              <w:right w:val="single" w:sz="6" w:space="0" w:color="000000"/>
            </w:tcBorders>
            <w:shd w:val="clear" w:color="auto" w:fill="D2D2D2"/>
          </w:tcPr>
          <w:p>
            <w:pPr>
              <w:pStyle w:val="TableParagraph"/>
              <w:spacing w:line="316" w:lineRule="auto" w:before="10"/>
              <w:ind w:left="20" w:right="76"/>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C4</w:t>
            </w:r>
            <w:r>
              <w:rPr>
                <w:rFonts w:ascii="宋体" w:hAnsi="宋体" w:cs="宋体" w:eastAsia="宋体" w:hint="default"/>
                <w:sz w:val="18"/>
                <w:szCs w:val="18"/>
              </w:rPr>
              <w:t>）</w:t>
            </w:r>
          </w:p>
        </w:tc>
        <w:tc>
          <w:tcPr>
            <w:tcW w:w="2625" w:type="dxa"/>
            <w:gridSpan w:val="3"/>
            <w:tcBorders>
              <w:top w:val="single" w:sz="6" w:space="0" w:color="000000"/>
              <w:left w:val="single" w:sz="14" w:space="0" w:color="D2D2D2"/>
              <w:bottom w:val="single" w:sz="6" w:space="0" w:color="000000"/>
              <w:right w:val="single" w:sz="12" w:space="0" w:color="000000"/>
            </w:tcBorders>
          </w:tcPr>
          <w:p>
            <w:pPr/>
          </w:p>
        </w:tc>
      </w:tr>
      <w:tr>
        <w:trPr>
          <w:trHeight w:val="319" w:hRule="exact"/>
        </w:trPr>
        <w:tc>
          <w:tcPr>
            <w:tcW w:w="9859"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39" w:hRule="exact"/>
        </w:trPr>
        <w:tc>
          <w:tcPr>
            <w:tcW w:w="2909"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32" w:type="dxa"/>
            <w:gridSpan w:val="2"/>
            <w:tcBorders>
              <w:top w:val="single" w:sz="6" w:space="0" w:color="000000"/>
              <w:left w:val="single" w:sz="14" w:space="0" w:color="D2D2D2"/>
              <w:bottom w:val="single" w:sz="6"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宋体" w:hAnsi="宋体" w:cs="宋体" w:eastAsia="宋体" w:hint="default"/>
                <w:sz w:val="18"/>
                <w:szCs w:val="18"/>
              </w:rPr>
            </w:pPr>
            <w:r>
              <w:rPr>
                <w:rFonts w:ascii="宋体"/>
                <w:sz w:val="18"/>
              </w:rPr>
              <w:t>40,800</w:t>
            </w:r>
          </w:p>
        </w:tc>
        <w:tc>
          <w:tcPr>
            <w:tcW w:w="2093"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20" w:right="76"/>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5" w:type="dxa"/>
            <w:gridSpan w:val="3"/>
            <w:tcBorders>
              <w:top w:val="single" w:sz="6" w:space="0" w:color="000000"/>
              <w:left w:val="single" w:sz="14" w:space="0" w:color="D2D2D2"/>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31,800</w:t>
            </w:r>
          </w:p>
        </w:tc>
      </w:tr>
      <w:tr>
        <w:trPr>
          <w:trHeight w:val="661" w:hRule="exact"/>
        </w:trPr>
        <w:tc>
          <w:tcPr>
            <w:tcW w:w="2909"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32" w:type="dxa"/>
            <w:gridSpan w:val="2"/>
            <w:tcBorders>
              <w:top w:val="single" w:sz="6" w:space="0" w:color="000000"/>
              <w:left w:val="single" w:sz="14" w:space="0" w:color="D2D2D2"/>
              <w:bottom w:val="single" w:sz="23" w:space="0" w:color="D2D2D2"/>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宋体" w:hAnsi="宋体" w:cs="宋体" w:eastAsia="宋体" w:hint="default"/>
                <w:sz w:val="18"/>
                <w:szCs w:val="18"/>
              </w:rPr>
            </w:pPr>
            <w:r>
              <w:rPr>
                <w:rFonts w:ascii="宋体"/>
                <w:sz w:val="18"/>
              </w:rPr>
              <w:t>40,800</w:t>
            </w:r>
          </w:p>
        </w:tc>
        <w:tc>
          <w:tcPr>
            <w:tcW w:w="2093"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1"/>
              <w:ind w:left="20" w:right="76"/>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5" w:type="dxa"/>
            <w:gridSpan w:val="3"/>
            <w:tcBorders>
              <w:top w:val="single" w:sz="6" w:space="0" w:color="000000"/>
              <w:left w:val="single" w:sz="14" w:space="0" w:color="D2D2D2"/>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33,300</w:t>
            </w:r>
          </w:p>
        </w:tc>
      </w:tr>
      <w:tr>
        <w:trPr>
          <w:trHeight w:val="398" w:hRule="exact"/>
        </w:trPr>
        <w:tc>
          <w:tcPr>
            <w:tcW w:w="5141"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8"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32.19%</w:t>
            </w:r>
          </w:p>
        </w:tc>
      </w:tr>
      <w:tr>
        <w:trPr>
          <w:trHeight w:val="341" w:hRule="exact"/>
        </w:trPr>
        <w:tc>
          <w:tcPr>
            <w:tcW w:w="9859" w:type="dxa"/>
            <w:gridSpan w:val="11"/>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70" w:hRule="exact"/>
        </w:trPr>
        <w:tc>
          <w:tcPr>
            <w:tcW w:w="5141"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宋体" w:hAnsi="宋体" w:cs="宋体" w:eastAsia="宋体" w:hint="default"/>
                <w:sz w:val="18"/>
                <w:szCs w:val="18"/>
              </w:rPr>
              <w:t>D</w:t>
            </w:r>
            <w:r>
              <w:rPr>
                <w:rFonts w:ascii="宋体" w:hAnsi="宋体" w:cs="宋体" w:eastAsia="宋体" w:hint="default"/>
                <w:sz w:val="18"/>
                <w:szCs w:val="18"/>
              </w:rPr>
              <w:t>）</w:t>
            </w:r>
          </w:p>
        </w:tc>
        <w:tc>
          <w:tcPr>
            <w:tcW w:w="4718"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28,800</w:t>
            </w:r>
          </w:p>
        </w:tc>
      </w:tr>
      <w:tr>
        <w:trPr>
          <w:trHeight w:val="661" w:hRule="exact"/>
        </w:trPr>
        <w:tc>
          <w:tcPr>
            <w:tcW w:w="5141"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4" w:right="10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 余额（</w:t>
            </w:r>
            <w:r>
              <w:rPr>
                <w:rFonts w:ascii="宋体" w:hAnsi="宋体" w:cs="宋体" w:eastAsia="宋体" w:hint="default"/>
                <w:sz w:val="18"/>
                <w:szCs w:val="18"/>
              </w:rPr>
              <w:t>E</w:t>
            </w:r>
            <w:r>
              <w:rPr>
                <w:rFonts w:ascii="宋体" w:hAnsi="宋体" w:cs="宋体" w:eastAsia="宋体" w:hint="default"/>
                <w:sz w:val="18"/>
                <w:szCs w:val="18"/>
              </w:rPr>
              <w:t>）</w:t>
            </w:r>
          </w:p>
        </w:tc>
        <w:tc>
          <w:tcPr>
            <w:tcW w:w="4718" w:type="dxa"/>
            <w:gridSpan w:val="7"/>
            <w:tcBorders>
              <w:top w:val="single" w:sz="6" w:space="0" w:color="000000"/>
              <w:left w:val="single" w:sz="14" w:space="0" w:color="D2D2D2"/>
              <w:bottom w:val="single" w:sz="6" w:space="0" w:color="000000"/>
              <w:right w:val="single" w:sz="12" w:space="0" w:color="000000"/>
            </w:tcBorders>
          </w:tcPr>
          <w:p>
            <w:pPr/>
          </w:p>
        </w:tc>
      </w:tr>
      <w:tr>
        <w:trPr>
          <w:trHeight w:val="326" w:hRule="exact"/>
        </w:trPr>
        <w:tc>
          <w:tcPr>
            <w:tcW w:w="5141"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4718" w:type="dxa"/>
            <w:gridSpan w:val="7"/>
            <w:tcBorders>
              <w:top w:val="single" w:sz="6" w:space="0" w:color="000000"/>
              <w:left w:val="single" w:sz="14" w:space="0" w:color="D2D2D2"/>
              <w:bottom w:val="single" w:sz="6" w:space="0" w:color="000000"/>
              <w:right w:val="single" w:sz="12" w:space="0" w:color="000000"/>
            </w:tcBorders>
          </w:tcPr>
          <w:p>
            <w:pPr/>
          </w:p>
        </w:tc>
      </w:tr>
      <w:tr>
        <w:trPr>
          <w:trHeight w:val="328" w:hRule="exact"/>
        </w:trPr>
        <w:tc>
          <w:tcPr>
            <w:tcW w:w="5141"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1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18"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28,800</w:t>
            </w:r>
          </w:p>
        </w:tc>
      </w:tr>
      <w:tr>
        <w:trPr>
          <w:trHeight w:val="660" w:hRule="exact"/>
        </w:trPr>
        <w:tc>
          <w:tcPr>
            <w:tcW w:w="5141"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4" w:right="62"/>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 任的情况说明（如有）</w:t>
            </w:r>
          </w:p>
        </w:tc>
        <w:tc>
          <w:tcPr>
            <w:tcW w:w="4718" w:type="dxa"/>
            <w:gridSpan w:val="7"/>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8" w:hRule="exact"/>
        </w:trPr>
        <w:tc>
          <w:tcPr>
            <w:tcW w:w="5141" w:type="dxa"/>
            <w:gridSpan w:val="4"/>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2"/>
              <w:ind w:left="1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7"/>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32"/>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Heading4"/>
        <w:spacing w:line="240" w:lineRule="auto" w:before="35"/>
        <w:ind w:left="1133" w:right="1121"/>
        <w:jc w:val="left"/>
        <w:rPr>
          <w:b w:val="0"/>
          <w:bCs w:val="0"/>
        </w:rPr>
      </w:pPr>
      <w:bookmarkStart w:name="（2）违规对外担保情况" w:id="91"/>
      <w:bookmarkEnd w:id="91"/>
      <w:r>
        <w:rPr>
          <w:b w:val="0"/>
          <w:bCs w:val="0"/>
        </w:rPr>
      </w:r>
      <w:r>
        <w:rPr/>
        <w:t>（</w:t>
      </w:r>
      <w:r>
        <w:rPr>
          <w:rFonts w:ascii="宋体" w:hAnsi="宋体" w:cs="宋体" w:eastAsia="宋体" w:hint="default"/>
        </w:rPr>
        <w:t>2</w:t>
      </w:r>
      <w:r>
        <w:rPr/>
        <w:t>）违规对外担保情况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74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公司报告期无违规对外担保情况。 </w:t>
      </w:r>
      <w:bookmarkStart w:name="3、委托他人进行现金资产管理情况" w:id="92"/>
      <w:bookmarkEnd w:id="92"/>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pStyle w:val="Heading4"/>
        <w:spacing w:line="240" w:lineRule="auto" w:before="46"/>
        <w:ind w:right="1121"/>
        <w:jc w:val="left"/>
        <w:rPr>
          <w:b w:val="0"/>
          <w:bCs w:val="0"/>
        </w:rPr>
      </w:pPr>
      <w:bookmarkStart w:name="（1）委托理财情况" w:id="93"/>
      <w:bookmarkEnd w:id="93"/>
      <w:r>
        <w:rPr>
          <w:b w:val="0"/>
          <w:bCs w:val="0"/>
        </w:rPr>
      </w:r>
      <w:r>
        <w:rPr/>
        <w:t>（</w:t>
      </w:r>
      <w:r>
        <w:rPr>
          <w:rFonts w:ascii="宋体" w:hAnsi="宋体" w:cs="宋体" w:eastAsia="宋体" w:hint="default"/>
        </w:rPr>
        <w:t>1</w:t>
      </w:r>
      <w:r>
        <w:rPr/>
        <w:t>）委托理财情况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4" w:right="8052"/>
        <w:jc w:val="left"/>
        <w:rPr>
          <w:sz w:val="18"/>
          <w:szCs w:val="18"/>
        </w:rPr>
      </w:pPr>
      <w:r>
        <w:rPr/>
        <w:t>□ 适用 √</w:t>
      </w:r>
      <w:r>
        <w:rPr>
          <w:spacing w:val="-1"/>
        </w:rPr>
        <w:t> </w:t>
      </w:r>
      <w:r>
        <w:rPr/>
        <w:t>不适用</w:t>
      </w:r>
      <w:r>
        <w:rPr/>
        <w:t> 公司报告期不存在委托理财</w:t>
      </w:r>
      <w:r>
        <w:rPr>
          <w:sz w:val="18"/>
          <w:szCs w:val="18"/>
        </w:rPr>
        <w:t>。</w:t>
      </w:r>
    </w:p>
    <w:p>
      <w:pPr>
        <w:pStyle w:val="Heading4"/>
        <w:spacing w:line="240" w:lineRule="auto" w:before="46"/>
        <w:ind w:left="1133" w:right="1121"/>
        <w:jc w:val="left"/>
        <w:rPr>
          <w:b w:val="0"/>
          <w:bCs w:val="0"/>
        </w:rPr>
      </w:pPr>
      <w:bookmarkStart w:name="（2）委托贷款情况" w:id="94"/>
      <w:bookmarkEnd w:id="94"/>
      <w:r>
        <w:rPr>
          <w:b w:val="0"/>
          <w:bCs w:val="0"/>
        </w:rPr>
      </w:r>
      <w:r>
        <w:rPr/>
        <w:t>（</w:t>
      </w:r>
      <w:r>
        <w:rPr>
          <w:rFonts w:ascii="宋体" w:hAnsi="宋体" w:cs="宋体" w:eastAsia="宋体" w:hint="default"/>
        </w:rPr>
        <w:t>2</w:t>
      </w:r>
      <w:r>
        <w:rPr/>
        <w:t>）委托贷款情况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02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公司报告期不存在委托贷款。 </w:t>
      </w:r>
      <w:bookmarkStart w:name="4、其他重大合同" w:id="95"/>
      <w:bookmarkEnd w:id="95"/>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pStyle w:val="BodyText"/>
        <w:spacing w:line="408" w:lineRule="auto"/>
        <w:ind w:left="1134" w:right="7602"/>
        <w:jc w:val="left"/>
      </w:pPr>
      <w:r>
        <w:rPr/>
        <w:t>□ 适用 √</w:t>
      </w:r>
      <w:r>
        <w:rPr>
          <w:spacing w:val="-1"/>
        </w:rPr>
        <w:t> </w:t>
      </w:r>
      <w:r>
        <w:rPr/>
        <w:t>不适用</w:t>
      </w:r>
      <w:r>
        <w:rPr/>
        <w:t> 公司报告期不存在其他重大合同。</w:t>
      </w:r>
    </w:p>
    <w:p>
      <w:pPr>
        <w:pStyle w:val="Heading2"/>
        <w:spacing w:line="240" w:lineRule="auto" w:before="179"/>
        <w:ind w:right="1121"/>
        <w:jc w:val="left"/>
        <w:rPr>
          <w:b w:val="0"/>
          <w:bCs w:val="0"/>
        </w:rPr>
      </w:pPr>
      <w:bookmarkStart w:name="十七、社会责任情况" w:id="96"/>
      <w:bookmarkEnd w:id="96"/>
      <w:r>
        <w:rPr>
          <w:b w:val="0"/>
          <w:bCs w:val="0"/>
        </w:rPr>
      </w:r>
      <w:r>
        <w:rPr/>
        <w:t>十七、社会责任情况</w:t>
      </w:r>
      <w:r>
        <w:rPr>
          <w:b w:val="0"/>
          <w:bCs w:val="0"/>
        </w:rPr>
      </w:r>
    </w:p>
    <w:p>
      <w:pPr>
        <w:pStyle w:val="BodyText"/>
        <w:spacing w:line="408" w:lineRule="auto" w:before="177"/>
        <w:ind w:left="1554" w:right="1121" w:hanging="420"/>
        <w:jc w:val="left"/>
      </w:pPr>
      <w:bookmarkStart w:name="1、履行社会责任情况" w:id="97"/>
      <w:bookmarkEnd w:id="97"/>
      <w:r>
        <w:rPr/>
      </w:r>
      <w:r>
        <w:rPr>
          <w:rFonts w:ascii="宋体" w:hAnsi="宋体" w:cs="宋体" w:eastAsia="宋体"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公司一直积极开展社会公益活动，长期关注贵州贫困地区留守儿童教育问题，定点帮助贵州大方县大</w:t>
      </w:r>
    </w:p>
    <w:p>
      <w:pPr>
        <w:pStyle w:val="BodyText"/>
        <w:spacing w:line="408" w:lineRule="auto"/>
        <w:ind w:left="1134" w:right="1131"/>
        <w:jc w:val="both"/>
      </w:pPr>
      <w:r>
        <w:rPr>
          <w:spacing w:val="-1"/>
        </w:rPr>
        <w:t>沟小学，组织员工捐款捐物，为留守儿童身心健康成长贡献自己的力量。同时，公司与南京市社会儿童福</w:t>
      </w:r>
      <w:r>
        <w:rPr>
          <w:spacing w:val="-84"/>
        </w:rPr>
        <w:t> </w:t>
      </w:r>
      <w:r>
        <w:rPr>
          <w:spacing w:val="-84"/>
        </w:rPr>
      </w:r>
      <w:r>
        <w:rPr>
          <w:spacing w:val="-1"/>
        </w:rPr>
        <w:t>利院也建立了长期的联谊关系，</w:t>
      </w:r>
      <w:r>
        <w:rPr>
          <w:rFonts w:ascii="宋体" w:hAnsi="宋体" w:cs="宋体" w:eastAsia="宋体" w:hint="default"/>
          <w:spacing w:val="-1"/>
        </w:rPr>
        <w:t>2017</w:t>
      </w:r>
      <w:r>
        <w:rPr>
          <w:spacing w:val="-1"/>
        </w:rPr>
        <w:t>年六一儿童节前夕，在获悉福利院整体搬迁，资金尚有缺口时，公司</w:t>
      </w:r>
      <w:r>
        <w:rPr>
          <w:spacing w:val="-84"/>
        </w:rPr>
        <w:t> </w:t>
      </w:r>
      <w:r>
        <w:rPr>
          <w:spacing w:val="-84"/>
        </w:rPr>
      </w:r>
      <w:r>
        <w:rPr>
          <w:spacing w:val="-1"/>
        </w:rPr>
        <w:t>立即组织“奉献爱心，邀您同行”的儿童节义卖活动，积极发动员工捐款捐物，将募集爱心款全部捐献给</w:t>
      </w:r>
      <w:r>
        <w:rPr>
          <w:spacing w:val="-85"/>
        </w:rPr>
        <w:t> </w:t>
      </w:r>
      <w:r>
        <w:rPr>
          <w:spacing w:val="-85"/>
        </w:rPr>
      </w:r>
      <w:r>
        <w:rPr/>
        <w:t>福利院，用于改善孩子们的生活设施，用实际行动履行企业的社会责任。</w:t>
      </w:r>
    </w:p>
    <w:p>
      <w:pPr>
        <w:spacing w:line="408" w:lineRule="auto" w:before="46"/>
        <w:ind w:left="1553" w:right="4243" w:hanging="420"/>
        <w:jc w:val="left"/>
        <w:rPr>
          <w:rFonts w:ascii="宋体" w:hAnsi="宋体" w:cs="宋体" w:eastAsia="宋体" w:hint="default"/>
          <w:sz w:val="21"/>
          <w:szCs w:val="21"/>
        </w:rPr>
      </w:pPr>
      <w:bookmarkStart w:name="2、履行精准扶贫社会责任情况" w:id="98"/>
      <w:bookmarkEnd w:id="98"/>
      <w:r>
        <w:rPr/>
      </w: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21"/>
          <w:szCs w:val="21"/>
        </w:rPr>
        <w:t>公司报告年度暂未开展精准扶贫工作，也暂无后续精准扶贫计划。</w:t>
      </w:r>
    </w:p>
    <w:p>
      <w:pPr>
        <w:spacing w:line="408" w:lineRule="auto" w:before="46"/>
        <w:ind w:left="1553" w:right="1121" w:hanging="420"/>
        <w:jc w:val="left"/>
        <w:rPr>
          <w:rFonts w:ascii="宋体" w:hAnsi="宋体" w:cs="宋体" w:eastAsia="宋体" w:hint="default"/>
          <w:sz w:val="21"/>
          <w:szCs w:val="21"/>
        </w:rPr>
      </w:pPr>
      <w:bookmarkStart w:name="3、环境保护相关的情况" w:id="99"/>
      <w:bookmarkEnd w:id="99"/>
      <w:r>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b/>
          <w:bCs/>
          <w:w w:val="99"/>
          <w:sz w:val="21"/>
          <w:szCs w:val="21"/>
        </w:rPr>
        <w:t> </w:t>
      </w:r>
      <w:r>
        <w:rPr>
          <w:rFonts w:ascii="宋体" w:hAnsi="宋体" w:cs="宋体" w:eastAsia="宋体" w:hint="default"/>
          <w:spacing w:val="-1"/>
          <w:sz w:val="21"/>
          <w:szCs w:val="21"/>
        </w:rPr>
        <w:t>公司电力业务主要从事智能电网系统的软、硬件研发、生产、销售、工程及服务，属于电力自动化行</w:t>
      </w:r>
    </w:p>
    <w:p>
      <w:pPr>
        <w:pStyle w:val="BodyText"/>
        <w:spacing w:line="408" w:lineRule="auto"/>
        <w:ind w:right="1131"/>
        <w:jc w:val="both"/>
      </w:pPr>
      <w:r>
        <w:rPr>
          <w:spacing w:val="-1"/>
        </w:rPr>
        <w:t>业，公司及子公司不属于环境保护部门公布的重点排污单位。公司一直高度重视环境保护工作，建立了公</w:t>
      </w:r>
      <w:r>
        <w:rPr>
          <w:spacing w:val="-84"/>
        </w:rPr>
        <w:t> </w:t>
      </w:r>
      <w:r>
        <w:rPr>
          <w:spacing w:val="-84"/>
        </w:rPr>
      </w:r>
      <w:r>
        <w:rPr>
          <w:spacing w:val="-1"/>
        </w:rPr>
        <w:t>司环保管理网络，对工艺操作、设备、设施、厂区绿化等方面进行环保管理，明确各职能部门和相关人员</w:t>
      </w:r>
      <w:r>
        <w:rPr>
          <w:spacing w:val="-82"/>
        </w:rPr>
        <w:t> </w:t>
      </w:r>
      <w:r>
        <w:rPr>
          <w:spacing w:val="-82"/>
        </w:rPr>
      </w:r>
      <w:r>
        <w:rPr>
          <w:spacing w:val="-1"/>
        </w:rPr>
        <w:t>的环保责任，并对环保工作的检查和奖惩均有具体规定。公司已通过环境保护治理设计，外排的各种污染</w:t>
      </w:r>
      <w:r>
        <w:rPr>
          <w:spacing w:val="-84"/>
        </w:rPr>
        <w:t> </w:t>
      </w:r>
      <w:r>
        <w:rPr>
          <w:spacing w:val="-84"/>
        </w:rPr>
      </w:r>
      <w:r>
        <w:rPr/>
        <w:t>物均能达到国家排放标准，不会对周边环境造成污染。</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left="1133" w:right="1121"/>
        <w:jc w:val="left"/>
        <w:rPr>
          <w:b w:val="0"/>
          <w:bCs w:val="0"/>
        </w:rPr>
      </w:pPr>
      <w:bookmarkStart w:name="十八、其他重大事项的说明" w:id="100"/>
      <w:bookmarkEnd w:id="100"/>
      <w:r>
        <w:rPr>
          <w:b w:val="0"/>
          <w:bCs w:val="0"/>
        </w:rPr>
      </w:r>
      <w:r>
        <w:rPr/>
        <w:t>十八、其他重大事项的说明</w:t>
      </w:r>
      <w:r>
        <w:rPr>
          <w:b w:val="0"/>
          <w:bCs w:val="0"/>
        </w:rPr>
      </w:r>
    </w:p>
    <w:p>
      <w:pPr>
        <w:pStyle w:val="BodyText"/>
        <w:spacing w:line="240" w:lineRule="auto" w:before="177"/>
        <w:ind w:right="1121"/>
        <w:jc w:val="left"/>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21"/>
        <w:jc w:val="left"/>
        <w:rPr>
          <w:b w:val="0"/>
          <w:bCs w:val="0"/>
        </w:rPr>
      </w:pPr>
      <w:bookmarkStart w:name="十九、公司子公司重大事项" w:id="101"/>
      <w:bookmarkEnd w:id="101"/>
      <w:r>
        <w:rPr>
          <w:b w:val="0"/>
          <w:bCs w:val="0"/>
        </w:rPr>
      </w:r>
      <w:r>
        <w:rPr/>
        <w:t>十九、公司子公司重大事项</w:t>
      </w:r>
      <w:r>
        <w:rPr>
          <w:b w:val="0"/>
          <w:bCs w:val="0"/>
        </w:rPr>
      </w:r>
    </w:p>
    <w:p>
      <w:pPr>
        <w:pStyle w:val="BodyText"/>
        <w:spacing w:line="240" w:lineRule="auto" w:before="177"/>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left="3945" w:right="1121"/>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left="1133" w:right="1121"/>
        <w:jc w:val="left"/>
        <w:rPr>
          <w:b w:val="0"/>
          <w:bCs w:val="0"/>
        </w:rPr>
      </w:pPr>
      <w:bookmarkStart w:name="一、股份变动情况" w:id="104"/>
      <w:bookmarkEnd w:id="104"/>
      <w:r>
        <w:rPr>
          <w:b w:val="0"/>
          <w:bCs w:val="0"/>
        </w:rPr>
      </w:r>
      <w:r>
        <w:rPr/>
        <w:t>一、股份变动情况</w:t>
      </w:r>
      <w:r>
        <w:rPr>
          <w:b w:val="0"/>
          <w:bCs w:val="0"/>
        </w:rPr>
      </w:r>
    </w:p>
    <w:p>
      <w:pPr>
        <w:pStyle w:val="Heading4"/>
        <w:spacing w:line="240" w:lineRule="auto" w:before="177"/>
        <w:ind w:left="1133" w:right="1121"/>
        <w:jc w:val="left"/>
        <w:rPr>
          <w:b w:val="0"/>
          <w:bCs w:val="0"/>
        </w:rPr>
      </w:pPr>
      <w:bookmarkStart w:name="1、股份变动情况" w:id="105"/>
      <w:bookmarkEnd w:id="105"/>
      <w:r>
        <w:rPr>
          <w:b w:val="0"/>
          <w:bCs w:val="0"/>
        </w:rPr>
      </w:r>
      <w:r>
        <w:rPr>
          <w:rFonts w:ascii="宋体" w:hAnsi="宋体" w:cs="宋体" w:eastAsia="宋体" w:hint="default"/>
        </w:rPr>
        <w:t>1</w:t>
      </w:r>
      <w:r>
        <w:rPr/>
        <w:t>、股份变动情况</w:t>
      </w:r>
      <w:r>
        <w:rPr>
          <w:b w:val="0"/>
          <w:bCs w:val="0"/>
        </w:rPr>
      </w:r>
    </w:p>
    <w:p>
      <w:pPr>
        <w:spacing w:line="240" w:lineRule="auto" w:before="6"/>
        <w:rPr>
          <w:rFonts w:ascii="宋体" w:hAnsi="宋体" w:cs="宋体" w:eastAsia="宋体" w:hint="default"/>
          <w:b/>
          <w:bCs/>
          <w:sz w:val="10"/>
          <w:szCs w:val="10"/>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9"/>
        <w:rPr>
          <w:rFonts w:ascii="宋体" w:hAnsi="宋体" w:cs="宋体" w:eastAsia="宋体" w:hint="default"/>
          <w:sz w:val="9"/>
          <w:szCs w:val="9"/>
        </w:rPr>
      </w:pPr>
    </w:p>
    <w:tbl>
      <w:tblPr>
        <w:tblW w:w="0" w:type="auto"/>
        <w:jc w:val="left"/>
        <w:tblInd w:w="975" w:type="dxa"/>
        <w:tblLayout w:type="fixed"/>
        <w:tblCellMar>
          <w:top w:w="0" w:type="dxa"/>
          <w:left w:w="0" w:type="dxa"/>
          <w:bottom w:w="0" w:type="dxa"/>
          <w:right w:w="0" w:type="dxa"/>
        </w:tblCellMar>
        <w:tblLook w:val="01E0"/>
      </w:tblPr>
      <w:tblGrid>
        <w:gridCol w:w="1845"/>
        <w:gridCol w:w="1134"/>
        <w:gridCol w:w="708"/>
        <w:gridCol w:w="567"/>
        <w:gridCol w:w="568"/>
        <w:gridCol w:w="1134"/>
        <w:gridCol w:w="992"/>
        <w:gridCol w:w="1134"/>
        <w:gridCol w:w="1134"/>
        <w:gridCol w:w="707"/>
      </w:tblGrid>
      <w:tr>
        <w:trPr>
          <w:trHeight w:val="370" w:hRule="exact"/>
        </w:trPr>
        <w:tc>
          <w:tcPr>
            <w:tcW w:w="184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842"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120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1"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1" w:hRule="exact"/>
        </w:trPr>
        <w:tc>
          <w:tcPr>
            <w:tcW w:w="1845" w:type="dxa"/>
            <w:vMerge w:val="restart"/>
            <w:tcBorders>
              <w:top w:val="nil" w:sz="6" w:space="0" w:color="auto"/>
              <w:left w:val="single" w:sz="12" w:space="0" w:color="000000"/>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56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38"/>
              <w:ind w:left="96" w:right="9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8"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9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707"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07" w:hRule="exact"/>
        </w:trPr>
        <w:tc>
          <w:tcPr>
            <w:tcW w:w="1845" w:type="dxa"/>
            <w:vMerge/>
            <w:tcBorders>
              <w:left w:val="single" w:sz="12"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7" w:type="dxa"/>
            <w:vMerge/>
            <w:tcBorders>
              <w:left w:val="single" w:sz="6" w:space="0" w:color="000000"/>
              <w:right w:val="single" w:sz="6" w:space="0" w:color="000000"/>
            </w:tcBorders>
            <w:shd w:val="clear" w:color="auto" w:fill="D2D2D2"/>
          </w:tcPr>
          <w:p>
            <w:pPr/>
          </w:p>
        </w:tc>
        <w:tc>
          <w:tcPr>
            <w:tcW w:w="56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45" w:type="dxa"/>
            <w:vMerge w:val="restart"/>
            <w:tcBorders>
              <w:top w:val="nil" w:sz="6" w:space="0" w:color="auto"/>
              <w:left w:val="single" w:sz="12"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568"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992"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707" w:type="dxa"/>
            <w:vMerge/>
            <w:tcBorders>
              <w:left w:val="single" w:sz="6" w:space="0" w:color="000000"/>
              <w:bottom w:val="nil" w:sz="6" w:space="0" w:color="auto"/>
              <w:right w:val="single" w:sz="12" w:space="0" w:color="000000"/>
            </w:tcBorders>
            <w:shd w:val="clear" w:color="auto" w:fill="D2D2D2"/>
          </w:tcPr>
          <w:p>
            <w:pPr/>
          </w:p>
        </w:tc>
      </w:tr>
      <w:tr>
        <w:trPr>
          <w:trHeight w:val="185" w:hRule="exact"/>
        </w:trPr>
        <w:tc>
          <w:tcPr>
            <w:tcW w:w="1845" w:type="dxa"/>
            <w:vMerge/>
            <w:tcBorders>
              <w:left w:val="single" w:sz="12"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tcBorders>
              <w:top w:val="nil" w:sz="6" w:space="0" w:color="auto"/>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568"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9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707"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391"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44,760,426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0" w:right="0"/>
              <w:jc w:val="center"/>
              <w:rPr>
                <w:rFonts w:ascii="宋体" w:hAnsi="宋体" w:cs="宋体" w:eastAsia="宋体" w:hint="default"/>
                <w:sz w:val="18"/>
                <w:szCs w:val="18"/>
              </w:rPr>
            </w:pPr>
            <w:r>
              <w:rPr>
                <w:rFonts w:ascii="宋体"/>
                <w:sz w:val="18"/>
              </w:rPr>
              <w:t>26.94%</w:t>
            </w: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76" w:right="0"/>
              <w:jc w:val="center"/>
              <w:rPr>
                <w:rFonts w:ascii="宋体" w:hAnsi="宋体" w:cs="宋体" w:eastAsia="宋体" w:hint="default"/>
                <w:sz w:val="18"/>
                <w:szCs w:val="18"/>
              </w:rPr>
            </w:pPr>
            <w:r>
              <w:rPr>
                <w:rFonts w:ascii="宋体"/>
                <w:sz w:val="18"/>
              </w:rPr>
              <w:t>67,140,639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-5,510,121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61,630,518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106,390,944</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left="118" w:right="0"/>
              <w:jc w:val="center"/>
              <w:rPr>
                <w:rFonts w:ascii="宋体" w:hAnsi="宋体" w:cs="宋体" w:eastAsia="宋体" w:hint="default"/>
                <w:sz w:val="18"/>
                <w:szCs w:val="18"/>
              </w:rPr>
            </w:pPr>
            <w:r>
              <w:rPr>
                <w:rFonts w:ascii="宋体"/>
                <w:sz w:val="18"/>
              </w:rPr>
              <w:t>25.65%</w:t>
            </w:r>
          </w:p>
        </w:tc>
      </w:tr>
      <w:tr>
        <w:trPr>
          <w:trHeight w:val="412"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44,760,426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sz w:val="18"/>
              </w:rPr>
              <w:t>26.94%</w:t>
            </w: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6" w:right="0"/>
              <w:jc w:val="center"/>
              <w:rPr>
                <w:rFonts w:ascii="宋体" w:hAnsi="宋体" w:cs="宋体" w:eastAsia="宋体" w:hint="default"/>
                <w:sz w:val="18"/>
                <w:szCs w:val="18"/>
              </w:rPr>
            </w:pPr>
            <w:r>
              <w:rPr>
                <w:rFonts w:ascii="宋体"/>
                <w:sz w:val="18"/>
              </w:rPr>
              <w:t>67,140,639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-5,510,121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61,630,518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106,390,944</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8" w:right="0"/>
              <w:jc w:val="center"/>
              <w:rPr>
                <w:rFonts w:ascii="宋体" w:hAnsi="宋体" w:cs="宋体" w:eastAsia="宋体" w:hint="default"/>
                <w:sz w:val="18"/>
                <w:szCs w:val="18"/>
              </w:rPr>
            </w:pPr>
            <w:r>
              <w:rPr>
                <w:rFonts w:ascii="宋体"/>
                <w:sz w:val="18"/>
              </w:rPr>
              <w:t>25.65%</w:t>
            </w:r>
          </w:p>
        </w:tc>
      </w:tr>
      <w:tr>
        <w:trPr>
          <w:trHeight w:val="412"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21,767,211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sz w:val="18"/>
              </w:rPr>
              <w:t>13.10%</w:t>
            </w: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6" w:right="0"/>
              <w:jc w:val="center"/>
              <w:rPr>
                <w:rFonts w:ascii="宋体" w:hAnsi="宋体" w:cs="宋体" w:eastAsia="宋体" w:hint="default"/>
                <w:sz w:val="18"/>
                <w:szCs w:val="18"/>
              </w:rPr>
            </w:pPr>
            <w:r>
              <w:rPr>
                <w:rFonts w:ascii="宋体"/>
                <w:sz w:val="18"/>
              </w:rPr>
              <w:t>32,650,816</w:t>
            </w: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32,650,816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54,418,027</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8" w:right="0"/>
              <w:jc w:val="center"/>
              <w:rPr>
                <w:rFonts w:ascii="宋体" w:hAnsi="宋体" w:cs="宋体" w:eastAsia="宋体" w:hint="default"/>
                <w:sz w:val="18"/>
                <w:szCs w:val="18"/>
              </w:rPr>
            </w:pPr>
            <w:r>
              <w:rPr>
                <w:rFonts w:ascii="宋体"/>
                <w:sz w:val="18"/>
              </w:rPr>
              <w:t>13.12%</w:t>
            </w:r>
          </w:p>
        </w:tc>
      </w:tr>
      <w:tr>
        <w:trPr>
          <w:trHeight w:val="413"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27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22,993,215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sz w:val="18"/>
              </w:rPr>
              <w:t>13.84%</w:t>
            </w: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6" w:right="0"/>
              <w:jc w:val="center"/>
              <w:rPr>
                <w:rFonts w:ascii="宋体" w:hAnsi="宋体" w:cs="宋体" w:eastAsia="宋体" w:hint="default"/>
                <w:sz w:val="18"/>
                <w:szCs w:val="18"/>
              </w:rPr>
            </w:pPr>
            <w:r>
              <w:rPr>
                <w:rFonts w:ascii="宋体"/>
                <w:sz w:val="18"/>
              </w:rPr>
              <w:t>34,489,823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-5,510,121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28,979,702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51,972,917</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8" w:right="0"/>
              <w:jc w:val="center"/>
              <w:rPr>
                <w:rFonts w:ascii="宋体" w:hAnsi="宋体" w:cs="宋体" w:eastAsia="宋体" w:hint="default"/>
                <w:sz w:val="18"/>
                <w:szCs w:val="18"/>
              </w:rPr>
            </w:pPr>
            <w:r>
              <w:rPr>
                <w:rFonts w:ascii="宋体"/>
                <w:sz w:val="18"/>
              </w:rPr>
              <w:t>12.53%</w:t>
            </w:r>
          </w:p>
        </w:tc>
      </w:tr>
      <w:tr>
        <w:trPr>
          <w:trHeight w:val="412"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121,361,422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sz w:val="18"/>
              </w:rPr>
              <w:t>73.06%</w:t>
            </w: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sz w:val="18"/>
              </w:rPr>
              <w:t>182,042,133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5,055,121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187,097,254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308,458,676</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8" w:right="0"/>
              <w:jc w:val="center"/>
              <w:rPr>
                <w:rFonts w:ascii="宋体" w:hAnsi="宋体" w:cs="宋体" w:eastAsia="宋体" w:hint="default"/>
                <w:sz w:val="18"/>
                <w:szCs w:val="18"/>
              </w:rPr>
            </w:pPr>
            <w:r>
              <w:rPr>
                <w:rFonts w:ascii="宋体"/>
                <w:sz w:val="18"/>
              </w:rPr>
              <w:t>74.35%</w:t>
            </w:r>
          </w:p>
        </w:tc>
      </w:tr>
      <w:tr>
        <w:trPr>
          <w:trHeight w:val="412" w:hRule="exact"/>
        </w:trPr>
        <w:tc>
          <w:tcPr>
            <w:tcW w:w="1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121,361,422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sz w:val="18"/>
              </w:rPr>
              <w:t>73.06%</w:t>
            </w: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sz w:val="18"/>
              </w:rPr>
              <w:t>182,042,133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5,055,121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187,097,254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308,458,676</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8" w:right="0"/>
              <w:jc w:val="center"/>
              <w:rPr>
                <w:rFonts w:ascii="宋体" w:hAnsi="宋体" w:cs="宋体" w:eastAsia="宋体" w:hint="default"/>
                <w:sz w:val="18"/>
                <w:szCs w:val="18"/>
              </w:rPr>
            </w:pPr>
            <w:r>
              <w:rPr>
                <w:rFonts w:ascii="宋体"/>
                <w:sz w:val="18"/>
              </w:rPr>
              <w:t>74.35%</w:t>
            </w:r>
          </w:p>
        </w:tc>
      </w:tr>
      <w:tr>
        <w:trPr>
          <w:trHeight w:val="421" w:hRule="exact"/>
        </w:trPr>
        <w:tc>
          <w:tcPr>
            <w:tcW w:w="18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166,121,848</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sz w:val="18"/>
              </w:rPr>
              <w:t>100.00%</w:t>
            </w:r>
          </w:p>
        </w:tc>
        <w:tc>
          <w:tcPr>
            <w:tcW w:w="567"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86" w:right="0"/>
              <w:jc w:val="center"/>
              <w:rPr>
                <w:rFonts w:ascii="宋体" w:hAnsi="宋体" w:cs="宋体" w:eastAsia="宋体" w:hint="default"/>
                <w:sz w:val="18"/>
                <w:szCs w:val="18"/>
              </w:rPr>
            </w:pPr>
            <w:r>
              <w:rPr>
                <w:rFonts w:ascii="宋体"/>
                <w:sz w:val="18"/>
              </w:rPr>
              <w:t>249,182,772</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-455,000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248,727,772</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414,849,620</w:t>
            </w:r>
          </w:p>
        </w:tc>
        <w:tc>
          <w:tcPr>
            <w:tcW w:w="7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28" w:right="0"/>
              <w:jc w:val="center"/>
              <w:rPr>
                <w:rFonts w:ascii="宋体" w:hAnsi="宋体" w:cs="宋体" w:eastAsia="宋体" w:hint="default"/>
                <w:sz w:val="18"/>
                <w:szCs w:val="18"/>
              </w:rPr>
            </w:pPr>
            <w:r>
              <w:rPr>
                <w:rFonts w:ascii="宋体"/>
                <w:sz w:val="18"/>
              </w:rPr>
              <w:t>100.00%</w:t>
            </w:r>
          </w:p>
        </w:tc>
      </w:tr>
    </w:tbl>
    <w:p>
      <w:pPr>
        <w:pStyle w:val="BodyText"/>
        <w:spacing w:line="240" w:lineRule="auto" w:before="63"/>
        <w:ind w:left="1134" w:right="1121"/>
        <w:jc w:val="left"/>
      </w:pPr>
      <w:r>
        <w:rPr/>
        <w:t>股份变动的原因</w:t>
      </w:r>
    </w:p>
    <w:p>
      <w:pPr>
        <w:spacing w:line="240" w:lineRule="auto" w:before="10"/>
        <w:rPr>
          <w:rFonts w:ascii="宋体" w:hAnsi="宋体" w:cs="宋体" w:eastAsia="宋体" w:hint="default"/>
          <w:sz w:val="14"/>
          <w:szCs w:val="14"/>
        </w:rPr>
      </w:pPr>
    </w:p>
    <w:p>
      <w:pPr>
        <w:pStyle w:val="BodyText"/>
        <w:spacing w:line="408" w:lineRule="auto" w:before="0"/>
        <w:ind w:left="1557" w:right="1121" w:hanging="424"/>
        <w:jc w:val="left"/>
      </w:pPr>
      <w:r>
        <w:rPr/>
        <w:t>√ 适用 □</w:t>
      </w:r>
      <w:r>
        <w:rPr>
          <w:spacing w:val="-1"/>
        </w:rPr>
        <w:t> </w:t>
      </w:r>
      <w:r>
        <w:rPr/>
        <w:t>不适用</w:t>
      </w:r>
      <w:r>
        <w:rPr/>
        <w:t> </w:t>
      </w:r>
      <w:r>
        <w:rPr>
          <w:spacing w:val="-1"/>
        </w:rPr>
        <w:t>报告期内，经公司第三届董事会第十一次会议及</w:t>
      </w:r>
      <w:r>
        <w:rPr>
          <w:rFonts w:ascii="宋体" w:hAnsi="宋体" w:cs="宋体" w:eastAsia="宋体" w:hint="default"/>
          <w:spacing w:val="-1"/>
        </w:rPr>
        <w:t>2016</w:t>
      </w:r>
      <w:r>
        <w:rPr>
          <w:spacing w:val="-1"/>
        </w:rPr>
        <w:t>年度股东大会审议通过了《关于</w:t>
      </w:r>
      <w:r>
        <w:rPr>
          <w:rFonts w:ascii="宋体" w:hAnsi="宋体" w:cs="宋体" w:eastAsia="宋体" w:hint="default"/>
          <w:spacing w:val="-1"/>
        </w:rPr>
        <w:t>2016</w:t>
      </w:r>
      <w:r>
        <w:rPr>
          <w:spacing w:val="-1"/>
        </w:rPr>
        <w:t>年度利润分</w:t>
      </w:r>
    </w:p>
    <w:p>
      <w:pPr>
        <w:pStyle w:val="BodyText"/>
        <w:spacing w:line="408" w:lineRule="auto"/>
        <w:ind w:right="1026"/>
        <w:jc w:val="left"/>
      </w:pPr>
      <w:r>
        <w:rPr/>
        <w:t>配及资本公积金转增股本的议案》，公司以总股本</w:t>
      </w:r>
      <w:r>
        <w:rPr>
          <w:rFonts w:ascii="宋体" w:hAnsi="宋体" w:cs="宋体" w:eastAsia="宋体" w:hint="default"/>
        </w:rPr>
        <w:t>166,121,848</w:t>
      </w:r>
      <w:r>
        <w:rPr/>
        <w:t>股为基数，用资本公积金向全体股东每</w:t>
      </w:r>
      <w:r>
        <w:rPr>
          <w:rFonts w:ascii="宋体" w:hAnsi="宋体" w:cs="宋体" w:eastAsia="宋体" w:hint="default"/>
        </w:rPr>
        <w:t>10</w:t>
      </w:r>
      <w:r>
        <w:rPr>
          <w:rFonts w:ascii="宋体" w:hAnsi="宋体" w:cs="宋体" w:eastAsia="宋体" w:hint="default"/>
          <w:spacing w:val="-27"/>
        </w:rPr>
        <w:t> </w:t>
      </w:r>
      <w:r>
        <w:rPr/>
        <w:t>股转增</w:t>
      </w:r>
      <w:r>
        <w:rPr>
          <w:rFonts w:ascii="宋体" w:hAnsi="宋体" w:cs="宋体" w:eastAsia="宋体" w:hint="default"/>
        </w:rPr>
        <w:t>15</w:t>
      </w:r>
      <w:r>
        <w:rPr/>
        <w:t>股，共计转增</w:t>
      </w:r>
      <w:r>
        <w:rPr>
          <w:rFonts w:ascii="宋体" w:hAnsi="宋体" w:cs="宋体" w:eastAsia="宋体" w:hint="default"/>
        </w:rPr>
        <w:t>249,182,772</w:t>
      </w:r>
      <w:r>
        <w:rPr/>
        <w:t>股；经公司第三届董事会第十六次会议通过了《关于公司限制性股票</w:t>
      </w:r>
      <w:r>
        <w:rPr>
          <w:spacing w:val="-28"/>
        </w:rPr>
        <w:t> </w:t>
      </w:r>
      <w:r>
        <w:rPr>
          <w:spacing w:val="-28"/>
        </w:rPr>
      </w:r>
      <w:r>
        <w:rPr/>
        <w:t>激励计划第一个解锁期可解锁的议案》、《关于回购注销部分限制性股票的议案》，公司第一期符合解锁</w:t>
      </w:r>
      <w:r>
        <w:rPr/>
        <w:t> 条件的限制性股票</w:t>
      </w:r>
      <w:r>
        <w:rPr>
          <w:rFonts w:ascii="宋体" w:hAnsi="宋体" w:cs="宋体" w:eastAsia="宋体" w:hint="default"/>
        </w:rPr>
        <w:t>4,850,000</w:t>
      </w:r>
      <w:r>
        <w:rPr/>
        <w:t>股于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22</w:t>
      </w:r>
      <w:r>
        <w:rPr/>
        <w:t>日上市流通，股份性质由有限售条件股份变为无限售条件股 </w:t>
      </w:r>
      <w:r>
        <w:rPr>
          <w:spacing w:val="-3"/>
        </w:rPr>
        <w:t>份；已授予尚未解锁的</w:t>
      </w:r>
      <w:r>
        <w:rPr>
          <w:rFonts w:ascii="宋体" w:hAnsi="宋体" w:cs="宋体" w:eastAsia="宋体" w:hint="default"/>
          <w:spacing w:val="-3"/>
        </w:rPr>
        <w:t>455,000</w:t>
      </w:r>
      <w:r>
        <w:rPr>
          <w:spacing w:val="-3"/>
        </w:rPr>
        <w:t>股限制性股票于</w:t>
      </w:r>
      <w:r>
        <w:rPr>
          <w:rFonts w:ascii="宋体" w:hAnsi="宋体" w:cs="宋体" w:eastAsia="宋体" w:hint="default"/>
          <w:spacing w:val="-3"/>
        </w:rPr>
        <w:t>2017</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10</w:t>
      </w:r>
      <w:r>
        <w:rPr>
          <w:spacing w:val="-3"/>
        </w:rPr>
        <w:t>日完成回购注销，具体内容详见公告</w:t>
      </w:r>
      <w:r>
        <w:rPr>
          <w:rFonts w:ascii="宋体" w:hAnsi="宋体" w:cs="宋体" w:eastAsia="宋体" w:hint="default"/>
          <w:spacing w:val="-3"/>
        </w:rPr>
        <w:t>2017-019</w:t>
      </w:r>
      <w:r>
        <w:rPr>
          <w:spacing w:val="-3"/>
        </w:rPr>
        <w:t>、</w:t>
      </w:r>
      <w:r>
        <w:rPr>
          <w:spacing w:val="-65"/>
        </w:rPr>
        <w:t> </w:t>
      </w:r>
      <w:r>
        <w:rPr>
          <w:rFonts w:ascii="宋体" w:hAnsi="宋体" w:cs="宋体" w:eastAsia="宋体" w:hint="default"/>
        </w:rPr>
        <w:t>2017-054</w:t>
      </w:r>
      <w:r>
        <w:rPr/>
        <w:t>、</w:t>
      </w:r>
      <w:r>
        <w:rPr>
          <w:rFonts w:ascii="宋体" w:hAnsi="宋体" w:cs="宋体" w:eastAsia="宋体" w:hint="default"/>
        </w:rPr>
        <w:t>2017-063</w:t>
      </w:r>
      <w:r>
        <w:rPr/>
        <w:t>。上述股份变动后，公司总股本由</w:t>
      </w:r>
      <w:r>
        <w:rPr>
          <w:rFonts w:ascii="宋体" w:hAnsi="宋体" w:cs="宋体" w:eastAsia="宋体" w:hint="default"/>
        </w:rPr>
        <w:t>166,121,848</w:t>
      </w:r>
      <w:r>
        <w:rPr/>
        <w:t>股变更至</w:t>
      </w:r>
      <w:r>
        <w:rPr>
          <w:rFonts w:ascii="宋体" w:hAnsi="宋体" w:cs="宋体" w:eastAsia="宋体" w:hint="default"/>
        </w:rPr>
        <w:t>414,849,620</w:t>
      </w:r>
      <w:r>
        <w:rPr/>
        <w:t>股。</w:t>
      </w:r>
    </w:p>
    <w:p>
      <w:pPr>
        <w:pStyle w:val="BodyText"/>
        <w:spacing w:line="408" w:lineRule="auto"/>
        <w:ind w:left="1134" w:right="1092" w:firstLine="420"/>
        <w:jc w:val="left"/>
      </w:pPr>
      <w:r>
        <w:rPr/>
        <w:t>本次变动其他的余下股份，主要是公司董事、监事、高管持有的限售股份在报告期内自动解锁部份， 其股份性质变为无限售条件股份。</w:t>
      </w:r>
    </w:p>
    <w:p>
      <w:pPr>
        <w:spacing w:line="240" w:lineRule="auto" w:before="6"/>
        <w:rPr>
          <w:rFonts w:ascii="宋体" w:hAnsi="宋体" w:cs="宋体" w:eastAsia="宋体" w:hint="default"/>
          <w:sz w:val="15"/>
          <w:szCs w:val="15"/>
        </w:rPr>
      </w:pPr>
    </w:p>
    <w:p>
      <w:pPr>
        <w:pStyle w:val="BodyText"/>
        <w:spacing w:line="240" w:lineRule="auto" w:before="0"/>
        <w:ind w:left="1134" w:right="1121"/>
        <w:jc w:val="left"/>
      </w:pPr>
      <w:r>
        <w:rPr/>
        <w:t>股份变动的批准情况</w:t>
      </w:r>
    </w:p>
    <w:p>
      <w:pPr>
        <w:spacing w:line="240" w:lineRule="auto" w:before="10"/>
        <w:rPr>
          <w:rFonts w:ascii="宋体" w:hAnsi="宋体" w:cs="宋体" w:eastAsia="宋体" w:hint="default"/>
          <w:sz w:val="14"/>
          <w:szCs w:val="14"/>
        </w:rPr>
      </w:pPr>
    </w:p>
    <w:p>
      <w:pPr>
        <w:pStyle w:val="BodyText"/>
        <w:spacing w:line="408" w:lineRule="auto" w:before="0"/>
        <w:ind w:left="1554" w:right="1121" w:hanging="420"/>
        <w:jc w:val="left"/>
      </w:pPr>
      <w:r>
        <w:rPr/>
        <w:t>√ 适用 □</w:t>
      </w:r>
      <w:r>
        <w:rPr>
          <w:spacing w:val="-1"/>
        </w:rPr>
        <w:t> </w:t>
      </w:r>
      <w:r>
        <w:rPr/>
        <w:t>不适用</w:t>
      </w:r>
      <w:r>
        <w:rPr/>
        <w:t> 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4</w:t>
      </w:r>
      <w:r>
        <w:rPr/>
        <w:t>日召开</w:t>
      </w:r>
      <w:r>
        <w:rPr>
          <w:rFonts w:ascii="宋体" w:hAnsi="宋体" w:cs="宋体" w:eastAsia="宋体" w:hint="default"/>
        </w:rPr>
        <w:t>2016</w:t>
      </w:r>
      <w:r>
        <w:rPr/>
        <w:t>年度股东大会，审议批准了上述资本公积金转增股本事项；</w:t>
      </w:r>
      <w:r>
        <w:rPr>
          <w:rFonts w:ascii="宋体" w:hAnsi="宋体" w:cs="宋体" w:eastAsia="宋体" w:hint="default"/>
        </w:rPr>
        <w:t>2017</w:t>
      </w:r>
      <w:r>
        <w:rPr/>
        <w:t>年</w:t>
      </w:r>
      <w:r>
        <w:rPr>
          <w:rFonts w:ascii="宋体" w:hAnsi="宋体" w:cs="宋体" w:eastAsia="宋体" w:hint="default"/>
        </w:rPr>
        <w:t>6</w:t>
      </w:r>
      <w:r>
        <w:rPr/>
        <w:t>月</w:t>
      </w:r>
    </w:p>
    <w:p>
      <w:pPr>
        <w:pStyle w:val="BodyText"/>
        <w:spacing w:line="240" w:lineRule="auto"/>
        <w:ind w:right="0"/>
        <w:jc w:val="left"/>
      </w:pPr>
      <w:r>
        <w:rPr>
          <w:rFonts w:ascii="宋体" w:hAnsi="宋体" w:cs="宋体" w:eastAsia="宋体" w:hint="default"/>
        </w:rPr>
        <w:t>12</w:t>
      </w:r>
      <w:r>
        <w:rPr/>
        <w:t>日召开第三届董事会第十六次会议，审议批准了上述限制性股票激励计划第一个解锁期可解锁事项及回</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购注销部分限制性股票事项。</w:t>
      </w:r>
    </w:p>
    <w:p>
      <w:pPr>
        <w:spacing w:line="240" w:lineRule="auto" w:before="9"/>
        <w:rPr>
          <w:rFonts w:ascii="宋体" w:hAnsi="宋体" w:cs="宋体" w:eastAsia="宋体" w:hint="default"/>
          <w:sz w:val="26"/>
          <w:szCs w:val="26"/>
        </w:rPr>
      </w:pPr>
    </w:p>
    <w:p>
      <w:pPr>
        <w:pStyle w:val="BodyText"/>
        <w:spacing w:line="240" w:lineRule="auto" w:before="0"/>
        <w:ind w:right="1121"/>
        <w:jc w:val="left"/>
      </w:pPr>
      <w:r>
        <w:rPr/>
        <w:t>股份变动的过户情况</w:t>
      </w:r>
    </w:p>
    <w:p>
      <w:pPr>
        <w:spacing w:line="240" w:lineRule="auto" w:before="10"/>
        <w:rPr>
          <w:rFonts w:ascii="宋体" w:hAnsi="宋体" w:cs="宋体" w:eastAsia="宋体" w:hint="default"/>
          <w:sz w:val="14"/>
          <w:szCs w:val="14"/>
        </w:rPr>
      </w:pPr>
    </w:p>
    <w:p>
      <w:pPr>
        <w:pStyle w:val="BodyText"/>
        <w:spacing w:line="408" w:lineRule="auto" w:before="0"/>
        <w:ind w:left="1554" w:right="1121" w:hanging="420"/>
        <w:jc w:val="left"/>
      </w:pPr>
      <w:r>
        <w:rPr/>
        <w:t>√ 适用 □</w:t>
      </w:r>
      <w:r>
        <w:rPr>
          <w:spacing w:val="-1"/>
        </w:rPr>
        <w:t> </w:t>
      </w:r>
      <w:r>
        <w:rPr/>
        <w:t>不适用</w:t>
      </w:r>
      <w:r>
        <w:rPr/>
        <w:t> </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日，中国证券登记结算有限责任公司深圳分公司对公司上述限制性股票回购注销事项审</w:t>
      </w:r>
    </w:p>
    <w:p>
      <w:pPr>
        <w:pStyle w:val="BodyText"/>
        <w:spacing w:line="240" w:lineRule="auto"/>
        <w:ind w:left="1134" w:right="1121"/>
        <w:jc w:val="left"/>
      </w:pPr>
      <w:r>
        <w:rPr/>
        <w:t>核确认完成。</w:t>
      </w:r>
    </w:p>
    <w:p>
      <w:pPr>
        <w:spacing w:line="240" w:lineRule="auto" w:before="9"/>
        <w:rPr>
          <w:rFonts w:ascii="宋体" w:hAnsi="宋体" w:cs="宋体" w:eastAsia="宋体" w:hint="default"/>
          <w:sz w:val="26"/>
          <w:szCs w:val="26"/>
        </w:rPr>
      </w:pPr>
    </w:p>
    <w:p>
      <w:pPr>
        <w:pStyle w:val="BodyText"/>
        <w:spacing w:line="408" w:lineRule="auto" w:before="0"/>
        <w:ind w:left="1134" w:right="1121"/>
        <w:jc w:val="left"/>
      </w:pP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408" w:lineRule="auto"/>
        <w:ind w:left="1554" w:right="1121" w:hanging="420"/>
        <w:jc w:val="left"/>
      </w:pPr>
      <w:r>
        <w:rPr/>
        <w:t>√ 适用 □</w:t>
      </w:r>
      <w:r>
        <w:rPr>
          <w:spacing w:val="-1"/>
        </w:rPr>
        <w:t> </w:t>
      </w:r>
      <w:r>
        <w:rPr/>
        <w:t>不适用</w:t>
      </w:r>
      <w:r>
        <w:rPr/>
        <w:t> </w:t>
      </w:r>
      <w:r>
        <w:rPr>
          <w:spacing w:val="-1"/>
        </w:rPr>
        <w:t>报告期内，公司实施</w:t>
      </w:r>
      <w:r>
        <w:rPr>
          <w:rFonts w:ascii="宋体" w:hAnsi="宋体" w:cs="宋体" w:eastAsia="宋体" w:hint="default"/>
          <w:spacing w:val="-1"/>
        </w:rPr>
        <w:t>2016</w:t>
      </w:r>
      <w:r>
        <w:rPr>
          <w:spacing w:val="-1"/>
        </w:rPr>
        <w:t>年度利润分配及资本公积金转增股本方案，以资本公积金向全体股东每</w:t>
      </w:r>
      <w:r>
        <w:rPr>
          <w:rFonts w:ascii="宋体" w:hAnsi="宋体" w:cs="宋体" w:eastAsia="宋体" w:hint="default"/>
          <w:spacing w:val="-1"/>
        </w:rPr>
        <w:t>10</w:t>
      </w:r>
      <w:r>
        <w:rPr>
          <w:spacing w:val="-1"/>
        </w:rPr>
        <w:t>股</w:t>
      </w:r>
    </w:p>
    <w:p>
      <w:pPr>
        <w:pStyle w:val="BodyText"/>
        <w:spacing w:line="240" w:lineRule="auto"/>
        <w:ind w:right="0"/>
        <w:jc w:val="left"/>
      </w:pPr>
      <w:r>
        <w:rPr/>
        <w:t>转增</w:t>
      </w:r>
      <w:r>
        <w:rPr>
          <w:rFonts w:ascii="宋体" w:hAnsi="宋体" w:cs="宋体" w:eastAsia="宋体" w:hint="default"/>
        </w:rPr>
        <w:t>15</w:t>
      </w:r>
      <w:r>
        <w:rPr/>
        <w:t>股；并对</w:t>
      </w:r>
      <w:r>
        <w:rPr>
          <w:rFonts w:ascii="宋体" w:hAnsi="宋体" w:cs="宋体" w:eastAsia="宋体" w:hint="default"/>
        </w:rPr>
        <w:t>455,000</w:t>
      </w:r>
      <w:r>
        <w:rPr/>
        <w:t>股限制性股票予以回购注销。按照《公开发行证券的公司信息披露编报规则第</w:t>
      </w:r>
      <w:r>
        <w:rPr>
          <w:rFonts w:ascii="宋体" w:hAnsi="宋体" w:cs="宋体" w:eastAsia="宋体" w:hint="default"/>
        </w:rPr>
        <w:t>9</w:t>
      </w:r>
      <w:r>
        <w:rPr/>
        <w:t>号</w:t>
      </w:r>
    </w:p>
    <w:p>
      <w:pPr>
        <w:spacing w:line="240" w:lineRule="auto" w:before="10"/>
        <w:rPr>
          <w:rFonts w:ascii="宋体" w:hAnsi="宋体" w:cs="宋体" w:eastAsia="宋体" w:hint="default"/>
          <w:sz w:val="14"/>
          <w:szCs w:val="14"/>
        </w:rPr>
      </w:pPr>
    </w:p>
    <w:p>
      <w:pPr>
        <w:pStyle w:val="BodyText"/>
        <w:spacing w:line="408" w:lineRule="auto" w:before="0"/>
        <w:ind w:right="1130"/>
        <w:jc w:val="both"/>
      </w:pPr>
      <w:r>
        <w:rPr>
          <w:spacing w:val="-1"/>
        </w:rPr>
        <w:t>——净资产收益率和每股收益的计算及披露》（</w:t>
      </w:r>
      <w:r>
        <w:rPr>
          <w:rFonts w:ascii="宋体" w:hAnsi="宋体" w:cs="宋体" w:eastAsia="宋体" w:hint="default"/>
          <w:spacing w:val="-1"/>
        </w:rPr>
        <w:t>2010</w:t>
      </w:r>
      <w:r>
        <w:rPr>
          <w:spacing w:val="-1"/>
        </w:rPr>
        <w:t>年修订）的规定，在计算每股收益时根据股份变动的</w:t>
      </w:r>
      <w:r>
        <w:rPr>
          <w:spacing w:val="-83"/>
        </w:rPr>
        <w:t> </w:t>
      </w:r>
      <w:r>
        <w:rPr>
          <w:spacing w:val="-83"/>
        </w:rPr>
      </w:r>
      <w:r>
        <w:rPr>
          <w:spacing w:val="-1"/>
        </w:rPr>
        <w:t>时间对股本总额进行加权平均，并按公积金转增比例对以前年度的每股收益进行同步调整。本次股份变动</w:t>
      </w:r>
      <w:r>
        <w:rPr>
          <w:spacing w:val="-81"/>
        </w:rPr>
        <w:t> </w:t>
      </w:r>
      <w:r>
        <w:rPr>
          <w:spacing w:val="-81"/>
        </w:rPr>
      </w:r>
      <w:r>
        <w:rPr>
          <w:spacing w:val="-1"/>
        </w:rPr>
        <w:t>对公司最近一年和最近一期基本收益、归属于公司普通股股东的每股净资产等财务指标的影响如下：</w:t>
      </w:r>
      <w:r>
        <w:rPr>
          <w:rFonts w:ascii="宋体" w:hAnsi="宋体" w:cs="宋体" w:eastAsia="宋体" w:hint="default"/>
          <w:spacing w:val="-1"/>
        </w:rPr>
        <w:t>2017</w:t>
      </w:r>
      <w:r>
        <w:rPr>
          <w:rFonts w:ascii="宋体" w:hAnsi="宋体" w:cs="宋体" w:eastAsia="宋体" w:hint="default"/>
          <w:spacing w:val="-79"/>
        </w:rPr>
        <w:t> </w:t>
      </w:r>
      <w:r>
        <w:rPr>
          <w:spacing w:val="-1"/>
        </w:rPr>
        <w:t>年度基本每股收益和稀释每股收益为</w:t>
      </w:r>
      <w:r>
        <w:rPr>
          <w:rFonts w:ascii="宋体" w:hAnsi="宋体" w:cs="宋体" w:eastAsia="宋体" w:hint="default"/>
          <w:spacing w:val="-1"/>
        </w:rPr>
        <w:t>-0.9619</w:t>
      </w:r>
      <w:r>
        <w:rPr>
          <w:spacing w:val="-1"/>
        </w:rPr>
        <w:t>元</w:t>
      </w:r>
      <w:r>
        <w:rPr>
          <w:rFonts w:ascii="宋体" w:hAnsi="宋体" w:cs="宋体" w:eastAsia="宋体" w:hint="default"/>
          <w:spacing w:val="-1"/>
        </w:rPr>
        <w:t>/</w:t>
      </w:r>
      <w:r>
        <w:rPr>
          <w:spacing w:val="-1"/>
        </w:rPr>
        <w:t>股，</w:t>
      </w:r>
      <w:r>
        <w:rPr>
          <w:rFonts w:ascii="宋体" w:hAnsi="宋体" w:cs="宋体" w:eastAsia="宋体" w:hint="default"/>
          <w:spacing w:val="-1"/>
        </w:rPr>
        <w:t>2016</w:t>
      </w:r>
      <w:r>
        <w:rPr>
          <w:spacing w:val="-1"/>
        </w:rPr>
        <w:t>年度基本每股收益由</w:t>
      </w:r>
      <w:r>
        <w:rPr>
          <w:rFonts w:ascii="宋体" w:hAnsi="宋体" w:cs="宋体" w:eastAsia="宋体" w:hint="default"/>
          <w:spacing w:val="-1"/>
        </w:rPr>
        <w:t>0.3888</w:t>
      </w:r>
      <w:r>
        <w:rPr>
          <w:spacing w:val="-1"/>
        </w:rPr>
        <w:t>元</w:t>
      </w:r>
      <w:r>
        <w:rPr>
          <w:rFonts w:ascii="宋体" w:hAnsi="宋体" w:cs="宋体" w:eastAsia="宋体" w:hint="default"/>
          <w:spacing w:val="-1"/>
        </w:rPr>
        <w:t>/</w:t>
      </w:r>
      <w:r>
        <w:rPr>
          <w:spacing w:val="-1"/>
        </w:rPr>
        <w:t>股调整为</w:t>
      </w:r>
      <w:r>
        <w:rPr>
          <w:rFonts w:ascii="宋体" w:hAnsi="宋体" w:cs="宋体" w:eastAsia="宋体" w:hint="default"/>
          <w:spacing w:val="-1"/>
        </w:rPr>
        <w:t>0.15552</w:t>
      </w:r>
      <w:r>
        <w:rPr>
          <w:rFonts w:ascii="宋体" w:hAnsi="宋体" w:cs="宋体" w:eastAsia="宋体" w:hint="default"/>
          <w:spacing w:val="-73"/>
        </w:rPr>
        <w:t> </w:t>
      </w:r>
      <w:r>
        <w:rPr>
          <w:rFonts w:ascii="宋体" w:hAnsi="宋体" w:cs="宋体" w:eastAsia="宋体" w:hint="default"/>
          <w:spacing w:val="-73"/>
        </w:rPr>
      </w:r>
      <w:r>
        <w:rPr>
          <w:spacing w:val="-1"/>
        </w:rPr>
        <w:t>元</w:t>
      </w:r>
      <w:r>
        <w:rPr>
          <w:rFonts w:ascii="宋体" w:hAnsi="宋体" w:cs="宋体" w:eastAsia="宋体" w:hint="default"/>
          <w:spacing w:val="-1"/>
        </w:rPr>
        <w:t>/</w:t>
      </w:r>
      <w:r>
        <w:rPr>
          <w:spacing w:val="-1"/>
        </w:rPr>
        <w:t>股；</w:t>
      </w:r>
      <w:r>
        <w:rPr>
          <w:rFonts w:ascii="宋体" w:hAnsi="宋体" w:cs="宋体" w:eastAsia="宋体" w:hint="default"/>
          <w:spacing w:val="-1"/>
        </w:rPr>
        <w:t>2017</w:t>
      </w:r>
      <w:r>
        <w:rPr>
          <w:spacing w:val="-1"/>
        </w:rPr>
        <w:t>年末归属于公司普通股股东的每股净资产为</w:t>
      </w:r>
      <w:r>
        <w:rPr>
          <w:rFonts w:ascii="宋体" w:hAnsi="宋体" w:cs="宋体" w:eastAsia="宋体" w:hint="default"/>
          <w:spacing w:val="-1"/>
        </w:rPr>
        <w:t>2.4933</w:t>
      </w:r>
      <w:r>
        <w:rPr>
          <w:spacing w:val="-1"/>
        </w:rPr>
        <w:t>元</w:t>
      </w:r>
      <w:r>
        <w:rPr>
          <w:rFonts w:ascii="宋体" w:hAnsi="宋体" w:cs="宋体" w:eastAsia="宋体" w:hint="default"/>
          <w:spacing w:val="-1"/>
        </w:rPr>
        <w:t>/</w:t>
      </w:r>
      <w:r>
        <w:rPr>
          <w:spacing w:val="-1"/>
        </w:rPr>
        <w:t>股，对</w:t>
      </w:r>
      <w:r>
        <w:rPr>
          <w:rFonts w:ascii="宋体" w:hAnsi="宋体" w:cs="宋体" w:eastAsia="宋体" w:hint="default"/>
          <w:spacing w:val="-1"/>
        </w:rPr>
        <w:t>2016</w:t>
      </w:r>
      <w:r>
        <w:rPr>
          <w:spacing w:val="-1"/>
        </w:rPr>
        <w:t>年末归属于公司普通股股东</w:t>
      </w:r>
      <w:r>
        <w:rPr>
          <w:spacing w:val="-77"/>
        </w:rPr>
        <w:t> </w:t>
      </w:r>
      <w:r>
        <w:rPr>
          <w:spacing w:val="-77"/>
        </w:rPr>
      </w:r>
      <w:r>
        <w:rPr/>
        <w:t>的每股净资产无影响。</w:t>
      </w:r>
    </w:p>
    <w:p>
      <w:pPr>
        <w:spacing w:line="240" w:lineRule="auto" w:before="6"/>
        <w:rPr>
          <w:rFonts w:ascii="宋体" w:hAnsi="宋体" w:cs="宋体" w:eastAsia="宋体" w:hint="default"/>
          <w:sz w:val="15"/>
          <w:szCs w:val="15"/>
        </w:rPr>
      </w:pPr>
    </w:p>
    <w:p>
      <w:pPr>
        <w:pStyle w:val="BodyText"/>
        <w:spacing w:line="240" w:lineRule="auto" w:before="0"/>
        <w:ind w:right="1121"/>
        <w:jc w:val="left"/>
      </w:pPr>
      <w:r>
        <w:rPr/>
        <w:t>公司认为必要或证券监管机构要求披露的其他内容</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 适用 √</w:t>
      </w:r>
      <w:r>
        <w:rPr>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121"/>
        <w:jc w:val="left"/>
        <w:rPr>
          <w:b w:val="0"/>
          <w:bCs w:val="0"/>
        </w:rPr>
      </w:pPr>
      <w:bookmarkStart w:name="2、限售股份变动情况" w:id="106"/>
      <w:bookmarkEnd w:id="106"/>
      <w:r>
        <w:rPr>
          <w:b w:val="0"/>
          <w:bCs w:val="0"/>
        </w:rPr>
      </w:r>
      <w:r>
        <w:rPr>
          <w:rFonts w:ascii="宋体" w:hAnsi="宋体" w:cs="宋体" w:eastAsia="宋体" w:hint="default"/>
        </w:rPr>
        <w:t>2</w:t>
      </w:r>
      <w:r>
        <w:rPr/>
        <w:t>、限售股份变动情况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before="140"/>
        <w:ind w:left="0" w:right="132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1363"/>
        <w:gridCol w:w="1369"/>
        <w:gridCol w:w="1522"/>
        <w:gridCol w:w="1559"/>
        <w:gridCol w:w="1277"/>
        <w:gridCol w:w="1118"/>
        <w:gridCol w:w="1361"/>
      </w:tblGrid>
      <w:tr>
        <w:trPr>
          <w:trHeight w:val="419" w:hRule="exact"/>
        </w:trPr>
        <w:tc>
          <w:tcPr>
            <w:tcW w:w="136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3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49"/>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1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638"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305" w:right="132" w:hanging="180"/>
              <w:jc w:val="left"/>
              <w:rPr>
                <w:rFonts w:ascii="宋体" w:hAnsi="宋体" w:cs="宋体" w:eastAsia="宋体" w:hint="default"/>
                <w:sz w:val="18"/>
                <w:szCs w:val="18"/>
              </w:rPr>
            </w:pPr>
            <w:r>
              <w:rPr>
                <w:rFonts w:ascii="宋体" w:hAnsi="宋体" w:cs="宋体" w:eastAsia="宋体" w:hint="default"/>
                <w:sz w:val="18"/>
                <w:szCs w:val="18"/>
              </w:rPr>
              <w:t>湖北乾瀚投资 有限公司</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21,767,211</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32,650,816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54,418,027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3"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11,268,975</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16,903,462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28,172,437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12"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2,792,616</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4,188,924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6,981,540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2"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熊珂</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1,265,625</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1,898,437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3,164,062</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类高管锁定</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13"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任晶晶</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1,189,342</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1,784,013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2,973,355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重组承诺</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46" w:hRule="exact"/>
        </w:trPr>
        <w:tc>
          <w:tcPr>
            <w:tcW w:w="13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775,575</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484,734</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1,163,362</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1,454,203</w:t>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191" w:right="191"/>
              <w:jc w:val="left"/>
              <w:rPr>
                <w:rFonts w:ascii="宋体" w:hAnsi="宋体" w:cs="宋体" w:eastAsia="宋体" w:hint="default"/>
                <w:sz w:val="18"/>
                <w:szCs w:val="18"/>
              </w:rPr>
            </w:pPr>
            <w:r>
              <w:rPr>
                <w:rFonts w:ascii="宋体" w:hAnsi="宋体" w:cs="宋体" w:eastAsia="宋体" w:hint="default"/>
                <w:sz w:val="18"/>
                <w:szCs w:val="18"/>
              </w:rPr>
              <w:t>高管锁定 股权激励</w:t>
            </w:r>
          </w:p>
        </w:tc>
        <w:tc>
          <w:tcPr>
            <w:tcW w:w="13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每年首个交易日</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363"/>
        <w:gridCol w:w="1369"/>
        <w:gridCol w:w="1522"/>
        <w:gridCol w:w="1559"/>
        <w:gridCol w:w="1277"/>
        <w:gridCol w:w="1118"/>
        <w:gridCol w:w="1361"/>
      </w:tblGrid>
      <w:tr>
        <w:trPr>
          <w:trHeight w:val="419" w:hRule="exact"/>
        </w:trPr>
        <w:tc>
          <w:tcPr>
            <w:tcW w:w="136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3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49"/>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1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91"/>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638"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492,137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307,584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793,405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977,958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91" w:right="191"/>
              <w:jc w:val="left"/>
              <w:rPr>
                <w:rFonts w:ascii="宋体" w:hAnsi="宋体" w:cs="宋体" w:eastAsia="宋体" w:hint="default"/>
                <w:sz w:val="18"/>
                <w:szCs w:val="18"/>
              </w:rPr>
            </w:pPr>
            <w:r>
              <w:rPr>
                <w:rFonts w:ascii="宋体" w:hAnsi="宋体" w:cs="宋体" w:eastAsia="宋体" w:hint="default"/>
                <w:sz w:val="18"/>
                <w:szCs w:val="18"/>
              </w:rPr>
              <w:t>高管锁定 股权激励</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640"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320,980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200,612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496,470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616,838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1"/>
              <w:ind w:left="191" w:right="191"/>
              <w:jc w:val="left"/>
              <w:rPr>
                <w:rFonts w:ascii="宋体" w:hAnsi="宋体" w:cs="宋体" w:eastAsia="宋体" w:hint="default"/>
                <w:sz w:val="18"/>
                <w:szCs w:val="18"/>
              </w:rPr>
            </w:pPr>
            <w:r>
              <w:rPr>
                <w:rFonts w:ascii="宋体" w:hAnsi="宋体" w:cs="宋体" w:eastAsia="宋体" w:hint="default"/>
                <w:sz w:val="18"/>
                <w:szCs w:val="18"/>
              </w:rPr>
              <w:t>高管锁定 股权激励</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12"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桂长钟</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167,724</w:t>
            </w:r>
          </w:p>
        </w:tc>
        <w:tc>
          <w:tcPr>
            <w:tcW w:w="152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251,586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419,310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1"/>
              <w:jc w:val="right"/>
              <w:rPr>
                <w:rFonts w:ascii="宋体" w:hAnsi="宋体" w:cs="宋体" w:eastAsia="宋体" w:hint="default"/>
                <w:sz w:val="18"/>
                <w:szCs w:val="18"/>
              </w:rPr>
            </w:pPr>
            <w:r>
              <w:rPr>
                <w:rFonts w:ascii="宋体" w:hAnsi="宋体" w:cs="宋体" w:eastAsia="宋体" w:hint="default"/>
                <w:sz w:val="18"/>
                <w:szCs w:val="18"/>
              </w:rPr>
              <w:t>重组承诺</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40"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李善元</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173,586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260,379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383,965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91" w:right="191"/>
              <w:jc w:val="left"/>
              <w:rPr>
                <w:rFonts w:ascii="宋体" w:hAnsi="宋体" w:cs="宋体" w:eastAsia="宋体" w:hint="default"/>
                <w:sz w:val="18"/>
                <w:szCs w:val="18"/>
              </w:rPr>
            </w:pPr>
            <w:r>
              <w:rPr>
                <w:rFonts w:ascii="宋体" w:hAnsi="宋体" w:cs="宋体" w:eastAsia="宋体" w:hint="default"/>
                <w:sz w:val="18"/>
                <w:szCs w:val="18"/>
              </w:rPr>
              <w:t>重组承诺 股权激励</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2"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其它小计</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4,546,655</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4,558,126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6,840,720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6,829,249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19" w:hRule="exact"/>
        </w:trPr>
        <w:tc>
          <w:tcPr>
            <w:tcW w:w="136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44,760,426</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5,601,056</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67,231,574</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106,390,944</w:t>
            </w:r>
          </w:p>
        </w:tc>
        <w:tc>
          <w:tcPr>
            <w:tcW w:w="111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36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13"/>
          <w:szCs w:val="13"/>
        </w:rPr>
      </w:pPr>
    </w:p>
    <w:p>
      <w:pPr>
        <w:pStyle w:val="Heading2"/>
        <w:spacing w:line="240" w:lineRule="auto" w:before="26"/>
        <w:ind w:right="0"/>
        <w:jc w:val="both"/>
        <w:rPr>
          <w:b w:val="0"/>
          <w:bCs w:val="0"/>
        </w:rPr>
      </w:pPr>
      <w:bookmarkStart w:name="二、证券发行与上市情况" w:id="107"/>
      <w:bookmarkEnd w:id="107"/>
      <w:r>
        <w:rPr>
          <w:b w:val="0"/>
          <w:bCs w:val="0"/>
        </w:rPr>
      </w:r>
      <w:r>
        <w:rPr/>
        <w:t>二、证券发行与上市情况</w:t>
      </w:r>
      <w:r>
        <w:rPr>
          <w:b w:val="0"/>
          <w:bCs w:val="0"/>
        </w:rPr>
      </w:r>
    </w:p>
    <w:p>
      <w:pPr>
        <w:pStyle w:val="Heading4"/>
        <w:spacing w:line="240" w:lineRule="auto" w:before="177"/>
        <w:ind w:left="1133" w:right="0"/>
        <w:jc w:val="both"/>
        <w:rPr>
          <w:b w:val="0"/>
          <w:bCs w:val="0"/>
        </w:rPr>
      </w:pPr>
      <w:bookmarkStart w:name="1、报告期内证券发行（不含优先股）情况" w:id="108"/>
      <w:bookmarkEnd w:id="108"/>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329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公司股份总数及股东结构的变动、公司资产和负债结构的变动情况说明" w:id="109"/>
      <w:bookmarkEnd w:id="109"/>
      <w:r>
        <w:rPr>
          <w:rFonts w:ascii="宋体" w:hAnsi="宋体" w:cs="宋体" w:eastAsia="宋体" w:hint="default"/>
          <w:sz w:val="21"/>
          <w:szCs w:val="21"/>
        </w:rPr>
      </w:r>
      <w:r>
        <w:rPr>
          <w:rFonts w:ascii="宋体" w:hAnsi="宋体" w:cs="宋体" w:eastAsia="宋体" w:hint="default"/>
          <w:b/>
          <w:bCs/>
          <w:w w:val="95"/>
          <w:sz w:val="21"/>
          <w:szCs w:val="21"/>
        </w:rPr>
        <w:t>2</w:t>
      </w:r>
      <w:r>
        <w:rPr>
          <w:rFonts w:ascii="宋体" w:hAnsi="宋体" w:cs="宋体" w:eastAsia="宋体" w:hint="default"/>
          <w:b/>
          <w:bCs/>
          <w:w w:val="95"/>
          <w:sz w:val="21"/>
          <w:szCs w:val="21"/>
        </w:rPr>
        <w:t>、公司股份总数及股东结构的变动、公司资产和负债结构的变动情况说明</w:t>
      </w:r>
      <w:r>
        <w:rPr>
          <w:rFonts w:ascii="宋体" w:hAnsi="宋体" w:cs="宋体" w:eastAsia="宋体" w:hint="default"/>
          <w:sz w:val="21"/>
          <w:szCs w:val="21"/>
        </w:rPr>
      </w:r>
    </w:p>
    <w:p>
      <w:pPr>
        <w:pStyle w:val="BodyText"/>
        <w:spacing w:line="408" w:lineRule="auto"/>
        <w:ind w:left="1557" w:right="1121" w:hanging="424"/>
        <w:jc w:val="left"/>
      </w:pPr>
      <w:r>
        <w:rPr/>
        <w:t>√ 适用 □</w:t>
      </w:r>
      <w:r>
        <w:rPr>
          <w:spacing w:val="-1"/>
        </w:rPr>
        <w:t> </w:t>
      </w:r>
      <w:r>
        <w:rPr/>
        <w:t>不适用</w:t>
      </w:r>
      <w:r>
        <w:rPr/>
        <w:t> </w:t>
      </w:r>
      <w:r>
        <w:rPr>
          <w:spacing w:val="-1"/>
        </w:rPr>
        <w:t>报告期内，经公司第三届董事会第十一次会议及</w:t>
      </w:r>
      <w:r>
        <w:rPr>
          <w:rFonts w:ascii="宋体" w:hAnsi="宋体" w:cs="宋体" w:eastAsia="宋体" w:hint="default"/>
          <w:spacing w:val="-1"/>
        </w:rPr>
        <w:t>2016</w:t>
      </w:r>
      <w:r>
        <w:rPr>
          <w:spacing w:val="-1"/>
        </w:rPr>
        <w:t>年度股东大会审议通过了《关于</w:t>
      </w:r>
      <w:r>
        <w:rPr>
          <w:rFonts w:ascii="宋体" w:hAnsi="宋体" w:cs="宋体" w:eastAsia="宋体" w:hint="default"/>
          <w:spacing w:val="-1"/>
        </w:rPr>
        <w:t>2016</w:t>
      </w:r>
      <w:r>
        <w:rPr>
          <w:spacing w:val="-1"/>
        </w:rPr>
        <w:t>年度利润分</w:t>
      </w:r>
    </w:p>
    <w:p>
      <w:pPr>
        <w:pStyle w:val="BodyText"/>
        <w:spacing w:line="408" w:lineRule="auto"/>
        <w:ind w:right="1129"/>
        <w:jc w:val="both"/>
      </w:pPr>
      <w:r>
        <w:rPr/>
        <w:t>配及资本公积金转增股本的议案》，公司以总股本</w:t>
      </w:r>
      <w:r>
        <w:rPr>
          <w:rFonts w:ascii="宋体" w:hAnsi="宋体" w:cs="宋体" w:eastAsia="宋体" w:hint="default"/>
        </w:rPr>
        <w:t>166,121,848</w:t>
      </w:r>
      <w:r>
        <w:rPr/>
        <w:t>股为基数，用资本公积金向全体股东每</w:t>
      </w:r>
      <w:r>
        <w:rPr>
          <w:rFonts w:ascii="宋体" w:hAnsi="宋体" w:cs="宋体" w:eastAsia="宋体" w:hint="default"/>
        </w:rPr>
        <w:t>10</w:t>
      </w:r>
      <w:r>
        <w:rPr>
          <w:rFonts w:ascii="宋体" w:hAnsi="宋体" w:cs="宋体" w:eastAsia="宋体" w:hint="default"/>
          <w:spacing w:val="-27"/>
        </w:rPr>
        <w:t> </w:t>
      </w:r>
      <w:r>
        <w:rPr/>
        <w:t>股转增</w:t>
      </w:r>
      <w:r>
        <w:rPr>
          <w:rFonts w:ascii="宋体" w:hAnsi="宋体" w:cs="宋体" w:eastAsia="宋体" w:hint="default"/>
        </w:rPr>
        <w:t>15</w:t>
      </w:r>
      <w:r>
        <w:rPr/>
        <w:t>股，共计转增</w:t>
      </w:r>
      <w:r>
        <w:rPr>
          <w:rFonts w:ascii="宋体" w:hAnsi="宋体" w:cs="宋体" w:eastAsia="宋体" w:hint="default"/>
        </w:rPr>
        <w:t>249,182,772</w:t>
      </w:r>
      <w:r>
        <w:rPr/>
        <w:t>股；经公司第三届董事会第十六次会议通过了《关于公司限制性股票</w:t>
      </w:r>
      <w:r>
        <w:rPr>
          <w:spacing w:val="-34"/>
        </w:rPr>
        <w:t> </w:t>
      </w:r>
      <w:r>
        <w:rPr>
          <w:spacing w:val="-34"/>
        </w:rPr>
      </w:r>
      <w:r>
        <w:rPr>
          <w:spacing w:val="-1"/>
        </w:rPr>
        <w:t>激励计划第一个解锁期可解锁的议案》、《关于回购注销部分限制性股票的议案》，公司第一期符合解锁</w:t>
      </w:r>
      <w:r>
        <w:rPr>
          <w:spacing w:val="-82"/>
        </w:rPr>
        <w:t> </w:t>
      </w:r>
      <w:r>
        <w:rPr>
          <w:spacing w:val="-82"/>
        </w:rPr>
      </w:r>
      <w:r>
        <w:rPr>
          <w:spacing w:val="-1"/>
        </w:rPr>
        <w:t>条件的限制性股票</w:t>
      </w:r>
      <w:r>
        <w:rPr>
          <w:rFonts w:ascii="宋体" w:hAnsi="宋体" w:cs="宋体" w:eastAsia="宋体" w:hint="default"/>
          <w:spacing w:val="-1"/>
        </w:rPr>
        <w:t>4,850,000</w:t>
      </w:r>
      <w:r>
        <w:rPr>
          <w:spacing w:val="-1"/>
        </w:rPr>
        <w:t>股于</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22</w:t>
      </w:r>
      <w:r>
        <w:rPr>
          <w:spacing w:val="-1"/>
        </w:rPr>
        <w:t>日上市流通，股份性质由有限售条件股份变为无限售条件股</w:t>
      </w:r>
      <w:r>
        <w:rPr>
          <w:spacing w:val="-78"/>
        </w:rPr>
        <w:t> </w:t>
      </w:r>
      <w:r>
        <w:rPr>
          <w:spacing w:val="-78"/>
        </w:rPr>
      </w:r>
      <w:r>
        <w:rPr>
          <w:spacing w:val="-1"/>
        </w:rPr>
        <w:t>份；已授予尚未解锁的</w:t>
      </w:r>
      <w:r>
        <w:rPr>
          <w:rFonts w:ascii="宋体" w:hAnsi="宋体" w:cs="宋体" w:eastAsia="宋体" w:hint="default"/>
          <w:spacing w:val="-1"/>
        </w:rPr>
        <w:t>455,000</w:t>
      </w:r>
      <w:r>
        <w:rPr>
          <w:spacing w:val="-1"/>
        </w:rPr>
        <w:t>股限制性股票于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10</w:t>
      </w:r>
      <w:r>
        <w:rPr>
          <w:spacing w:val="-1"/>
        </w:rPr>
        <w:t>日完成回购注销。上述股份变动后，公司总股</w:t>
      </w:r>
      <w:r>
        <w:rPr>
          <w:spacing w:val="-82"/>
        </w:rPr>
        <w:t> </w:t>
      </w:r>
      <w:r>
        <w:rPr>
          <w:spacing w:val="-82"/>
        </w:rPr>
      </w:r>
      <w:r>
        <w:rPr/>
        <w:t>本由</w:t>
      </w:r>
      <w:r>
        <w:rPr>
          <w:rFonts w:ascii="宋体" w:hAnsi="宋体" w:cs="宋体" w:eastAsia="宋体" w:hint="default"/>
        </w:rPr>
        <w:t>166,121,848</w:t>
      </w:r>
      <w:r>
        <w:rPr/>
        <w:t>股变更至</w:t>
      </w:r>
      <w:r>
        <w:rPr>
          <w:rFonts w:ascii="宋体" w:hAnsi="宋体" w:cs="宋体" w:eastAsia="宋体" w:hint="default"/>
        </w:rPr>
        <w:t>414,849,620</w:t>
      </w:r>
      <w:r>
        <w:rPr/>
        <w:t>股。</w:t>
      </w:r>
    </w:p>
    <w:p>
      <w:pPr>
        <w:pStyle w:val="BodyText"/>
        <w:spacing w:line="408" w:lineRule="auto"/>
        <w:ind w:right="1121" w:firstLine="423"/>
        <w:jc w:val="left"/>
      </w:pPr>
      <w:r>
        <w:rPr>
          <w:spacing w:val="-1"/>
        </w:rPr>
        <w:t>因上述限制性股票解锁及回购注销，按照企业会计准则确认的其他应付款中的股权支付回购义务由期</w:t>
      </w:r>
      <w:r>
        <w:rPr/>
        <w:t> 初</w:t>
      </w:r>
      <w:r>
        <w:rPr>
          <w:rFonts w:ascii="宋体" w:hAnsi="宋体" w:cs="宋体" w:eastAsia="宋体" w:hint="default"/>
        </w:rPr>
        <w:t>95,452,000</w:t>
      </w:r>
      <w:r>
        <w:rPr/>
        <w:t>元减少至</w:t>
      </w:r>
      <w:r>
        <w:rPr>
          <w:rFonts w:ascii="宋体" w:hAnsi="宋体" w:cs="宋体" w:eastAsia="宋体" w:hint="default"/>
        </w:rPr>
        <w:t>54,032,100</w:t>
      </w:r>
      <w:r>
        <w:rPr/>
        <w:t>元，负债总额减少。</w:t>
      </w:r>
    </w:p>
    <w:p>
      <w:pPr>
        <w:pStyle w:val="Heading4"/>
        <w:spacing w:line="240" w:lineRule="auto" w:before="46"/>
        <w:ind w:right="0"/>
        <w:jc w:val="both"/>
        <w:rPr>
          <w:b w:val="0"/>
          <w:bCs w:val="0"/>
        </w:rPr>
      </w:pPr>
      <w:bookmarkStart w:name="3、现存的内部职工股情况" w:id="110"/>
      <w:bookmarkEnd w:id="110"/>
      <w:r>
        <w:rPr>
          <w:b w:val="0"/>
          <w:bCs w:val="0"/>
        </w:rPr>
      </w:r>
      <w:r>
        <w:rPr>
          <w:rFonts w:ascii="宋体" w:hAnsi="宋体" w:cs="宋体" w:eastAsia="宋体" w:hint="default"/>
        </w:rPr>
        <w:t>3</w:t>
      </w:r>
      <w:r>
        <w:rPr/>
        <w:t>、现存的内部职工股情况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0"/>
        <w:jc w:val="both"/>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三、股东和实际控制人情况" w:id="111"/>
      <w:bookmarkEnd w:id="111"/>
      <w:r>
        <w:rPr>
          <w:b w:val="0"/>
          <w:bCs w:val="0"/>
        </w:rPr>
      </w:r>
      <w:r>
        <w:rPr/>
        <w:t>三、股东和实际控制人情况</w:t>
      </w:r>
      <w:r>
        <w:rPr>
          <w:b w:val="0"/>
          <w:bCs w:val="0"/>
        </w:rPr>
      </w:r>
    </w:p>
    <w:p>
      <w:pPr>
        <w:pStyle w:val="Heading4"/>
        <w:spacing w:line="240" w:lineRule="auto" w:before="177"/>
        <w:ind w:left="1133" w:right="0"/>
        <w:jc w:val="both"/>
        <w:rPr>
          <w:b w:val="0"/>
          <w:bCs w:val="0"/>
        </w:rPr>
      </w:pPr>
      <w:bookmarkStart w:name="1、公司股东数量及持股情况" w:id="112"/>
      <w:bookmarkEnd w:id="112"/>
      <w:r>
        <w:rPr>
          <w:b w:val="0"/>
          <w:bCs w:val="0"/>
        </w:rPr>
      </w:r>
      <w:r>
        <w:rPr>
          <w:rFonts w:ascii="宋体" w:hAnsi="宋体" w:cs="宋体" w:eastAsia="宋体" w:hint="default"/>
        </w:rPr>
        <w:t>1</w:t>
      </w:r>
      <w:r>
        <w:rPr/>
        <w:t>、公司股东数量及持股情况</w:t>
      </w:r>
      <w:r>
        <w:rPr>
          <w:b w:val="0"/>
          <w:bCs w:val="0"/>
        </w:rPr>
      </w:r>
    </w:p>
    <w:p>
      <w:pPr>
        <w:spacing w:line="240" w:lineRule="auto" w:before="12"/>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49.277008pt;margin-top:112.499985pt;width:85.25pt;height:23.4pt;mso-position-horizontal-relative:page;mso-position-vertical-relative:page;z-index:-1094704" type="#_x0000_t202" filled="false" stroked="false">
            <v:textbox inset="0,0,0,0">
              <w:txbxContent>
                <w:p>
                  <w:pPr>
                    <w:spacing w:line="240" w:lineRule="auto" w:before="6"/>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19989pt;margin-top:112.499985pt;width:52pt;height:23.4pt;mso-position-horizontal-relative:page;mso-position-vertical-relative:page;z-index:-1094680" coordorigin="9650,2250" coordsize="1040,468">
            <v:shape style="position:absolute;left:9650;top:2250;width:1040;height:468" coordorigin="9650,2250" coordsize="1040,468" path="m9650,2718l10690,2718,10690,2250,9650,2250,9650,2718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1335"/>
        <w:gridCol w:w="134"/>
        <w:gridCol w:w="671"/>
        <w:gridCol w:w="718"/>
        <w:gridCol w:w="767"/>
        <w:gridCol w:w="1185"/>
        <w:gridCol w:w="1003"/>
        <w:gridCol w:w="294"/>
        <w:gridCol w:w="731"/>
        <w:gridCol w:w="354"/>
        <w:gridCol w:w="748"/>
        <w:gridCol w:w="280"/>
        <w:gridCol w:w="285"/>
        <w:gridCol w:w="508"/>
        <w:gridCol w:w="559"/>
      </w:tblGrid>
      <w:tr>
        <w:trPr>
          <w:trHeight w:val="171" w:hRule="exact"/>
        </w:trPr>
        <w:tc>
          <w:tcPr>
            <w:tcW w:w="1335" w:type="dxa"/>
            <w:vMerge w:val="restart"/>
            <w:tcBorders>
              <w:top w:val="single" w:sz="12" w:space="0" w:color="000000"/>
              <w:left w:val="single" w:sz="12" w:space="0" w:color="000000"/>
              <w:right w:val="single" w:sz="6" w:space="0" w:color="000000"/>
            </w:tcBorders>
            <w:shd w:val="clear" w:color="auto" w:fill="D2D2D2"/>
          </w:tcPr>
          <w:p>
            <w:pPr/>
          </w:p>
        </w:tc>
        <w:tc>
          <w:tcPr>
            <w:tcW w:w="806" w:type="dxa"/>
            <w:gridSpan w:val="2"/>
            <w:vMerge w:val="restart"/>
            <w:tcBorders>
              <w:top w:val="single" w:sz="12" w:space="0" w:color="000000"/>
              <w:left w:val="single" w:sz="9" w:space="0" w:color="D2D2D2"/>
              <w:right w:val="single" w:sz="8"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7" w:right="0"/>
              <w:jc w:val="left"/>
              <w:rPr>
                <w:rFonts w:ascii="宋体" w:hAnsi="宋体" w:cs="宋体" w:eastAsia="宋体" w:hint="default"/>
                <w:sz w:val="18"/>
                <w:szCs w:val="18"/>
              </w:rPr>
            </w:pPr>
            <w:r>
              <w:rPr>
                <w:rFonts w:ascii="宋体"/>
                <w:sz w:val="18"/>
              </w:rPr>
              <w:t>17,477</w:t>
            </w:r>
          </w:p>
        </w:tc>
        <w:tc>
          <w:tcPr>
            <w:tcW w:w="1485" w:type="dxa"/>
            <w:gridSpan w:val="2"/>
            <w:tcBorders>
              <w:top w:val="single" w:sz="12" w:space="0" w:color="000000"/>
              <w:left w:val="single" w:sz="6" w:space="0" w:color="000000"/>
              <w:bottom w:val="nil" w:sz="6" w:space="0" w:color="auto"/>
              <w:right w:val="single" w:sz="6" w:space="0" w:color="000000"/>
            </w:tcBorders>
            <w:shd w:val="clear" w:color="auto" w:fill="D2D2D2"/>
          </w:tcPr>
          <w:p>
            <w:pPr/>
          </w:p>
        </w:tc>
        <w:tc>
          <w:tcPr>
            <w:tcW w:w="1185" w:type="dxa"/>
            <w:vMerge w:val="restart"/>
            <w:tcBorders>
              <w:top w:val="single" w:sz="12" w:space="0" w:color="000000"/>
              <w:left w:val="single" w:sz="8"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84" w:right="0"/>
              <w:jc w:val="left"/>
              <w:rPr>
                <w:rFonts w:ascii="宋体" w:hAnsi="宋体" w:cs="宋体" w:eastAsia="宋体" w:hint="default"/>
                <w:sz w:val="18"/>
                <w:szCs w:val="18"/>
              </w:rPr>
            </w:pPr>
            <w:r>
              <w:rPr>
                <w:rFonts w:ascii="宋体"/>
                <w:sz w:val="18"/>
              </w:rPr>
              <w:t>23,013</w:t>
            </w:r>
          </w:p>
        </w:tc>
        <w:tc>
          <w:tcPr>
            <w:tcW w:w="1297" w:type="dxa"/>
            <w:gridSpan w:val="2"/>
            <w:tcBorders>
              <w:top w:val="single" w:sz="12" w:space="0" w:color="000000"/>
              <w:left w:val="single" w:sz="6" w:space="0" w:color="000000"/>
              <w:bottom w:val="nil" w:sz="6" w:space="0" w:color="auto"/>
              <w:right w:val="single" w:sz="6" w:space="0" w:color="000000"/>
            </w:tcBorders>
            <w:shd w:val="clear" w:color="auto" w:fill="D2D2D2"/>
          </w:tcPr>
          <w:p>
            <w:pPr/>
          </w:p>
        </w:tc>
        <w:tc>
          <w:tcPr>
            <w:tcW w:w="1085" w:type="dxa"/>
            <w:gridSpan w:val="2"/>
            <w:vMerge w:val="restart"/>
            <w:tcBorders>
              <w:top w:val="single" w:sz="12"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6"/>
              <w:jc w:val="right"/>
              <w:rPr>
                <w:rFonts w:ascii="宋体" w:hAnsi="宋体" w:cs="宋体" w:eastAsia="宋体" w:hint="default"/>
                <w:sz w:val="18"/>
                <w:szCs w:val="18"/>
              </w:rPr>
            </w:pPr>
            <w:r>
              <w:rPr>
                <w:rFonts w:ascii="宋体"/>
                <w:sz w:val="18"/>
              </w:rPr>
              <w:t>0</w:t>
            </w:r>
          </w:p>
        </w:tc>
        <w:tc>
          <w:tcPr>
            <w:tcW w:w="1313"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10"/>
              <w:ind w:left="10" w:right="26"/>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508" w:type="dxa"/>
            <w:vMerge w:val="restart"/>
            <w:tcBorders>
              <w:top w:val="single" w:sz="12" w:space="0" w:color="000000"/>
              <w:left w:val="single" w:sz="14" w:space="0" w:color="D2D2D2"/>
              <w:right w:val="nil" w:sz="6" w:space="0" w:color="auto"/>
            </w:tcBorders>
          </w:tcPr>
          <w:p>
            <w:pPr/>
          </w:p>
        </w:tc>
        <w:tc>
          <w:tcPr>
            <w:tcW w:w="559" w:type="dxa"/>
            <w:tcBorders>
              <w:top w:val="single" w:sz="12" w:space="0" w:color="000000"/>
              <w:left w:val="nil" w:sz="6" w:space="0" w:color="auto"/>
              <w:bottom w:val="nil" w:sz="6" w:space="0" w:color="auto"/>
              <w:right w:val="single" w:sz="12" w:space="0" w:color="000000"/>
            </w:tcBorders>
          </w:tcPr>
          <w:p>
            <w:pPr/>
          </w:p>
        </w:tc>
      </w:tr>
      <w:tr>
        <w:trPr>
          <w:trHeight w:val="156" w:hRule="exact"/>
        </w:trPr>
        <w:tc>
          <w:tcPr>
            <w:tcW w:w="1335" w:type="dxa"/>
            <w:vMerge/>
            <w:tcBorders>
              <w:left w:val="single" w:sz="12" w:space="0" w:color="000000"/>
              <w:bottom w:val="nil" w:sz="6" w:space="0" w:color="auto"/>
              <w:right w:val="single" w:sz="6" w:space="0" w:color="000000"/>
            </w:tcBorders>
            <w:shd w:val="clear" w:color="auto" w:fill="D2D2D2"/>
          </w:tcPr>
          <w:p>
            <w:pPr/>
          </w:p>
        </w:tc>
        <w:tc>
          <w:tcPr>
            <w:tcW w:w="806" w:type="dxa"/>
            <w:gridSpan w:val="2"/>
            <w:vMerge/>
            <w:tcBorders>
              <w:left w:val="single" w:sz="9" w:space="0" w:color="D2D2D2"/>
              <w:right w:val="single" w:sz="8" w:space="0" w:color="D2D2D2"/>
            </w:tcBorders>
          </w:tcPr>
          <w:p>
            <w:pPr/>
          </w:p>
        </w:tc>
        <w:tc>
          <w:tcPr>
            <w:tcW w:w="1485"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10" w:right="198"/>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85" w:type="dxa"/>
            <w:vMerge/>
            <w:tcBorders>
              <w:left w:val="single" w:sz="8" w:space="0" w:color="D2D2D2"/>
              <w:right w:val="single" w:sz="9" w:space="0" w:color="D2D2D2"/>
            </w:tcBorders>
          </w:tcPr>
          <w:p>
            <w:pPr/>
          </w:p>
        </w:tc>
        <w:tc>
          <w:tcPr>
            <w:tcW w:w="1297"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1" w:right="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1085" w:type="dxa"/>
            <w:gridSpan w:val="2"/>
            <w:vMerge/>
            <w:tcBorders>
              <w:left w:val="single" w:sz="9" w:space="0" w:color="D2D2D2"/>
              <w:right w:val="single" w:sz="9" w:space="0" w:color="D2D2D2"/>
            </w:tcBorders>
          </w:tcPr>
          <w:p>
            <w:pPr/>
          </w:p>
        </w:tc>
        <w:tc>
          <w:tcPr>
            <w:tcW w:w="1313" w:type="dxa"/>
            <w:gridSpan w:val="3"/>
            <w:vMerge/>
            <w:tcBorders>
              <w:left w:val="single" w:sz="6" w:space="0" w:color="000000"/>
              <w:right w:val="single" w:sz="6" w:space="0" w:color="000000"/>
            </w:tcBorders>
            <w:shd w:val="clear" w:color="auto" w:fill="D2D2D2"/>
          </w:tcPr>
          <w:p>
            <w:pPr/>
          </w:p>
        </w:tc>
        <w:tc>
          <w:tcPr>
            <w:tcW w:w="508" w:type="dxa"/>
            <w:vMerge/>
            <w:tcBorders>
              <w:left w:val="single" w:sz="14" w:space="0" w:color="D2D2D2"/>
              <w:right w:val="nil" w:sz="6" w:space="0" w:color="auto"/>
            </w:tcBorders>
          </w:tcPr>
          <w:p>
            <w:pPr/>
          </w:p>
        </w:tc>
        <w:tc>
          <w:tcPr>
            <w:tcW w:w="559" w:type="dxa"/>
            <w:tcBorders>
              <w:top w:val="nil" w:sz="6" w:space="0" w:color="auto"/>
              <w:left w:val="nil" w:sz="6" w:space="0" w:color="auto"/>
              <w:bottom w:val="nil" w:sz="6" w:space="0" w:color="auto"/>
              <w:right w:val="single" w:sz="12" w:space="0" w:color="000000"/>
            </w:tcBorders>
          </w:tcPr>
          <w:p>
            <w:pPr/>
          </w:p>
        </w:tc>
      </w:tr>
      <w:tr>
        <w:trPr>
          <w:trHeight w:val="624" w:hRule="exact"/>
        </w:trPr>
        <w:tc>
          <w:tcPr>
            <w:tcW w:w="133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10"/>
              <w:ind w:left="13"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6" w:type="dxa"/>
            <w:gridSpan w:val="2"/>
            <w:vMerge/>
            <w:tcBorders>
              <w:left w:val="single" w:sz="9" w:space="0" w:color="D2D2D2"/>
              <w:right w:val="single" w:sz="8" w:space="0" w:color="D2D2D2"/>
            </w:tcBorders>
          </w:tcPr>
          <w:p>
            <w:pPr/>
          </w:p>
        </w:tc>
        <w:tc>
          <w:tcPr>
            <w:tcW w:w="1485" w:type="dxa"/>
            <w:gridSpan w:val="2"/>
            <w:vMerge/>
            <w:tcBorders>
              <w:left w:val="single" w:sz="6" w:space="0" w:color="000000"/>
              <w:right w:val="single" w:sz="6" w:space="0" w:color="000000"/>
            </w:tcBorders>
            <w:shd w:val="clear" w:color="auto" w:fill="D2D2D2"/>
          </w:tcPr>
          <w:p>
            <w:pPr/>
          </w:p>
        </w:tc>
        <w:tc>
          <w:tcPr>
            <w:tcW w:w="1185" w:type="dxa"/>
            <w:vMerge/>
            <w:tcBorders>
              <w:left w:val="single" w:sz="8" w:space="0" w:color="D2D2D2"/>
              <w:right w:val="single" w:sz="9" w:space="0" w:color="D2D2D2"/>
            </w:tcBorders>
          </w:tcPr>
          <w:p>
            <w:pPr/>
          </w:p>
        </w:tc>
        <w:tc>
          <w:tcPr>
            <w:tcW w:w="1297" w:type="dxa"/>
            <w:gridSpan w:val="2"/>
            <w:vMerge/>
            <w:tcBorders>
              <w:left w:val="single" w:sz="6" w:space="0" w:color="000000"/>
              <w:right w:val="single" w:sz="6" w:space="0" w:color="000000"/>
            </w:tcBorders>
            <w:shd w:val="clear" w:color="auto" w:fill="D2D2D2"/>
          </w:tcPr>
          <w:p>
            <w:pPr/>
          </w:p>
        </w:tc>
        <w:tc>
          <w:tcPr>
            <w:tcW w:w="1085" w:type="dxa"/>
            <w:gridSpan w:val="2"/>
            <w:vMerge/>
            <w:tcBorders>
              <w:left w:val="single" w:sz="9" w:space="0" w:color="D2D2D2"/>
              <w:right w:val="single" w:sz="9" w:space="0" w:color="D2D2D2"/>
            </w:tcBorders>
          </w:tcPr>
          <w:p>
            <w:pPr/>
          </w:p>
        </w:tc>
        <w:tc>
          <w:tcPr>
            <w:tcW w:w="1313" w:type="dxa"/>
            <w:gridSpan w:val="3"/>
            <w:vMerge/>
            <w:tcBorders>
              <w:left w:val="single" w:sz="6" w:space="0" w:color="000000"/>
              <w:right w:val="single" w:sz="6" w:space="0" w:color="000000"/>
            </w:tcBorders>
            <w:shd w:val="clear" w:color="auto" w:fill="D2D2D2"/>
          </w:tcPr>
          <w:p>
            <w:pPr/>
          </w:p>
        </w:tc>
        <w:tc>
          <w:tcPr>
            <w:tcW w:w="508" w:type="dxa"/>
            <w:vMerge/>
            <w:tcBorders>
              <w:left w:val="single" w:sz="14" w:space="0" w:color="D2D2D2"/>
              <w:right w:val="nil" w:sz="6" w:space="0" w:color="auto"/>
            </w:tcBorders>
          </w:tcPr>
          <w:p>
            <w:pPr/>
          </w:p>
        </w:tc>
        <w:tc>
          <w:tcPr>
            <w:tcW w:w="559" w:type="dxa"/>
            <w:tcBorders>
              <w:top w:val="nil" w:sz="6" w:space="0" w:color="auto"/>
              <w:left w:val="nil" w:sz="6" w:space="0" w:color="auto"/>
              <w:bottom w:val="nil" w:sz="6" w:space="0" w:color="auto"/>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w:t>
            </w:r>
          </w:p>
        </w:tc>
      </w:tr>
      <w:tr>
        <w:trPr>
          <w:trHeight w:val="156" w:hRule="exact"/>
        </w:trPr>
        <w:tc>
          <w:tcPr>
            <w:tcW w:w="1335" w:type="dxa"/>
            <w:vMerge w:val="restart"/>
            <w:tcBorders>
              <w:top w:val="nil" w:sz="6" w:space="0" w:color="auto"/>
              <w:left w:val="single" w:sz="12" w:space="0" w:color="000000"/>
              <w:right w:val="single" w:sz="6" w:space="0" w:color="000000"/>
            </w:tcBorders>
            <w:shd w:val="clear" w:color="auto" w:fill="D2D2D2"/>
          </w:tcPr>
          <w:p>
            <w:pPr/>
          </w:p>
        </w:tc>
        <w:tc>
          <w:tcPr>
            <w:tcW w:w="806" w:type="dxa"/>
            <w:gridSpan w:val="2"/>
            <w:vMerge/>
            <w:tcBorders>
              <w:left w:val="single" w:sz="9" w:space="0" w:color="D2D2D2"/>
              <w:right w:val="single" w:sz="8" w:space="0" w:color="D2D2D2"/>
            </w:tcBorders>
          </w:tcPr>
          <w:p>
            <w:pPr/>
          </w:p>
        </w:tc>
        <w:tc>
          <w:tcPr>
            <w:tcW w:w="1485" w:type="dxa"/>
            <w:gridSpan w:val="2"/>
            <w:vMerge/>
            <w:tcBorders>
              <w:left w:val="single" w:sz="6" w:space="0" w:color="000000"/>
              <w:bottom w:val="nil" w:sz="6" w:space="0" w:color="auto"/>
              <w:right w:val="single" w:sz="6" w:space="0" w:color="000000"/>
            </w:tcBorders>
            <w:shd w:val="clear" w:color="auto" w:fill="D2D2D2"/>
          </w:tcPr>
          <w:p>
            <w:pPr/>
          </w:p>
        </w:tc>
        <w:tc>
          <w:tcPr>
            <w:tcW w:w="1185" w:type="dxa"/>
            <w:vMerge/>
            <w:tcBorders>
              <w:left w:val="single" w:sz="8" w:space="0" w:color="D2D2D2"/>
              <w:right w:val="single" w:sz="9" w:space="0" w:color="D2D2D2"/>
            </w:tcBorders>
          </w:tcPr>
          <w:p>
            <w:pPr/>
          </w:p>
        </w:tc>
        <w:tc>
          <w:tcPr>
            <w:tcW w:w="1297" w:type="dxa"/>
            <w:gridSpan w:val="2"/>
            <w:vMerge/>
            <w:tcBorders>
              <w:left w:val="single" w:sz="6" w:space="0" w:color="000000"/>
              <w:bottom w:val="nil" w:sz="6" w:space="0" w:color="auto"/>
              <w:right w:val="single" w:sz="6" w:space="0" w:color="000000"/>
            </w:tcBorders>
            <w:shd w:val="clear" w:color="auto" w:fill="D2D2D2"/>
          </w:tcPr>
          <w:p>
            <w:pPr/>
          </w:p>
        </w:tc>
        <w:tc>
          <w:tcPr>
            <w:tcW w:w="1085" w:type="dxa"/>
            <w:gridSpan w:val="2"/>
            <w:vMerge/>
            <w:tcBorders>
              <w:left w:val="single" w:sz="9" w:space="0" w:color="D2D2D2"/>
              <w:right w:val="single" w:sz="9" w:space="0" w:color="D2D2D2"/>
            </w:tcBorders>
          </w:tcPr>
          <w:p>
            <w:pPr/>
          </w:p>
        </w:tc>
        <w:tc>
          <w:tcPr>
            <w:tcW w:w="1313" w:type="dxa"/>
            <w:gridSpan w:val="3"/>
            <w:vMerge/>
            <w:tcBorders>
              <w:left w:val="single" w:sz="6" w:space="0" w:color="000000"/>
              <w:right w:val="single" w:sz="6" w:space="0" w:color="000000"/>
            </w:tcBorders>
            <w:shd w:val="clear" w:color="auto" w:fill="D2D2D2"/>
          </w:tcPr>
          <w:p>
            <w:pPr/>
          </w:p>
        </w:tc>
        <w:tc>
          <w:tcPr>
            <w:tcW w:w="508" w:type="dxa"/>
            <w:vMerge/>
            <w:tcBorders>
              <w:left w:val="single" w:sz="14" w:space="0" w:color="D2D2D2"/>
              <w:right w:val="nil" w:sz="6" w:space="0" w:color="auto"/>
            </w:tcBorders>
          </w:tcPr>
          <w:p>
            <w:pPr/>
          </w:p>
        </w:tc>
        <w:tc>
          <w:tcPr>
            <w:tcW w:w="559" w:type="dxa"/>
            <w:tcBorders>
              <w:top w:val="nil" w:sz="6" w:space="0" w:color="auto"/>
              <w:left w:val="nil" w:sz="6" w:space="0" w:color="auto"/>
              <w:bottom w:val="nil" w:sz="6" w:space="0" w:color="auto"/>
              <w:right w:val="single" w:sz="12" w:space="0" w:color="000000"/>
            </w:tcBorders>
          </w:tcPr>
          <w:p>
            <w:pPr/>
          </w:p>
        </w:tc>
      </w:tr>
      <w:tr>
        <w:trPr>
          <w:trHeight w:val="170" w:hRule="exact"/>
        </w:trPr>
        <w:tc>
          <w:tcPr>
            <w:tcW w:w="1335" w:type="dxa"/>
            <w:vMerge/>
            <w:tcBorders>
              <w:left w:val="single" w:sz="12" w:space="0" w:color="000000"/>
              <w:bottom w:val="single" w:sz="6" w:space="0" w:color="000000"/>
              <w:right w:val="single" w:sz="6" w:space="0" w:color="000000"/>
            </w:tcBorders>
            <w:shd w:val="clear" w:color="auto" w:fill="D2D2D2"/>
          </w:tcPr>
          <w:p>
            <w:pPr/>
          </w:p>
        </w:tc>
        <w:tc>
          <w:tcPr>
            <w:tcW w:w="806" w:type="dxa"/>
            <w:gridSpan w:val="2"/>
            <w:vMerge/>
            <w:tcBorders>
              <w:left w:val="single" w:sz="9" w:space="0" w:color="D2D2D2"/>
              <w:bottom w:val="single" w:sz="6" w:space="0" w:color="000000"/>
              <w:right w:val="single" w:sz="8" w:space="0" w:color="D2D2D2"/>
            </w:tcBorders>
          </w:tcPr>
          <w:p>
            <w:pPr/>
          </w:p>
        </w:tc>
        <w:tc>
          <w:tcPr>
            <w:tcW w:w="1485"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185" w:type="dxa"/>
            <w:vMerge/>
            <w:tcBorders>
              <w:left w:val="single" w:sz="8" w:space="0" w:color="D2D2D2"/>
              <w:bottom w:val="single" w:sz="6" w:space="0" w:color="000000"/>
              <w:right w:val="single" w:sz="9" w:space="0" w:color="D2D2D2"/>
            </w:tcBorders>
          </w:tcPr>
          <w:p>
            <w:pPr/>
          </w:p>
        </w:tc>
        <w:tc>
          <w:tcPr>
            <w:tcW w:w="1297"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085" w:type="dxa"/>
            <w:gridSpan w:val="2"/>
            <w:vMerge/>
            <w:tcBorders>
              <w:left w:val="single" w:sz="9" w:space="0" w:color="D2D2D2"/>
              <w:bottom w:val="single" w:sz="6" w:space="0" w:color="000000"/>
              <w:right w:val="single" w:sz="9" w:space="0" w:color="D2D2D2"/>
            </w:tcBorders>
          </w:tcPr>
          <w:p>
            <w:pPr/>
          </w:p>
        </w:tc>
        <w:tc>
          <w:tcPr>
            <w:tcW w:w="1313" w:type="dxa"/>
            <w:gridSpan w:val="3"/>
            <w:vMerge/>
            <w:tcBorders>
              <w:left w:val="single" w:sz="6" w:space="0" w:color="000000"/>
              <w:bottom w:val="single" w:sz="6" w:space="0" w:color="000000"/>
              <w:right w:val="single" w:sz="6" w:space="0" w:color="000000"/>
            </w:tcBorders>
            <w:shd w:val="clear" w:color="auto" w:fill="D2D2D2"/>
          </w:tcPr>
          <w:p>
            <w:pPr/>
          </w:p>
        </w:tc>
        <w:tc>
          <w:tcPr>
            <w:tcW w:w="508" w:type="dxa"/>
            <w:vMerge/>
            <w:tcBorders>
              <w:left w:val="single" w:sz="14" w:space="0" w:color="D2D2D2"/>
              <w:bottom w:val="single" w:sz="6" w:space="0" w:color="000000"/>
              <w:right w:val="nil" w:sz="6" w:space="0" w:color="auto"/>
            </w:tcBorders>
          </w:tcPr>
          <w:p>
            <w:pPr/>
          </w:p>
        </w:tc>
        <w:tc>
          <w:tcPr>
            <w:tcW w:w="559" w:type="dxa"/>
            <w:tcBorders>
              <w:top w:val="nil" w:sz="6" w:space="0" w:color="auto"/>
              <w:left w:val="nil" w:sz="6" w:space="0" w:color="auto"/>
              <w:bottom w:val="single" w:sz="6" w:space="0" w:color="000000"/>
              <w:right w:val="single" w:sz="12" w:space="0" w:color="000000"/>
            </w:tcBorders>
          </w:tcPr>
          <w:p>
            <w:pPr/>
          </w:p>
        </w:tc>
      </w:tr>
      <w:tr>
        <w:trPr>
          <w:trHeight w:val="405" w:hRule="exact"/>
        </w:trPr>
        <w:tc>
          <w:tcPr>
            <w:tcW w:w="9571" w:type="dxa"/>
            <w:gridSpan w:val="15"/>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7"/>
              <w:ind w:left="308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172" w:hRule="exact"/>
        </w:trPr>
        <w:tc>
          <w:tcPr>
            <w:tcW w:w="1470" w:type="dxa"/>
            <w:gridSpan w:val="2"/>
            <w:vMerge w:val="restart"/>
            <w:tcBorders>
              <w:top w:val="single" w:sz="6" w:space="0" w:color="000000"/>
              <w:left w:val="single" w:sz="12" w:space="0" w:color="000000"/>
              <w:right w:val="single" w:sz="6" w:space="0" w:color="000000"/>
            </w:tcBorders>
            <w:shd w:val="clear" w:color="auto" w:fill="D2D2D2"/>
          </w:tcPr>
          <w:p>
            <w:pPr/>
          </w:p>
        </w:tc>
        <w:tc>
          <w:tcPr>
            <w:tcW w:w="1389" w:type="dxa"/>
            <w:gridSpan w:val="2"/>
            <w:vMerge w:val="restart"/>
            <w:tcBorders>
              <w:top w:val="single" w:sz="6" w:space="0" w:color="000000"/>
              <w:left w:val="single" w:sz="6" w:space="0" w:color="000000"/>
              <w:right w:val="single" w:sz="6" w:space="0" w:color="000000"/>
            </w:tcBorders>
            <w:shd w:val="clear" w:color="auto" w:fill="D2D2D2"/>
          </w:tcPr>
          <w:p>
            <w:pPr/>
          </w:p>
        </w:tc>
        <w:tc>
          <w:tcPr>
            <w:tcW w:w="767" w:type="dxa"/>
            <w:vMerge w:val="restart"/>
            <w:tcBorders>
              <w:top w:val="single" w:sz="6" w:space="0" w:color="000000"/>
              <w:left w:val="single" w:sz="6" w:space="0" w:color="000000"/>
              <w:right w:val="single" w:sz="6" w:space="0" w:color="000000"/>
            </w:tcBorders>
            <w:shd w:val="clear" w:color="auto" w:fill="D2D2D2"/>
          </w:tcPr>
          <w:p>
            <w:pPr/>
          </w:p>
        </w:tc>
        <w:tc>
          <w:tcPr>
            <w:tcW w:w="118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0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2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9"/>
              <w:ind w:left="39" w:right="6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0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9"/>
              <w:ind w:left="76" w:right="10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1" w:type="dxa"/>
            <w:gridSpan w:val="4"/>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70" w:type="dxa"/>
            <w:gridSpan w:val="2"/>
            <w:vMerge/>
            <w:tcBorders>
              <w:left w:val="single" w:sz="12" w:space="0" w:color="000000"/>
              <w:bottom w:val="nil" w:sz="6" w:space="0" w:color="auto"/>
              <w:right w:val="single" w:sz="6" w:space="0" w:color="000000"/>
            </w:tcBorders>
            <w:shd w:val="clear" w:color="auto" w:fill="D2D2D2"/>
          </w:tcPr>
          <w:p>
            <w:pPr/>
          </w:p>
        </w:tc>
        <w:tc>
          <w:tcPr>
            <w:tcW w:w="1389" w:type="dxa"/>
            <w:gridSpan w:val="2"/>
            <w:vMerge/>
            <w:tcBorders>
              <w:left w:val="single" w:sz="6" w:space="0" w:color="000000"/>
              <w:bottom w:val="nil" w:sz="6" w:space="0" w:color="auto"/>
              <w:right w:val="single" w:sz="6" w:space="0" w:color="000000"/>
            </w:tcBorders>
            <w:shd w:val="clear" w:color="auto" w:fill="D2D2D2"/>
          </w:tcPr>
          <w:p>
            <w:pPr/>
          </w:p>
        </w:tc>
        <w:tc>
          <w:tcPr>
            <w:tcW w:w="767" w:type="dxa"/>
            <w:vMerge/>
            <w:tcBorders>
              <w:left w:val="single" w:sz="6" w:space="0" w:color="000000"/>
              <w:bottom w:val="nil" w:sz="6" w:space="0" w:color="auto"/>
              <w:right w:val="single" w:sz="6" w:space="0" w:color="000000"/>
            </w:tcBorders>
            <w:shd w:val="clear" w:color="auto" w:fill="D2D2D2"/>
          </w:tcPr>
          <w:p>
            <w:pPr/>
          </w:p>
        </w:tc>
        <w:tc>
          <w:tcPr>
            <w:tcW w:w="118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431" w:right="18" w:hanging="361"/>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03"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49" w:right="3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25" w:type="dxa"/>
            <w:gridSpan w:val="2"/>
            <w:vMerge/>
            <w:tcBorders>
              <w:left w:val="single" w:sz="6" w:space="0" w:color="000000"/>
              <w:right w:val="single" w:sz="6" w:space="0" w:color="000000"/>
            </w:tcBorders>
            <w:shd w:val="clear" w:color="auto" w:fill="D2D2D2"/>
          </w:tcPr>
          <w:p>
            <w:pPr/>
          </w:p>
        </w:tc>
        <w:tc>
          <w:tcPr>
            <w:tcW w:w="1102" w:type="dxa"/>
            <w:gridSpan w:val="2"/>
            <w:vMerge/>
            <w:tcBorders>
              <w:left w:val="single" w:sz="6" w:space="0" w:color="000000"/>
              <w:right w:val="single" w:sz="6" w:space="0" w:color="000000"/>
            </w:tcBorders>
            <w:shd w:val="clear" w:color="auto" w:fill="D2D2D2"/>
          </w:tcPr>
          <w:p>
            <w:pPr/>
          </w:p>
        </w:tc>
        <w:tc>
          <w:tcPr>
            <w:tcW w:w="1631" w:type="dxa"/>
            <w:gridSpan w:val="4"/>
            <w:vMerge/>
            <w:tcBorders>
              <w:left w:val="single" w:sz="6" w:space="0" w:color="000000"/>
              <w:bottom w:val="single" w:sz="6" w:space="0" w:color="000000"/>
              <w:right w:val="single" w:sz="12" w:space="0" w:color="000000"/>
            </w:tcBorders>
            <w:shd w:val="clear" w:color="auto" w:fill="D2D2D2"/>
          </w:tcPr>
          <w:p>
            <w:pPr/>
          </w:p>
        </w:tc>
      </w:tr>
      <w:tr>
        <w:trPr>
          <w:trHeight w:val="163" w:hRule="exact"/>
        </w:trPr>
        <w:tc>
          <w:tcPr>
            <w:tcW w:w="1470" w:type="dxa"/>
            <w:gridSpan w:val="2"/>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0"/>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9"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48" w:right="-16"/>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85" w:type="dxa"/>
            <w:vMerge/>
            <w:tcBorders>
              <w:left w:val="single" w:sz="6" w:space="0" w:color="000000"/>
              <w:right w:val="single" w:sz="6" w:space="0" w:color="000000"/>
            </w:tcBorders>
            <w:shd w:val="clear" w:color="auto" w:fill="D2D2D2"/>
          </w:tcPr>
          <w:p>
            <w:pPr/>
          </w:p>
        </w:tc>
        <w:tc>
          <w:tcPr>
            <w:tcW w:w="1003" w:type="dxa"/>
            <w:vMerge/>
            <w:tcBorders>
              <w:left w:val="single" w:sz="6" w:space="0" w:color="000000"/>
              <w:right w:val="single" w:sz="6" w:space="0" w:color="000000"/>
            </w:tcBorders>
            <w:shd w:val="clear" w:color="auto" w:fill="D2D2D2"/>
          </w:tcPr>
          <w:p>
            <w:pPr/>
          </w:p>
        </w:tc>
        <w:tc>
          <w:tcPr>
            <w:tcW w:w="1025" w:type="dxa"/>
            <w:gridSpan w:val="2"/>
            <w:vMerge/>
            <w:tcBorders>
              <w:left w:val="single" w:sz="6" w:space="0" w:color="000000"/>
              <w:right w:val="single" w:sz="6" w:space="0" w:color="000000"/>
            </w:tcBorders>
            <w:shd w:val="clear" w:color="auto" w:fill="D2D2D2"/>
          </w:tcPr>
          <w:p>
            <w:pPr/>
          </w:p>
        </w:tc>
        <w:tc>
          <w:tcPr>
            <w:tcW w:w="1102" w:type="dxa"/>
            <w:gridSpan w:val="2"/>
            <w:vMerge/>
            <w:tcBorders>
              <w:left w:val="single" w:sz="6" w:space="0" w:color="000000"/>
              <w:right w:val="single" w:sz="6" w:space="0" w:color="000000"/>
            </w:tcBorders>
            <w:shd w:val="clear" w:color="auto" w:fill="D2D2D2"/>
          </w:tcPr>
          <w:p>
            <w:pPr/>
          </w:p>
        </w:tc>
        <w:tc>
          <w:tcPr>
            <w:tcW w:w="56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97" w:right="91"/>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7" w:type="dxa"/>
            <w:gridSpan w:val="2"/>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49" w:hRule="exact"/>
        </w:trPr>
        <w:tc>
          <w:tcPr>
            <w:tcW w:w="1470" w:type="dxa"/>
            <w:gridSpan w:val="2"/>
            <w:vMerge/>
            <w:tcBorders>
              <w:left w:val="single" w:sz="12" w:space="0" w:color="000000"/>
              <w:bottom w:val="nil" w:sz="6" w:space="0" w:color="auto"/>
              <w:right w:val="single" w:sz="6" w:space="0" w:color="000000"/>
            </w:tcBorders>
            <w:shd w:val="clear" w:color="auto" w:fill="D2D2D2"/>
          </w:tcPr>
          <w:p>
            <w:pPr/>
          </w:p>
        </w:tc>
        <w:tc>
          <w:tcPr>
            <w:tcW w:w="1389" w:type="dxa"/>
            <w:gridSpan w:val="2"/>
            <w:vMerge/>
            <w:tcBorders>
              <w:left w:val="single" w:sz="6" w:space="0" w:color="000000"/>
              <w:bottom w:val="nil" w:sz="6" w:space="0" w:color="auto"/>
              <w:right w:val="single" w:sz="6" w:space="0" w:color="000000"/>
            </w:tcBorders>
            <w:shd w:val="clear" w:color="auto" w:fill="D2D2D2"/>
          </w:tcPr>
          <w:p>
            <w:pPr/>
          </w:p>
        </w:tc>
        <w:tc>
          <w:tcPr>
            <w:tcW w:w="767" w:type="dxa"/>
            <w:vMerge/>
            <w:tcBorders>
              <w:left w:val="single" w:sz="6" w:space="0" w:color="000000"/>
              <w:bottom w:val="nil" w:sz="6" w:space="0" w:color="auto"/>
              <w:right w:val="single" w:sz="6" w:space="0" w:color="000000"/>
            </w:tcBorders>
            <w:shd w:val="clear" w:color="auto" w:fill="D2D2D2"/>
          </w:tcPr>
          <w:p>
            <w:pPr/>
          </w:p>
        </w:tc>
        <w:tc>
          <w:tcPr>
            <w:tcW w:w="1185" w:type="dxa"/>
            <w:vMerge/>
            <w:tcBorders>
              <w:left w:val="single" w:sz="6" w:space="0" w:color="000000"/>
              <w:right w:val="single" w:sz="6" w:space="0" w:color="000000"/>
            </w:tcBorders>
            <w:shd w:val="clear" w:color="auto" w:fill="D2D2D2"/>
          </w:tcPr>
          <w:p>
            <w:pPr/>
          </w:p>
        </w:tc>
        <w:tc>
          <w:tcPr>
            <w:tcW w:w="1003" w:type="dxa"/>
            <w:vMerge/>
            <w:tcBorders>
              <w:left w:val="single" w:sz="6" w:space="0" w:color="000000"/>
              <w:right w:val="single" w:sz="6" w:space="0" w:color="000000"/>
            </w:tcBorders>
            <w:shd w:val="clear" w:color="auto" w:fill="D2D2D2"/>
          </w:tcPr>
          <w:p>
            <w:pPr/>
          </w:p>
        </w:tc>
        <w:tc>
          <w:tcPr>
            <w:tcW w:w="1025" w:type="dxa"/>
            <w:gridSpan w:val="2"/>
            <w:vMerge/>
            <w:tcBorders>
              <w:left w:val="single" w:sz="6" w:space="0" w:color="000000"/>
              <w:right w:val="single" w:sz="6" w:space="0" w:color="000000"/>
            </w:tcBorders>
            <w:shd w:val="clear" w:color="auto" w:fill="D2D2D2"/>
          </w:tcPr>
          <w:p>
            <w:pPr/>
          </w:p>
        </w:tc>
        <w:tc>
          <w:tcPr>
            <w:tcW w:w="1102" w:type="dxa"/>
            <w:gridSpan w:val="2"/>
            <w:vMerge/>
            <w:tcBorders>
              <w:left w:val="single" w:sz="6" w:space="0" w:color="000000"/>
              <w:right w:val="single" w:sz="6" w:space="0" w:color="000000"/>
            </w:tcBorders>
            <w:shd w:val="clear" w:color="auto" w:fill="D2D2D2"/>
          </w:tcPr>
          <w:p>
            <w:pPr/>
          </w:p>
        </w:tc>
        <w:tc>
          <w:tcPr>
            <w:tcW w:w="565" w:type="dxa"/>
            <w:gridSpan w:val="2"/>
            <w:vMerge/>
            <w:tcBorders>
              <w:left w:val="single" w:sz="6" w:space="0" w:color="000000"/>
              <w:right w:val="single" w:sz="6" w:space="0" w:color="000000"/>
            </w:tcBorders>
            <w:shd w:val="clear" w:color="auto" w:fill="D2D2D2"/>
          </w:tcPr>
          <w:p>
            <w:pPr/>
          </w:p>
        </w:tc>
        <w:tc>
          <w:tcPr>
            <w:tcW w:w="1067" w:type="dxa"/>
            <w:gridSpan w:val="2"/>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60" w:hRule="exact"/>
        </w:trPr>
        <w:tc>
          <w:tcPr>
            <w:tcW w:w="1470" w:type="dxa"/>
            <w:gridSpan w:val="2"/>
            <w:vMerge w:val="restart"/>
            <w:tcBorders>
              <w:top w:val="nil" w:sz="6" w:space="0" w:color="auto"/>
              <w:left w:val="single" w:sz="12" w:space="0" w:color="000000"/>
              <w:right w:val="single" w:sz="6" w:space="0" w:color="000000"/>
            </w:tcBorders>
            <w:shd w:val="clear" w:color="auto" w:fill="D2D2D2"/>
          </w:tcPr>
          <w:p>
            <w:pPr/>
          </w:p>
        </w:tc>
        <w:tc>
          <w:tcPr>
            <w:tcW w:w="1389" w:type="dxa"/>
            <w:gridSpan w:val="2"/>
            <w:vMerge w:val="restart"/>
            <w:tcBorders>
              <w:top w:val="nil" w:sz="6" w:space="0" w:color="auto"/>
              <w:left w:val="single" w:sz="6" w:space="0" w:color="000000"/>
              <w:right w:val="single" w:sz="6" w:space="0" w:color="000000"/>
            </w:tcBorders>
            <w:shd w:val="clear" w:color="auto" w:fill="D2D2D2"/>
          </w:tcPr>
          <w:p>
            <w:pPr/>
          </w:p>
        </w:tc>
        <w:tc>
          <w:tcPr>
            <w:tcW w:w="767" w:type="dxa"/>
            <w:vMerge w:val="restart"/>
            <w:tcBorders>
              <w:top w:val="nil" w:sz="6" w:space="0" w:color="auto"/>
              <w:left w:val="single" w:sz="6" w:space="0" w:color="000000"/>
              <w:right w:val="single" w:sz="6" w:space="0" w:color="000000"/>
            </w:tcBorders>
            <w:shd w:val="clear" w:color="auto" w:fill="D2D2D2"/>
          </w:tcPr>
          <w:p>
            <w:pPr/>
          </w:p>
        </w:tc>
        <w:tc>
          <w:tcPr>
            <w:tcW w:w="1185" w:type="dxa"/>
            <w:vMerge/>
            <w:tcBorders>
              <w:left w:val="single" w:sz="6" w:space="0" w:color="000000"/>
              <w:bottom w:val="nil" w:sz="6" w:space="0" w:color="auto"/>
              <w:right w:val="single" w:sz="6" w:space="0" w:color="000000"/>
            </w:tcBorders>
            <w:shd w:val="clear" w:color="auto" w:fill="D2D2D2"/>
          </w:tcPr>
          <w:p>
            <w:pPr/>
          </w:p>
        </w:tc>
        <w:tc>
          <w:tcPr>
            <w:tcW w:w="1003" w:type="dxa"/>
            <w:vMerge/>
            <w:tcBorders>
              <w:left w:val="single" w:sz="6" w:space="0" w:color="000000"/>
              <w:bottom w:val="nil" w:sz="6" w:space="0" w:color="auto"/>
              <w:right w:val="single" w:sz="6" w:space="0" w:color="000000"/>
            </w:tcBorders>
            <w:shd w:val="clear" w:color="auto" w:fill="D2D2D2"/>
          </w:tcPr>
          <w:p>
            <w:pPr/>
          </w:p>
        </w:tc>
        <w:tc>
          <w:tcPr>
            <w:tcW w:w="1025" w:type="dxa"/>
            <w:gridSpan w:val="2"/>
            <w:vMerge/>
            <w:tcBorders>
              <w:left w:val="single" w:sz="6" w:space="0" w:color="000000"/>
              <w:right w:val="single" w:sz="6" w:space="0" w:color="000000"/>
            </w:tcBorders>
            <w:shd w:val="clear" w:color="auto" w:fill="D2D2D2"/>
          </w:tcPr>
          <w:p>
            <w:pPr/>
          </w:p>
        </w:tc>
        <w:tc>
          <w:tcPr>
            <w:tcW w:w="1102" w:type="dxa"/>
            <w:gridSpan w:val="2"/>
            <w:vMerge/>
            <w:tcBorders>
              <w:left w:val="single" w:sz="6" w:space="0" w:color="000000"/>
              <w:right w:val="single" w:sz="6" w:space="0" w:color="000000"/>
            </w:tcBorders>
            <w:shd w:val="clear" w:color="auto" w:fill="D2D2D2"/>
          </w:tcPr>
          <w:p>
            <w:pPr/>
          </w:p>
        </w:tc>
        <w:tc>
          <w:tcPr>
            <w:tcW w:w="565" w:type="dxa"/>
            <w:gridSpan w:val="2"/>
            <w:vMerge/>
            <w:tcBorders>
              <w:left w:val="single" w:sz="6" w:space="0" w:color="000000"/>
              <w:right w:val="single" w:sz="6" w:space="0" w:color="000000"/>
            </w:tcBorders>
            <w:shd w:val="clear" w:color="auto" w:fill="D2D2D2"/>
          </w:tcPr>
          <w:p>
            <w:pPr/>
          </w:p>
        </w:tc>
        <w:tc>
          <w:tcPr>
            <w:tcW w:w="1067" w:type="dxa"/>
            <w:gridSpan w:val="2"/>
            <w:vMerge/>
            <w:tcBorders>
              <w:left w:val="single" w:sz="6" w:space="0" w:color="000000"/>
              <w:bottom w:val="nil" w:sz="6" w:space="0" w:color="auto"/>
              <w:right w:val="single" w:sz="12" w:space="0" w:color="000000"/>
            </w:tcBorders>
            <w:shd w:val="clear" w:color="auto" w:fill="D2D2D2"/>
          </w:tcPr>
          <w:p>
            <w:pPr/>
          </w:p>
        </w:tc>
      </w:tr>
      <w:tr>
        <w:trPr>
          <w:trHeight w:val="167" w:hRule="exact"/>
        </w:trPr>
        <w:tc>
          <w:tcPr>
            <w:tcW w:w="1470" w:type="dxa"/>
            <w:gridSpan w:val="2"/>
            <w:vMerge/>
            <w:tcBorders>
              <w:left w:val="single" w:sz="12" w:space="0" w:color="000000"/>
              <w:bottom w:val="single" w:sz="6" w:space="0" w:color="000000"/>
              <w:right w:val="single" w:sz="6" w:space="0" w:color="000000"/>
            </w:tcBorders>
            <w:shd w:val="clear" w:color="auto" w:fill="D2D2D2"/>
          </w:tcPr>
          <w:p>
            <w:pPr/>
          </w:p>
        </w:tc>
        <w:tc>
          <w:tcPr>
            <w:tcW w:w="1389" w:type="dxa"/>
            <w:gridSpan w:val="2"/>
            <w:vMerge/>
            <w:tcBorders>
              <w:left w:val="single" w:sz="6" w:space="0" w:color="000000"/>
              <w:bottom w:val="single" w:sz="6" w:space="0" w:color="000000"/>
              <w:right w:val="single" w:sz="6" w:space="0" w:color="000000"/>
            </w:tcBorders>
            <w:shd w:val="clear" w:color="auto" w:fill="D2D2D2"/>
          </w:tcPr>
          <w:p>
            <w:pPr/>
          </w:p>
        </w:tc>
        <w:tc>
          <w:tcPr>
            <w:tcW w:w="767" w:type="dxa"/>
            <w:vMerge/>
            <w:tcBorders>
              <w:left w:val="single" w:sz="6" w:space="0" w:color="000000"/>
              <w:bottom w:val="single" w:sz="6" w:space="0" w:color="000000"/>
              <w:right w:val="single" w:sz="6" w:space="0" w:color="000000"/>
            </w:tcBorders>
            <w:shd w:val="clear" w:color="auto" w:fill="D2D2D2"/>
          </w:tcPr>
          <w:p>
            <w:pPr/>
          </w:p>
        </w:tc>
        <w:tc>
          <w:tcPr>
            <w:tcW w:w="118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0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25" w:type="dxa"/>
            <w:gridSpan w:val="2"/>
            <w:vMerge/>
            <w:tcBorders>
              <w:left w:val="single" w:sz="6" w:space="0" w:color="000000"/>
              <w:bottom w:val="single" w:sz="6" w:space="0" w:color="000000"/>
              <w:right w:val="single" w:sz="6" w:space="0" w:color="000000"/>
            </w:tcBorders>
            <w:shd w:val="clear" w:color="auto" w:fill="D2D2D2"/>
          </w:tcPr>
          <w:p>
            <w:pPr/>
          </w:p>
        </w:tc>
        <w:tc>
          <w:tcPr>
            <w:tcW w:w="1102" w:type="dxa"/>
            <w:gridSpan w:val="2"/>
            <w:vMerge/>
            <w:tcBorders>
              <w:left w:val="single" w:sz="6" w:space="0" w:color="000000"/>
              <w:bottom w:val="single" w:sz="6" w:space="0" w:color="000000"/>
              <w:right w:val="single" w:sz="6" w:space="0" w:color="000000"/>
            </w:tcBorders>
            <w:shd w:val="clear" w:color="auto" w:fill="D2D2D2"/>
          </w:tcPr>
          <w:p>
            <w:pPr/>
          </w:p>
        </w:tc>
        <w:tc>
          <w:tcPr>
            <w:tcW w:w="565" w:type="dxa"/>
            <w:gridSpan w:val="2"/>
            <w:vMerge/>
            <w:tcBorders>
              <w:left w:val="single" w:sz="6" w:space="0" w:color="000000"/>
              <w:bottom w:val="single" w:sz="6" w:space="0" w:color="000000"/>
              <w:right w:val="single" w:sz="6" w:space="0" w:color="000000"/>
            </w:tcBorders>
            <w:shd w:val="clear" w:color="auto" w:fill="D2D2D2"/>
          </w:tcPr>
          <w:p>
            <w:pPr/>
          </w:p>
        </w:tc>
        <w:tc>
          <w:tcPr>
            <w:tcW w:w="1067" w:type="dxa"/>
            <w:gridSpan w:val="2"/>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640"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88" w:right="96"/>
              <w:jc w:val="left"/>
              <w:rPr>
                <w:rFonts w:ascii="宋体" w:hAnsi="宋体" w:cs="宋体" w:eastAsia="宋体" w:hint="default"/>
                <w:sz w:val="18"/>
                <w:szCs w:val="18"/>
              </w:rPr>
            </w:pPr>
            <w:r>
              <w:rPr>
                <w:rFonts w:ascii="宋体" w:hAnsi="宋体" w:cs="宋体" w:eastAsia="宋体" w:hint="default"/>
                <w:sz w:val="18"/>
                <w:szCs w:val="18"/>
              </w:rPr>
              <w:t>江苏光一投资管 理有限责任公司</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25.67%</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106,500,000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1" w:right="0"/>
              <w:jc w:val="left"/>
              <w:rPr>
                <w:rFonts w:ascii="宋体" w:hAnsi="宋体" w:cs="宋体" w:eastAsia="宋体" w:hint="default"/>
                <w:sz w:val="18"/>
                <w:szCs w:val="18"/>
              </w:rPr>
            </w:pPr>
            <w:r>
              <w:rPr>
                <w:rFonts w:ascii="宋体"/>
                <w:sz w:val="18"/>
              </w:rPr>
              <w:t>63,900,000</w:t>
            </w:r>
          </w:p>
        </w:tc>
        <w:tc>
          <w:tcPr>
            <w:tcW w:w="1025" w:type="dxa"/>
            <w:gridSpan w:val="2"/>
            <w:tcBorders>
              <w:top w:val="single" w:sz="6" w:space="0" w:color="000000"/>
              <w:left w:val="single" w:sz="6" w:space="0" w:color="000000"/>
              <w:bottom w:val="single" w:sz="6" w:space="0" w:color="000000"/>
              <w:right w:val="single" w:sz="6" w:space="0" w:color="000000"/>
            </w:tcBorders>
          </w:tcPr>
          <w:p>
            <w:pPr/>
          </w:p>
        </w:tc>
        <w:tc>
          <w:tcPr>
            <w:tcW w:w="11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sz w:val="18"/>
              </w:rPr>
              <w:t>106,500,000</w:t>
            </w:r>
          </w:p>
        </w:tc>
        <w:tc>
          <w:tcPr>
            <w:tcW w:w="5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1" w:right="0"/>
              <w:jc w:val="left"/>
              <w:rPr>
                <w:rFonts w:ascii="宋体" w:hAnsi="宋体" w:cs="宋体" w:eastAsia="宋体" w:hint="default"/>
                <w:sz w:val="18"/>
                <w:szCs w:val="18"/>
              </w:rPr>
            </w:pPr>
            <w:r>
              <w:rPr>
                <w:rFonts w:ascii="宋体"/>
                <w:sz w:val="18"/>
              </w:rPr>
              <w:t>101,237,500</w:t>
            </w:r>
          </w:p>
        </w:tc>
      </w:tr>
      <w:tr>
        <w:trPr>
          <w:trHeight w:val="638"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358" w:right="186" w:hanging="180"/>
              <w:jc w:val="left"/>
              <w:rPr>
                <w:rFonts w:ascii="宋体" w:hAnsi="宋体" w:cs="宋体" w:eastAsia="宋体" w:hint="default"/>
                <w:sz w:val="18"/>
                <w:szCs w:val="18"/>
              </w:rPr>
            </w:pPr>
            <w:r>
              <w:rPr>
                <w:rFonts w:ascii="宋体" w:hAnsi="宋体" w:cs="宋体" w:eastAsia="宋体" w:hint="default"/>
                <w:sz w:val="18"/>
                <w:szCs w:val="18"/>
              </w:rPr>
              <w:t>湖北乾瀚投资 有限公司</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13.12%</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54,418,027</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1" w:right="0"/>
              <w:jc w:val="left"/>
              <w:rPr>
                <w:rFonts w:ascii="宋体" w:hAnsi="宋体" w:cs="宋体" w:eastAsia="宋体" w:hint="default"/>
                <w:sz w:val="18"/>
                <w:szCs w:val="18"/>
              </w:rPr>
            </w:pPr>
            <w:r>
              <w:rPr>
                <w:rFonts w:ascii="宋体"/>
                <w:sz w:val="18"/>
              </w:rPr>
              <w:t>32,650,816</w:t>
            </w:r>
          </w:p>
        </w:tc>
        <w:tc>
          <w:tcPr>
            <w:tcW w:w="10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7" w:right="0"/>
              <w:jc w:val="left"/>
              <w:rPr>
                <w:rFonts w:ascii="宋体" w:hAnsi="宋体" w:cs="宋体" w:eastAsia="宋体" w:hint="default"/>
                <w:sz w:val="18"/>
                <w:szCs w:val="18"/>
              </w:rPr>
            </w:pPr>
            <w:r>
              <w:rPr>
                <w:rFonts w:ascii="宋体"/>
                <w:sz w:val="18"/>
              </w:rPr>
              <w:t>54,418,027</w:t>
            </w:r>
          </w:p>
        </w:tc>
        <w:tc>
          <w:tcPr>
            <w:tcW w:w="1102" w:type="dxa"/>
            <w:gridSpan w:val="2"/>
            <w:tcBorders>
              <w:top w:val="single" w:sz="6" w:space="0" w:color="000000"/>
              <w:left w:val="single" w:sz="6" w:space="0" w:color="000000"/>
              <w:bottom w:val="single" w:sz="6" w:space="0" w:color="000000"/>
              <w:right w:val="single" w:sz="6" w:space="0" w:color="000000"/>
            </w:tcBorders>
          </w:tcPr>
          <w:p>
            <w:pPr/>
          </w:p>
        </w:tc>
        <w:tc>
          <w:tcPr>
            <w:tcW w:w="5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sz w:val="18"/>
              </w:rPr>
              <w:t>54,400,000</w:t>
            </w:r>
          </w:p>
        </w:tc>
      </w:tr>
      <w:tr>
        <w:trPr>
          <w:trHeight w:val="413"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9.05%</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37,563,250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22,537,950</w:t>
            </w:r>
          </w:p>
        </w:tc>
        <w:tc>
          <w:tcPr>
            <w:tcW w:w="10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7" w:right="0"/>
              <w:jc w:val="left"/>
              <w:rPr>
                <w:rFonts w:ascii="宋体" w:hAnsi="宋体" w:cs="宋体" w:eastAsia="宋体" w:hint="default"/>
                <w:sz w:val="18"/>
                <w:szCs w:val="18"/>
              </w:rPr>
            </w:pPr>
            <w:r>
              <w:rPr>
                <w:rFonts w:ascii="宋体"/>
                <w:sz w:val="18"/>
              </w:rPr>
              <w:t>28,172,437</w:t>
            </w:r>
          </w:p>
        </w:tc>
        <w:tc>
          <w:tcPr>
            <w:tcW w:w="11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6" w:right="0"/>
              <w:jc w:val="left"/>
              <w:rPr>
                <w:rFonts w:ascii="宋体" w:hAnsi="宋体" w:cs="宋体" w:eastAsia="宋体" w:hint="default"/>
                <w:sz w:val="18"/>
                <w:szCs w:val="18"/>
              </w:rPr>
            </w:pPr>
            <w:r>
              <w:rPr>
                <w:rFonts w:ascii="宋体"/>
                <w:sz w:val="18"/>
              </w:rPr>
              <w:t>9,390,813</w:t>
            </w:r>
          </w:p>
        </w:tc>
        <w:tc>
          <w:tcPr>
            <w:tcW w:w="5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31" w:right="0"/>
              <w:jc w:val="left"/>
              <w:rPr>
                <w:rFonts w:ascii="宋体" w:hAnsi="宋体" w:cs="宋体" w:eastAsia="宋体" w:hint="default"/>
                <w:sz w:val="18"/>
                <w:szCs w:val="18"/>
              </w:rPr>
            </w:pPr>
            <w:r>
              <w:rPr>
                <w:rFonts w:ascii="宋体"/>
                <w:sz w:val="18"/>
              </w:rPr>
              <w:t>37,184,800</w:t>
            </w:r>
          </w:p>
        </w:tc>
      </w:tr>
      <w:tr>
        <w:trPr>
          <w:trHeight w:val="1262"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88" w:right="96"/>
              <w:jc w:val="both"/>
              <w:rPr>
                <w:rFonts w:ascii="宋体" w:hAnsi="宋体" w:cs="宋体" w:eastAsia="宋体" w:hint="default"/>
                <w:sz w:val="18"/>
                <w:szCs w:val="18"/>
              </w:rPr>
            </w:pPr>
            <w:r>
              <w:rPr>
                <w:rFonts w:ascii="宋体" w:hAnsi="宋体" w:cs="宋体" w:eastAsia="宋体" w:hint="default"/>
                <w:sz w:val="18"/>
                <w:szCs w:val="18"/>
              </w:rPr>
              <w:t>中国工商银行股 份有限公司－建 信优选成长混合 型证券投资基金</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1.91%</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8"/>
              <w:jc w:val="right"/>
              <w:rPr>
                <w:rFonts w:ascii="宋体" w:hAnsi="宋体" w:cs="宋体" w:eastAsia="宋体" w:hint="default"/>
                <w:sz w:val="18"/>
                <w:szCs w:val="18"/>
              </w:rPr>
            </w:pPr>
            <w:r>
              <w:rPr>
                <w:rFonts w:ascii="宋体"/>
                <w:sz w:val="18"/>
              </w:rPr>
              <w:t>7,936,999</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1" w:right="0"/>
              <w:jc w:val="left"/>
              <w:rPr>
                <w:rFonts w:ascii="宋体" w:hAnsi="宋体" w:cs="宋体" w:eastAsia="宋体" w:hint="default"/>
                <w:sz w:val="18"/>
                <w:szCs w:val="18"/>
              </w:rPr>
            </w:pPr>
            <w:r>
              <w:rPr>
                <w:rFonts w:ascii="宋体"/>
                <w:sz w:val="18"/>
              </w:rPr>
              <w:t>4,675,357</w:t>
            </w:r>
          </w:p>
        </w:tc>
        <w:tc>
          <w:tcPr>
            <w:tcW w:w="1025" w:type="dxa"/>
            <w:gridSpan w:val="2"/>
            <w:tcBorders>
              <w:top w:val="single" w:sz="6" w:space="0" w:color="000000"/>
              <w:left w:val="single" w:sz="6" w:space="0" w:color="000000"/>
              <w:bottom w:val="single" w:sz="6" w:space="0" w:color="000000"/>
              <w:right w:val="single" w:sz="6" w:space="0" w:color="000000"/>
            </w:tcBorders>
          </w:tcPr>
          <w:p>
            <w:pPr/>
          </w:p>
        </w:tc>
        <w:tc>
          <w:tcPr>
            <w:tcW w:w="11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56" w:right="0"/>
              <w:jc w:val="left"/>
              <w:rPr>
                <w:rFonts w:ascii="宋体" w:hAnsi="宋体" w:cs="宋体" w:eastAsia="宋体" w:hint="default"/>
                <w:sz w:val="18"/>
                <w:szCs w:val="18"/>
              </w:rPr>
            </w:pPr>
            <w:r>
              <w:rPr>
                <w:rFonts w:ascii="宋体"/>
                <w:sz w:val="18"/>
              </w:rPr>
              <w:t>7,936,999</w:t>
            </w:r>
          </w:p>
        </w:tc>
        <w:tc>
          <w:tcPr>
            <w:tcW w:w="565" w:type="dxa"/>
            <w:gridSpan w:val="2"/>
            <w:tcBorders>
              <w:top w:val="single" w:sz="6" w:space="0" w:color="000000"/>
              <w:left w:val="single" w:sz="6" w:space="0" w:color="000000"/>
              <w:bottom w:val="single" w:sz="6" w:space="0" w:color="000000"/>
              <w:right w:val="single" w:sz="6" w:space="0" w:color="000000"/>
            </w:tcBorders>
          </w:tcPr>
          <w:p>
            <w:pPr/>
          </w:p>
        </w:tc>
        <w:tc>
          <w:tcPr>
            <w:tcW w:w="1067" w:type="dxa"/>
            <w:gridSpan w:val="2"/>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1.68%</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6,981,540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4,188,924</w:t>
            </w:r>
          </w:p>
        </w:tc>
        <w:tc>
          <w:tcPr>
            <w:tcW w:w="10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7" w:right="0"/>
              <w:jc w:val="left"/>
              <w:rPr>
                <w:rFonts w:ascii="宋体" w:hAnsi="宋体" w:cs="宋体" w:eastAsia="宋体" w:hint="default"/>
                <w:sz w:val="18"/>
                <w:szCs w:val="18"/>
              </w:rPr>
            </w:pPr>
            <w:r>
              <w:rPr>
                <w:rFonts w:ascii="宋体"/>
                <w:sz w:val="18"/>
              </w:rPr>
              <w:t>6,981,540</w:t>
            </w:r>
          </w:p>
        </w:tc>
        <w:tc>
          <w:tcPr>
            <w:tcW w:w="1102" w:type="dxa"/>
            <w:gridSpan w:val="2"/>
            <w:tcBorders>
              <w:top w:val="single" w:sz="6" w:space="0" w:color="000000"/>
              <w:left w:val="single" w:sz="6" w:space="0" w:color="000000"/>
              <w:bottom w:val="single" w:sz="6" w:space="0" w:color="000000"/>
              <w:right w:val="single" w:sz="6" w:space="0" w:color="000000"/>
            </w:tcBorders>
          </w:tcPr>
          <w:p>
            <w:pPr/>
          </w:p>
        </w:tc>
        <w:tc>
          <w:tcPr>
            <w:tcW w:w="565" w:type="dxa"/>
            <w:gridSpan w:val="2"/>
            <w:tcBorders>
              <w:top w:val="single" w:sz="6" w:space="0" w:color="000000"/>
              <w:left w:val="single" w:sz="6" w:space="0" w:color="000000"/>
              <w:bottom w:val="single" w:sz="6" w:space="0" w:color="000000"/>
              <w:right w:val="single" w:sz="6" w:space="0" w:color="000000"/>
            </w:tcBorders>
          </w:tcPr>
          <w:p>
            <w:pPr/>
          </w:p>
        </w:tc>
        <w:tc>
          <w:tcPr>
            <w:tcW w:w="1067" w:type="dxa"/>
            <w:gridSpan w:val="2"/>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9" w:lineRule="auto" w:before="11"/>
              <w:ind w:left="13" w:right="19" w:hanging="2"/>
              <w:jc w:val="center"/>
              <w:rPr>
                <w:rFonts w:ascii="宋体" w:hAnsi="宋体" w:cs="宋体" w:eastAsia="宋体" w:hint="default"/>
                <w:sz w:val="18"/>
                <w:szCs w:val="18"/>
              </w:rPr>
            </w:pPr>
            <w:r>
              <w:rPr>
                <w:rFonts w:ascii="宋体" w:hAnsi="宋体" w:cs="宋体" w:eastAsia="宋体" w:hint="default"/>
                <w:sz w:val="18"/>
                <w:szCs w:val="18"/>
              </w:rPr>
              <w:t>西藏信托有限公 司－西藏信托－ 莱沃</w:t>
            </w:r>
            <w:r>
              <w:rPr>
                <w:rFonts w:ascii="宋体" w:hAnsi="宋体" w:cs="宋体" w:eastAsia="宋体" w:hint="default"/>
                <w:spacing w:val="-59"/>
                <w:sz w:val="18"/>
                <w:szCs w:val="18"/>
              </w:rPr>
              <w:t> </w:t>
            </w:r>
            <w:r>
              <w:rPr>
                <w:rFonts w:ascii="宋体" w:hAnsi="宋体" w:cs="宋体" w:eastAsia="宋体" w:hint="default"/>
                <w:sz w:val="18"/>
                <w:szCs w:val="18"/>
              </w:rPr>
              <w:t>8</w:t>
            </w:r>
            <w:r>
              <w:rPr>
                <w:rFonts w:ascii="宋体" w:hAnsi="宋体" w:cs="宋体" w:eastAsia="宋体" w:hint="default"/>
                <w:spacing w:val="-59"/>
                <w:sz w:val="18"/>
                <w:szCs w:val="18"/>
              </w:rPr>
              <w:t> </w:t>
            </w:r>
            <w:r>
              <w:rPr>
                <w:rFonts w:ascii="宋体" w:hAnsi="宋体" w:cs="宋体" w:eastAsia="宋体" w:hint="default"/>
                <w:sz w:val="18"/>
                <w:szCs w:val="18"/>
              </w:rPr>
              <w:t>号集合资金 信托计划</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1.40%</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right"/>
              <w:rPr>
                <w:rFonts w:ascii="宋体" w:hAnsi="宋体" w:cs="宋体" w:eastAsia="宋体" w:hint="default"/>
                <w:sz w:val="18"/>
                <w:szCs w:val="18"/>
              </w:rPr>
            </w:pPr>
            <w:r>
              <w:rPr>
                <w:rFonts w:ascii="宋体"/>
                <w:sz w:val="18"/>
              </w:rPr>
              <w:t>5,804,900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1" w:right="0"/>
              <w:jc w:val="left"/>
              <w:rPr>
                <w:rFonts w:ascii="宋体" w:hAnsi="宋体" w:cs="宋体" w:eastAsia="宋体" w:hint="default"/>
                <w:sz w:val="18"/>
                <w:szCs w:val="18"/>
              </w:rPr>
            </w:pPr>
            <w:r>
              <w:rPr>
                <w:rFonts w:ascii="宋体"/>
                <w:sz w:val="18"/>
              </w:rPr>
              <w:t>5,804,900</w:t>
            </w:r>
          </w:p>
        </w:tc>
        <w:tc>
          <w:tcPr>
            <w:tcW w:w="1025" w:type="dxa"/>
            <w:gridSpan w:val="2"/>
            <w:tcBorders>
              <w:top w:val="single" w:sz="6" w:space="0" w:color="000000"/>
              <w:left w:val="single" w:sz="6" w:space="0" w:color="000000"/>
              <w:bottom w:val="single" w:sz="6" w:space="0" w:color="000000"/>
              <w:right w:val="single" w:sz="6" w:space="0" w:color="000000"/>
            </w:tcBorders>
          </w:tcPr>
          <w:p>
            <w:pPr/>
          </w:p>
        </w:tc>
        <w:tc>
          <w:tcPr>
            <w:tcW w:w="11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56" w:right="0"/>
              <w:jc w:val="left"/>
              <w:rPr>
                <w:rFonts w:ascii="宋体" w:hAnsi="宋体" w:cs="宋体" w:eastAsia="宋体" w:hint="default"/>
                <w:sz w:val="18"/>
                <w:szCs w:val="18"/>
              </w:rPr>
            </w:pPr>
            <w:r>
              <w:rPr>
                <w:rFonts w:ascii="宋体"/>
                <w:sz w:val="18"/>
              </w:rPr>
              <w:t>5,804,900</w:t>
            </w:r>
          </w:p>
        </w:tc>
        <w:tc>
          <w:tcPr>
            <w:tcW w:w="565" w:type="dxa"/>
            <w:gridSpan w:val="2"/>
            <w:tcBorders>
              <w:top w:val="single" w:sz="6" w:space="0" w:color="000000"/>
              <w:left w:val="single" w:sz="6" w:space="0" w:color="000000"/>
              <w:bottom w:val="single" w:sz="6" w:space="0" w:color="000000"/>
              <w:right w:val="single" w:sz="6" w:space="0" w:color="000000"/>
            </w:tcBorders>
          </w:tcPr>
          <w:p>
            <w:pPr/>
          </w:p>
        </w:tc>
        <w:tc>
          <w:tcPr>
            <w:tcW w:w="1067" w:type="dxa"/>
            <w:gridSpan w:val="2"/>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sz w:val="18"/>
                <w:szCs w:val="18"/>
              </w:rPr>
              <w:t>徐一宁</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1.35%</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5,605,500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3,323,300</w:t>
            </w:r>
          </w:p>
        </w:tc>
        <w:tc>
          <w:tcPr>
            <w:tcW w:w="1025" w:type="dxa"/>
            <w:gridSpan w:val="2"/>
            <w:tcBorders>
              <w:top w:val="single" w:sz="6" w:space="0" w:color="000000"/>
              <w:left w:val="single" w:sz="6" w:space="0" w:color="000000"/>
              <w:bottom w:val="single" w:sz="6" w:space="0" w:color="000000"/>
              <w:right w:val="single" w:sz="6" w:space="0" w:color="000000"/>
            </w:tcBorders>
          </w:tcPr>
          <w:p>
            <w:pPr/>
          </w:p>
        </w:tc>
        <w:tc>
          <w:tcPr>
            <w:tcW w:w="11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6" w:right="0"/>
              <w:jc w:val="left"/>
              <w:rPr>
                <w:rFonts w:ascii="宋体" w:hAnsi="宋体" w:cs="宋体" w:eastAsia="宋体" w:hint="default"/>
                <w:sz w:val="18"/>
                <w:szCs w:val="18"/>
              </w:rPr>
            </w:pPr>
            <w:r>
              <w:rPr>
                <w:rFonts w:ascii="宋体"/>
                <w:sz w:val="18"/>
              </w:rPr>
              <w:t>5,605,500</w:t>
            </w:r>
          </w:p>
        </w:tc>
        <w:tc>
          <w:tcPr>
            <w:tcW w:w="565" w:type="dxa"/>
            <w:gridSpan w:val="2"/>
            <w:tcBorders>
              <w:top w:val="single" w:sz="6" w:space="0" w:color="000000"/>
              <w:left w:val="single" w:sz="6" w:space="0" w:color="000000"/>
              <w:bottom w:val="single" w:sz="6" w:space="0" w:color="000000"/>
              <w:right w:val="single" w:sz="6" w:space="0" w:color="000000"/>
            </w:tcBorders>
          </w:tcPr>
          <w:p>
            <w:pPr/>
          </w:p>
        </w:tc>
        <w:tc>
          <w:tcPr>
            <w:tcW w:w="1067" w:type="dxa"/>
            <w:gridSpan w:val="2"/>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熊珂</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1.02%</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4,218,750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2,531,250</w:t>
            </w:r>
          </w:p>
        </w:tc>
        <w:tc>
          <w:tcPr>
            <w:tcW w:w="10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7" w:right="0"/>
              <w:jc w:val="left"/>
              <w:rPr>
                <w:rFonts w:ascii="宋体" w:hAnsi="宋体" w:cs="宋体" w:eastAsia="宋体" w:hint="default"/>
                <w:sz w:val="18"/>
                <w:szCs w:val="18"/>
              </w:rPr>
            </w:pPr>
            <w:r>
              <w:rPr>
                <w:rFonts w:ascii="宋体"/>
                <w:sz w:val="18"/>
              </w:rPr>
              <w:t>3,164,062</w:t>
            </w:r>
          </w:p>
        </w:tc>
        <w:tc>
          <w:tcPr>
            <w:tcW w:w="11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56" w:right="0"/>
              <w:jc w:val="left"/>
              <w:rPr>
                <w:rFonts w:ascii="宋体" w:hAnsi="宋体" w:cs="宋体" w:eastAsia="宋体" w:hint="default"/>
                <w:sz w:val="18"/>
                <w:szCs w:val="18"/>
              </w:rPr>
            </w:pPr>
            <w:r>
              <w:rPr>
                <w:rFonts w:ascii="宋体"/>
                <w:sz w:val="18"/>
              </w:rPr>
              <w:t>1,054,688</w:t>
            </w:r>
          </w:p>
        </w:tc>
        <w:tc>
          <w:tcPr>
            <w:tcW w:w="5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21" w:right="0"/>
              <w:jc w:val="left"/>
              <w:rPr>
                <w:rFonts w:ascii="宋体" w:hAnsi="宋体" w:cs="宋体" w:eastAsia="宋体" w:hint="default"/>
                <w:sz w:val="18"/>
                <w:szCs w:val="18"/>
              </w:rPr>
            </w:pPr>
            <w:r>
              <w:rPr>
                <w:rFonts w:ascii="宋体"/>
                <w:sz w:val="18"/>
              </w:rPr>
              <w:t>3,980,000</w:t>
            </w:r>
          </w:p>
        </w:tc>
      </w:tr>
      <w:tr>
        <w:trPr>
          <w:trHeight w:val="412"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sz w:val="18"/>
                <w:szCs w:val="18"/>
              </w:rPr>
              <w:t>任晶晶</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0.72%</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2,973,355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1,784,013</w:t>
            </w:r>
          </w:p>
        </w:tc>
        <w:tc>
          <w:tcPr>
            <w:tcW w:w="10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7" w:right="0"/>
              <w:jc w:val="left"/>
              <w:rPr>
                <w:rFonts w:ascii="宋体" w:hAnsi="宋体" w:cs="宋体" w:eastAsia="宋体" w:hint="default"/>
                <w:sz w:val="18"/>
                <w:szCs w:val="18"/>
              </w:rPr>
            </w:pPr>
            <w:r>
              <w:rPr>
                <w:rFonts w:ascii="宋体"/>
                <w:sz w:val="18"/>
              </w:rPr>
              <w:t>2,973,355</w:t>
            </w:r>
          </w:p>
        </w:tc>
        <w:tc>
          <w:tcPr>
            <w:tcW w:w="1102" w:type="dxa"/>
            <w:gridSpan w:val="2"/>
            <w:tcBorders>
              <w:top w:val="single" w:sz="6" w:space="0" w:color="000000"/>
              <w:left w:val="single" w:sz="6" w:space="0" w:color="000000"/>
              <w:bottom w:val="single" w:sz="6" w:space="0" w:color="000000"/>
              <w:right w:val="single" w:sz="6" w:space="0" w:color="000000"/>
            </w:tcBorders>
          </w:tcPr>
          <w:p>
            <w:pPr/>
          </w:p>
        </w:tc>
        <w:tc>
          <w:tcPr>
            <w:tcW w:w="565" w:type="dxa"/>
            <w:gridSpan w:val="2"/>
            <w:tcBorders>
              <w:top w:val="single" w:sz="6" w:space="0" w:color="000000"/>
              <w:left w:val="single" w:sz="6" w:space="0" w:color="000000"/>
              <w:bottom w:val="single" w:sz="6" w:space="0" w:color="000000"/>
              <w:right w:val="single" w:sz="6" w:space="0" w:color="000000"/>
            </w:tcBorders>
          </w:tcPr>
          <w:p>
            <w:pPr/>
          </w:p>
        </w:tc>
        <w:tc>
          <w:tcPr>
            <w:tcW w:w="1067" w:type="dxa"/>
            <w:gridSpan w:val="2"/>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470"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358" w:right="186" w:hanging="180"/>
              <w:jc w:val="left"/>
              <w:rPr>
                <w:rFonts w:ascii="宋体" w:hAnsi="宋体" w:cs="宋体" w:eastAsia="宋体" w:hint="default"/>
                <w:sz w:val="18"/>
                <w:szCs w:val="18"/>
              </w:rPr>
            </w:pPr>
            <w:r>
              <w:rPr>
                <w:rFonts w:ascii="宋体" w:hAnsi="宋体" w:cs="宋体" w:eastAsia="宋体" w:hint="default"/>
                <w:sz w:val="18"/>
                <w:szCs w:val="18"/>
              </w:rPr>
              <w:t>华泰证券股份 有限公司</w:t>
            </w:r>
          </w:p>
        </w:tc>
        <w:tc>
          <w:tcPr>
            <w:tcW w:w="13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0.69%</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2,874,865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1" w:right="0"/>
              <w:jc w:val="left"/>
              <w:rPr>
                <w:rFonts w:ascii="宋体" w:hAnsi="宋体" w:cs="宋体" w:eastAsia="宋体" w:hint="default"/>
                <w:sz w:val="18"/>
                <w:szCs w:val="18"/>
              </w:rPr>
            </w:pPr>
            <w:r>
              <w:rPr>
                <w:rFonts w:ascii="宋体"/>
                <w:sz w:val="18"/>
              </w:rPr>
              <w:t>424,923</w:t>
            </w:r>
          </w:p>
        </w:tc>
        <w:tc>
          <w:tcPr>
            <w:tcW w:w="1025" w:type="dxa"/>
            <w:gridSpan w:val="2"/>
            <w:tcBorders>
              <w:top w:val="single" w:sz="6" w:space="0" w:color="000000"/>
              <w:left w:val="single" w:sz="6" w:space="0" w:color="000000"/>
              <w:bottom w:val="single" w:sz="6" w:space="0" w:color="000000"/>
              <w:right w:val="single" w:sz="6" w:space="0" w:color="000000"/>
            </w:tcBorders>
          </w:tcPr>
          <w:p>
            <w:pPr/>
          </w:p>
        </w:tc>
        <w:tc>
          <w:tcPr>
            <w:tcW w:w="11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2,874,865</w:t>
            </w:r>
          </w:p>
        </w:tc>
        <w:tc>
          <w:tcPr>
            <w:tcW w:w="565" w:type="dxa"/>
            <w:gridSpan w:val="2"/>
            <w:tcBorders>
              <w:top w:val="single" w:sz="6" w:space="0" w:color="000000"/>
              <w:left w:val="single" w:sz="6" w:space="0" w:color="000000"/>
              <w:bottom w:val="single" w:sz="6" w:space="0" w:color="000000"/>
              <w:right w:val="single" w:sz="6" w:space="0" w:color="000000"/>
            </w:tcBorders>
          </w:tcPr>
          <w:p>
            <w:pPr/>
          </w:p>
        </w:tc>
        <w:tc>
          <w:tcPr>
            <w:tcW w:w="1067" w:type="dxa"/>
            <w:gridSpan w:val="2"/>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2859"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名股东的情况（如有）</w:t>
            </w:r>
          </w:p>
        </w:tc>
        <w:tc>
          <w:tcPr>
            <w:tcW w:w="6712" w:type="dxa"/>
            <w:gridSpan w:val="11"/>
            <w:tcBorders>
              <w:top w:val="single" w:sz="6" w:space="0" w:color="000000"/>
              <w:left w:val="single" w:sz="14" w:space="0" w:color="D2D2D2"/>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2859" w:type="dxa"/>
            <w:gridSpan w:val="4"/>
            <w:tcBorders>
              <w:top w:val="single" w:sz="6" w:space="0" w:color="000000"/>
              <w:left w:val="single" w:sz="12" w:space="0" w:color="000000"/>
              <w:bottom w:val="nil" w:sz="6" w:space="0" w:color="auto"/>
              <w:right w:val="single" w:sz="6" w:space="0" w:color="000000"/>
            </w:tcBorders>
            <w:shd w:val="clear" w:color="auto" w:fill="D2D2D2"/>
          </w:tcPr>
          <w:p>
            <w:pPr/>
          </w:p>
        </w:tc>
        <w:tc>
          <w:tcPr>
            <w:tcW w:w="6712" w:type="dxa"/>
            <w:gridSpan w:val="11"/>
            <w:vMerge w:val="restart"/>
            <w:tcBorders>
              <w:top w:val="single" w:sz="6" w:space="0" w:color="000000"/>
              <w:left w:val="single" w:sz="8" w:space="0" w:color="D2D2D2"/>
              <w:right w:val="single" w:sz="12" w:space="0" w:color="000000"/>
            </w:tcBorders>
          </w:tcPr>
          <w:p>
            <w:pPr>
              <w:pStyle w:val="TableParagraph"/>
              <w:spacing w:line="316" w:lineRule="auto" w:before="10"/>
              <w:ind w:left="39" w:right="10" w:firstLine="360"/>
              <w:jc w:val="both"/>
              <w:rPr>
                <w:rFonts w:ascii="宋体" w:hAnsi="宋体" w:cs="宋体" w:eastAsia="宋体" w:hint="default"/>
                <w:sz w:val="18"/>
                <w:szCs w:val="18"/>
              </w:rPr>
            </w:pPr>
            <w:r>
              <w:rPr>
                <w:rFonts w:ascii="宋体" w:hAnsi="宋体" w:cs="宋体" w:eastAsia="宋体" w:hint="default"/>
                <w:spacing w:val="-1"/>
                <w:sz w:val="18"/>
                <w:szCs w:val="18"/>
              </w:rPr>
              <w:t>股东江苏光一投资管理有限责任公司为实际控制人龙昌明先生控制的企业，股东</w:t>
            </w:r>
            <w:r>
              <w:rPr>
                <w:rFonts w:ascii="宋体" w:hAnsi="宋体" w:cs="宋体" w:eastAsia="宋体" w:hint="default"/>
                <w:sz w:val="18"/>
                <w:szCs w:val="18"/>
              </w:rPr>
              <w:t> 熊珂女士为龙昌明先生配偶，西藏信托有限公司－西藏信托－莱沃</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号集合资金信托 </w:t>
            </w:r>
            <w:r>
              <w:rPr>
                <w:rFonts w:ascii="宋体" w:hAnsi="宋体" w:cs="宋体" w:eastAsia="宋体" w:hint="default"/>
                <w:spacing w:val="-1"/>
                <w:sz w:val="18"/>
                <w:szCs w:val="18"/>
              </w:rPr>
              <w:t>计划为龙昌明先生在二级市场增持账户；股东任昌兆先生为公司董事、全资子公司索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瑞电气总经理、湖北乾瀚投资有限公司执行董事、经理，股东任晶晶女士为任昌兆先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生之女；其他股东未知是否存在关联关系或一致行动。</w:t>
            </w:r>
          </w:p>
        </w:tc>
      </w:tr>
      <w:tr>
        <w:trPr>
          <w:trHeight w:val="624" w:hRule="exact"/>
        </w:trPr>
        <w:tc>
          <w:tcPr>
            <w:tcW w:w="2859" w:type="dxa"/>
            <w:gridSpan w:val="4"/>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6" w:lineRule="auto" w:before="10"/>
              <w:ind w:left="13" w:right="12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12" w:type="dxa"/>
            <w:gridSpan w:val="11"/>
            <w:vMerge/>
            <w:tcBorders>
              <w:left w:val="single" w:sz="8" w:space="0" w:color="D2D2D2"/>
              <w:right w:val="single" w:sz="12" w:space="0" w:color="000000"/>
            </w:tcBorders>
          </w:tcPr>
          <w:p>
            <w:pPr/>
          </w:p>
        </w:tc>
      </w:tr>
      <w:tr>
        <w:trPr>
          <w:trHeight w:val="476" w:hRule="exact"/>
        </w:trPr>
        <w:tc>
          <w:tcPr>
            <w:tcW w:w="2859" w:type="dxa"/>
            <w:gridSpan w:val="4"/>
            <w:tcBorders>
              <w:top w:val="nil" w:sz="6" w:space="0" w:color="auto"/>
              <w:left w:val="single" w:sz="12" w:space="0" w:color="000000"/>
              <w:bottom w:val="single" w:sz="6" w:space="0" w:color="000000"/>
              <w:right w:val="single" w:sz="6" w:space="0" w:color="000000"/>
            </w:tcBorders>
            <w:shd w:val="clear" w:color="auto" w:fill="D2D2D2"/>
          </w:tcPr>
          <w:p>
            <w:pPr/>
          </w:p>
        </w:tc>
        <w:tc>
          <w:tcPr>
            <w:tcW w:w="6712" w:type="dxa"/>
            <w:gridSpan w:val="11"/>
            <w:vMerge/>
            <w:tcBorders>
              <w:left w:val="single" w:sz="8" w:space="0" w:color="D2D2D2"/>
              <w:bottom w:val="single" w:sz="6" w:space="0" w:color="000000"/>
              <w:right w:val="single" w:sz="12" w:space="0" w:color="000000"/>
            </w:tcBorders>
          </w:tcPr>
          <w:p>
            <w:pPr/>
          </w:p>
        </w:tc>
      </w:tr>
      <w:tr>
        <w:trPr>
          <w:trHeight w:val="327" w:hRule="exact"/>
        </w:trPr>
        <w:tc>
          <w:tcPr>
            <w:tcW w:w="9571" w:type="dxa"/>
            <w:gridSpan w:val="15"/>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172" w:hRule="exact"/>
        </w:trPr>
        <w:tc>
          <w:tcPr>
            <w:tcW w:w="2859" w:type="dxa"/>
            <w:gridSpan w:val="4"/>
            <w:tcBorders>
              <w:top w:val="single" w:sz="6" w:space="0" w:color="000000"/>
              <w:left w:val="single" w:sz="12" w:space="0" w:color="000000"/>
              <w:bottom w:val="nil" w:sz="6" w:space="0" w:color="auto"/>
              <w:right w:val="single" w:sz="6" w:space="0" w:color="000000"/>
            </w:tcBorders>
            <w:shd w:val="clear" w:color="auto" w:fill="D2D2D2"/>
          </w:tcPr>
          <w:p>
            <w:pPr/>
          </w:p>
        </w:tc>
        <w:tc>
          <w:tcPr>
            <w:tcW w:w="3979" w:type="dxa"/>
            <w:gridSpan w:val="5"/>
            <w:tcBorders>
              <w:top w:val="single" w:sz="6" w:space="0" w:color="000000"/>
              <w:left w:val="single" w:sz="6" w:space="0" w:color="000000"/>
              <w:bottom w:val="nil" w:sz="6" w:space="0" w:color="auto"/>
              <w:right w:val="single" w:sz="6" w:space="0" w:color="000000"/>
            </w:tcBorders>
            <w:shd w:val="clear" w:color="auto" w:fill="D2D2D2"/>
          </w:tcPr>
          <w:p>
            <w:pPr/>
          </w:p>
        </w:tc>
        <w:tc>
          <w:tcPr>
            <w:tcW w:w="2733" w:type="dxa"/>
            <w:gridSpan w:val="6"/>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0"/>
              <w:ind w:left="4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48" w:hRule="exact"/>
        </w:trPr>
        <w:tc>
          <w:tcPr>
            <w:tcW w:w="2859" w:type="dxa"/>
            <w:gridSpan w:val="4"/>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79" w:type="dxa"/>
            <w:gridSpan w:val="5"/>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63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3" w:type="dxa"/>
            <w:gridSpan w:val="6"/>
            <w:vMerge/>
            <w:tcBorders>
              <w:left w:val="single" w:sz="6" w:space="0" w:color="000000"/>
              <w:bottom w:val="single" w:sz="6" w:space="0" w:color="000000"/>
              <w:right w:val="single" w:sz="12" w:space="0" w:color="000000"/>
            </w:tcBorders>
            <w:shd w:val="clear" w:color="auto" w:fill="D2D2D2"/>
          </w:tcPr>
          <w:p>
            <w:pPr/>
          </w:p>
        </w:tc>
      </w:tr>
      <w:tr>
        <w:trPr>
          <w:trHeight w:val="164" w:hRule="exact"/>
        </w:trPr>
        <w:tc>
          <w:tcPr>
            <w:tcW w:w="2859" w:type="dxa"/>
            <w:gridSpan w:val="4"/>
            <w:vMerge/>
            <w:tcBorders>
              <w:left w:val="single" w:sz="12" w:space="0" w:color="000000"/>
              <w:bottom w:val="nil" w:sz="6" w:space="0" w:color="auto"/>
              <w:right w:val="single" w:sz="6" w:space="0" w:color="000000"/>
            </w:tcBorders>
            <w:shd w:val="clear" w:color="auto" w:fill="D2D2D2"/>
          </w:tcPr>
          <w:p>
            <w:pPr/>
          </w:p>
        </w:tc>
        <w:tc>
          <w:tcPr>
            <w:tcW w:w="3979" w:type="dxa"/>
            <w:gridSpan w:val="5"/>
            <w:vMerge/>
            <w:tcBorders>
              <w:left w:val="single" w:sz="6" w:space="0" w:color="000000"/>
              <w:bottom w:val="nil" w:sz="6" w:space="0" w:color="auto"/>
              <w:right w:val="single" w:sz="6" w:space="0" w:color="000000"/>
            </w:tcBorders>
            <w:shd w:val="clear" w:color="auto" w:fill="D2D2D2"/>
          </w:tcPr>
          <w:p>
            <w:pPr/>
          </w:p>
        </w:tc>
        <w:tc>
          <w:tcPr>
            <w:tcW w:w="138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9"/>
              <w:ind w:left="34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3"/>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19"/>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0" w:hRule="exact"/>
        </w:trPr>
        <w:tc>
          <w:tcPr>
            <w:tcW w:w="2859" w:type="dxa"/>
            <w:gridSpan w:val="4"/>
            <w:tcBorders>
              <w:top w:val="nil" w:sz="6" w:space="0" w:color="auto"/>
              <w:left w:val="single" w:sz="12" w:space="0" w:color="000000"/>
              <w:bottom w:val="single" w:sz="6" w:space="0" w:color="000000"/>
              <w:right w:val="single" w:sz="6" w:space="0" w:color="000000"/>
            </w:tcBorders>
            <w:shd w:val="clear" w:color="auto" w:fill="D2D2D2"/>
          </w:tcPr>
          <w:p>
            <w:pPr/>
          </w:p>
        </w:tc>
        <w:tc>
          <w:tcPr>
            <w:tcW w:w="3979" w:type="dxa"/>
            <w:gridSpan w:val="5"/>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gridSpan w:val="3"/>
            <w:vMerge/>
            <w:tcBorders>
              <w:left w:val="single" w:sz="6" w:space="0" w:color="000000"/>
              <w:bottom w:val="single" w:sz="6" w:space="0" w:color="000000"/>
              <w:right w:val="single" w:sz="6" w:space="0" w:color="000000"/>
            </w:tcBorders>
            <w:shd w:val="clear" w:color="auto" w:fill="D2D2D2"/>
          </w:tcPr>
          <w:p>
            <w:pPr/>
          </w:p>
        </w:tc>
        <w:tc>
          <w:tcPr>
            <w:tcW w:w="1352" w:type="dxa"/>
            <w:gridSpan w:val="3"/>
            <w:vMerge/>
            <w:tcBorders>
              <w:left w:val="single" w:sz="6" w:space="0" w:color="000000"/>
              <w:bottom w:val="single" w:sz="6" w:space="0" w:color="000000"/>
              <w:right w:val="single" w:sz="12" w:space="0" w:color="000000"/>
            </w:tcBorders>
            <w:shd w:val="clear" w:color="auto" w:fill="D2D2D2"/>
          </w:tcPr>
          <w:p>
            <w:pPr/>
          </w:p>
        </w:tc>
      </w:tr>
      <w:tr>
        <w:trPr>
          <w:trHeight w:val="412" w:hRule="exact"/>
        </w:trPr>
        <w:tc>
          <w:tcPr>
            <w:tcW w:w="2859"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39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3"/>
              <w:jc w:val="right"/>
              <w:rPr>
                <w:rFonts w:ascii="宋体" w:hAnsi="宋体" w:cs="宋体" w:eastAsia="宋体" w:hint="default"/>
                <w:sz w:val="18"/>
                <w:szCs w:val="18"/>
              </w:rPr>
            </w:pPr>
            <w:r>
              <w:rPr>
                <w:rFonts w:ascii="宋体"/>
                <w:sz w:val="18"/>
              </w:rPr>
              <w:t>106,500,000</w:t>
            </w:r>
          </w:p>
        </w:tc>
        <w:tc>
          <w:tcPr>
            <w:tcW w:w="13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327" w:right="0"/>
              <w:jc w:val="left"/>
              <w:rPr>
                <w:rFonts w:ascii="宋体" w:hAnsi="宋体" w:cs="宋体" w:eastAsia="宋体" w:hint="default"/>
                <w:sz w:val="18"/>
                <w:szCs w:val="18"/>
              </w:rPr>
            </w:pPr>
            <w:r>
              <w:rPr>
                <w:rFonts w:ascii="宋体"/>
                <w:sz w:val="18"/>
              </w:rPr>
              <w:t>106,500,000</w:t>
            </w:r>
          </w:p>
        </w:tc>
      </w:tr>
      <w:tr>
        <w:trPr>
          <w:trHeight w:val="413" w:hRule="exact"/>
        </w:trPr>
        <w:tc>
          <w:tcPr>
            <w:tcW w:w="2859"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28"/>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9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3"/>
              <w:jc w:val="right"/>
              <w:rPr>
                <w:rFonts w:ascii="宋体" w:hAnsi="宋体" w:cs="宋体" w:eastAsia="宋体" w:hint="default"/>
                <w:sz w:val="18"/>
                <w:szCs w:val="18"/>
              </w:rPr>
            </w:pPr>
            <w:r>
              <w:rPr>
                <w:rFonts w:ascii="宋体"/>
                <w:sz w:val="18"/>
              </w:rPr>
              <w:t>9,390,813</w:t>
            </w:r>
          </w:p>
        </w:tc>
        <w:tc>
          <w:tcPr>
            <w:tcW w:w="13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7" w:right="0"/>
              <w:jc w:val="left"/>
              <w:rPr>
                <w:rFonts w:ascii="宋体" w:hAnsi="宋体" w:cs="宋体" w:eastAsia="宋体" w:hint="default"/>
                <w:sz w:val="18"/>
                <w:szCs w:val="18"/>
              </w:rPr>
            </w:pPr>
            <w:r>
              <w:rPr>
                <w:rFonts w:ascii="宋体"/>
                <w:sz w:val="18"/>
              </w:rPr>
              <w:t>9,390,813</w:t>
            </w:r>
          </w:p>
        </w:tc>
      </w:tr>
      <w:tr>
        <w:trPr>
          <w:trHeight w:val="646" w:hRule="exact"/>
        </w:trPr>
        <w:tc>
          <w:tcPr>
            <w:tcW w:w="2859" w:type="dxa"/>
            <w:gridSpan w:val="4"/>
            <w:tcBorders>
              <w:top w:val="single" w:sz="6" w:space="0" w:color="000000"/>
              <w:left w:val="single" w:sz="12" w:space="0" w:color="000000"/>
              <w:bottom w:val="single" w:sz="12" w:space="0" w:color="000000"/>
              <w:right w:val="single" w:sz="6" w:space="0" w:color="000000"/>
            </w:tcBorders>
          </w:tcPr>
          <w:p>
            <w:pPr>
              <w:pStyle w:val="TableParagraph"/>
              <w:spacing w:line="316" w:lineRule="auto" w:before="10"/>
              <w:ind w:left="232" w:right="81" w:hanging="180"/>
              <w:jc w:val="left"/>
              <w:rPr>
                <w:rFonts w:ascii="宋体" w:hAnsi="宋体" w:cs="宋体" w:eastAsia="宋体" w:hint="default"/>
                <w:sz w:val="18"/>
                <w:szCs w:val="18"/>
              </w:rPr>
            </w:pPr>
            <w:r>
              <w:rPr>
                <w:rFonts w:ascii="宋体" w:hAnsi="宋体" w:cs="宋体" w:eastAsia="宋体" w:hint="default"/>
                <w:sz w:val="18"/>
                <w:szCs w:val="18"/>
              </w:rPr>
              <w:t>中国工商银行股份有限公司－建信 优选成长混合型证券投资基金</w:t>
            </w:r>
          </w:p>
        </w:tc>
        <w:tc>
          <w:tcPr>
            <w:tcW w:w="3979" w:type="dxa"/>
            <w:gridSpan w:val="5"/>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7,936,999</w:t>
            </w:r>
          </w:p>
        </w:tc>
        <w:tc>
          <w:tcPr>
            <w:tcW w:w="138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07" w:right="0"/>
              <w:jc w:val="left"/>
              <w:rPr>
                <w:rFonts w:ascii="宋体" w:hAnsi="宋体" w:cs="宋体" w:eastAsia="宋体" w:hint="default"/>
                <w:sz w:val="18"/>
                <w:szCs w:val="18"/>
              </w:rPr>
            </w:pPr>
            <w:r>
              <w:rPr>
                <w:rFonts w:ascii="宋体"/>
                <w:sz w:val="18"/>
              </w:rPr>
              <w:t>7,936,999</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2837"/>
        <w:gridCol w:w="4034"/>
        <w:gridCol w:w="1349"/>
        <w:gridCol w:w="1352"/>
      </w:tblGrid>
      <w:tr>
        <w:trPr>
          <w:trHeight w:val="646" w:hRule="exact"/>
        </w:trPr>
        <w:tc>
          <w:tcPr>
            <w:tcW w:w="2837"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412" w:right="59" w:hanging="360"/>
              <w:jc w:val="left"/>
              <w:rPr>
                <w:rFonts w:ascii="宋体" w:hAnsi="宋体" w:cs="宋体" w:eastAsia="宋体" w:hint="default"/>
                <w:sz w:val="18"/>
                <w:szCs w:val="18"/>
              </w:rPr>
            </w:pPr>
            <w:r>
              <w:rPr>
                <w:rFonts w:ascii="宋体" w:hAnsi="宋体" w:cs="宋体" w:eastAsia="宋体" w:hint="default"/>
                <w:sz w:val="18"/>
                <w:szCs w:val="18"/>
              </w:rPr>
              <w:t>西藏信托有限公司－西藏信托－莱 沃</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号集合资金信托计划</w:t>
            </w:r>
          </w:p>
        </w:tc>
        <w:tc>
          <w:tcPr>
            <w:tcW w:w="40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5,804,900</w:t>
            </w:r>
          </w:p>
        </w:tc>
        <w:tc>
          <w:tcPr>
            <w:tcW w:w="13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5,804,900</w:t>
            </w:r>
          </w:p>
        </w:tc>
      </w:tr>
      <w:tr>
        <w:trPr>
          <w:trHeight w:val="412"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徐一宁</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5,605,500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5,605,500</w:t>
            </w:r>
          </w:p>
        </w:tc>
      </w:tr>
      <w:tr>
        <w:trPr>
          <w:trHeight w:val="413"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2,874,865</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2,874,865</w:t>
            </w:r>
          </w:p>
        </w:tc>
      </w:tr>
      <w:tr>
        <w:trPr>
          <w:trHeight w:val="950"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9" w:hanging="1"/>
              <w:jc w:val="center"/>
              <w:rPr>
                <w:rFonts w:ascii="宋体" w:hAnsi="宋体" w:cs="宋体" w:eastAsia="宋体" w:hint="default"/>
                <w:sz w:val="18"/>
                <w:szCs w:val="18"/>
              </w:rPr>
            </w:pPr>
            <w:r>
              <w:rPr>
                <w:rFonts w:ascii="宋体" w:hAnsi="宋体" w:cs="宋体" w:eastAsia="宋体" w:hint="default"/>
                <w:sz w:val="18"/>
                <w:szCs w:val="18"/>
              </w:rPr>
              <w:t>天津信托有限责任公司－天津信 托·丰裕</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号证券投资集合资金信 托计划</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
              <w:jc w:val="right"/>
              <w:rPr>
                <w:rFonts w:ascii="宋体" w:hAnsi="宋体" w:cs="宋体" w:eastAsia="宋体" w:hint="default"/>
                <w:sz w:val="18"/>
                <w:szCs w:val="18"/>
              </w:rPr>
            </w:pPr>
            <w:r>
              <w:rPr>
                <w:rFonts w:ascii="宋体"/>
                <w:sz w:val="18"/>
              </w:rPr>
              <w:t>2,200,000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
              <w:jc w:val="right"/>
              <w:rPr>
                <w:rFonts w:ascii="宋体" w:hAnsi="宋体" w:cs="宋体" w:eastAsia="宋体" w:hint="default"/>
                <w:sz w:val="18"/>
                <w:szCs w:val="18"/>
              </w:rPr>
            </w:pPr>
            <w:r>
              <w:rPr>
                <w:rFonts w:ascii="宋体"/>
                <w:sz w:val="18"/>
              </w:rPr>
              <w:t>2,200,000</w:t>
            </w:r>
          </w:p>
        </w:tc>
      </w:tr>
      <w:tr>
        <w:trPr>
          <w:trHeight w:val="412"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彭其英</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1,409,200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1,409,200</w:t>
            </w:r>
          </w:p>
        </w:tc>
      </w:tr>
      <w:tr>
        <w:trPr>
          <w:trHeight w:val="413"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陆国忠</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1,260,350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1,260,350</w:t>
            </w:r>
          </w:p>
        </w:tc>
      </w:tr>
      <w:tr>
        <w:trPr>
          <w:trHeight w:val="950"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9" w:hanging="1"/>
              <w:jc w:val="center"/>
              <w:rPr>
                <w:rFonts w:ascii="宋体" w:hAnsi="宋体" w:cs="宋体" w:eastAsia="宋体" w:hint="default"/>
                <w:sz w:val="18"/>
                <w:szCs w:val="18"/>
              </w:rPr>
            </w:pPr>
            <w:r>
              <w:rPr>
                <w:rFonts w:ascii="宋体" w:hAnsi="宋体" w:cs="宋体" w:eastAsia="宋体" w:hint="default"/>
                <w:sz w:val="18"/>
                <w:szCs w:val="18"/>
              </w:rPr>
              <w:t>中国金谷国际信托有限责任公司－ 金谷·信惠</w:t>
            </w:r>
            <w:r>
              <w:rPr>
                <w:rFonts w:ascii="宋体" w:hAnsi="宋体" w:cs="宋体" w:eastAsia="宋体" w:hint="default"/>
                <w:spacing w:val="-51"/>
                <w:sz w:val="18"/>
                <w:szCs w:val="18"/>
              </w:rPr>
              <w:t> </w:t>
            </w:r>
            <w:r>
              <w:rPr>
                <w:rFonts w:ascii="宋体" w:hAnsi="宋体" w:cs="宋体" w:eastAsia="宋体" w:hint="default"/>
                <w:sz w:val="18"/>
                <w:szCs w:val="18"/>
              </w:rPr>
              <w:t>63</w:t>
            </w:r>
            <w:r>
              <w:rPr>
                <w:rFonts w:ascii="宋体" w:hAnsi="宋体" w:cs="宋体" w:eastAsia="宋体" w:hint="default"/>
                <w:spacing w:val="-51"/>
                <w:sz w:val="18"/>
                <w:szCs w:val="18"/>
              </w:rPr>
              <w:t> </w:t>
            </w:r>
            <w:r>
              <w:rPr>
                <w:rFonts w:ascii="宋体" w:hAnsi="宋体" w:cs="宋体" w:eastAsia="宋体" w:hint="default"/>
                <w:sz w:val="18"/>
                <w:szCs w:val="18"/>
              </w:rPr>
              <w:t>号证券投资集合资金 信托计划</w:t>
            </w:r>
          </w:p>
        </w:tc>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
              <w:jc w:val="right"/>
              <w:rPr>
                <w:rFonts w:ascii="宋体" w:hAnsi="宋体" w:cs="宋体" w:eastAsia="宋体" w:hint="default"/>
                <w:sz w:val="18"/>
                <w:szCs w:val="18"/>
              </w:rPr>
            </w:pPr>
            <w:r>
              <w:rPr>
                <w:rFonts w:ascii="宋体"/>
                <w:sz w:val="18"/>
              </w:rPr>
              <w:t>1,079,550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
              <w:jc w:val="right"/>
              <w:rPr>
                <w:rFonts w:ascii="宋体" w:hAnsi="宋体" w:cs="宋体" w:eastAsia="宋体" w:hint="default"/>
                <w:sz w:val="18"/>
                <w:szCs w:val="18"/>
              </w:rPr>
            </w:pPr>
            <w:r>
              <w:rPr>
                <w:rFonts w:ascii="宋体"/>
                <w:sz w:val="18"/>
              </w:rPr>
              <w:t>1,079,550</w:t>
            </w:r>
          </w:p>
        </w:tc>
      </w:tr>
      <w:tr>
        <w:trPr>
          <w:trHeight w:val="1576" w:hRule="exact"/>
        </w:trPr>
        <w:tc>
          <w:tcPr>
            <w:tcW w:w="28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名无限售流通股股东之间，以</w:t>
            </w:r>
          </w:p>
          <w:p>
            <w:pPr>
              <w:pStyle w:val="TableParagraph"/>
              <w:spacing w:line="316" w:lineRule="auto" w:before="76"/>
              <w:ind w:left="13" w:right="19"/>
              <w:jc w:val="both"/>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宋体" w:hAnsi="宋体" w:cs="宋体" w:eastAsia="宋体" w:hint="default"/>
                <w:sz w:val="18"/>
                <w:szCs w:val="18"/>
              </w:rPr>
              <w:t>10</w:t>
            </w:r>
            <w:r>
              <w:rPr>
                <w:rFonts w:ascii="宋体" w:hAnsi="宋体" w:cs="宋体" w:eastAsia="宋体" w:hint="default"/>
                <w:spacing w:val="-6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宋体" w:hAnsi="宋体" w:cs="宋体" w:eastAsia="宋体" w:hint="default"/>
                <w:sz w:val="18"/>
                <w:szCs w:val="18"/>
              </w:rPr>
              <w:t>10 </w:t>
            </w:r>
            <w:r>
              <w:rPr>
                <w:rFonts w:ascii="宋体" w:hAnsi="宋体" w:cs="宋体" w:eastAsia="宋体" w:hint="default"/>
                <w:spacing w:val="4"/>
                <w:sz w:val="18"/>
                <w:szCs w:val="18"/>
              </w:rPr>
              <w:t>名股东之间关联关系或一致行动的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说明</w:t>
            </w:r>
          </w:p>
        </w:tc>
        <w:tc>
          <w:tcPr>
            <w:tcW w:w="6735" w:type="dxa"/>
            <w:gridSpan w:val="3"/>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20" w:right="10" w:firstLine="360"/>
              <w:jc w:val="left"/>
              <w:rPr>
                <w:rFonts w:ascii="宋体" w:hAnsi="宋体" w:cs="宋体" w:eastAsia="宋体" w:hint="default"/>
                <w:sz w:val="18"/>
                <w:szCs w:val="18"/>
              </w:rPr>
            </w:pPr>
            <w:r>
              <w:rPr>
                <w:rFonts w:ascii="宋体" w:hAnsi="宋体" w:cs="宋体" w:eastAsia="宋体" w:hint="default"/>
                <w:sz w:val="18"/>
                <w:szCs w:val="18"/>
              </w:rPr>
              <w:t>股东江苏光一投资管理有限责任公司为实际控制人龙昌明先生控制的企业，西藏 信托有限公司－西藏信托－莱沃 </w:t>
            </w:r>
            <w:r>
              <w:rPr>
                <w:rFonts w:ascii="宋体" w:hAnsi="宋体" w:cs="宋体" w:eastAsia="宋体" w:hint="default"/>
                <w:sz w:val="18"/>
                <w:szCs w:val="18"/>
              </w:rPr>
              <w:t>8</w:t>
            </w:r>
            <w:r>
              <w:rPr>
                <w:rFonts w:ascii="宋体" w:hAnsi="宋体" w:cs="宋体" w:eastAsia="宋体" w:hint="default"/>
                <w:spacing w:val="-71"/>
                <w:sz w:val="18"/>
                <w:szCs w:val="18"/>
              </w:rPr>
              <w:t> </w:t>
            </w:r>
            <w:r>
              <w:rPr>
                <w:rFonts w:ascii="宋体" w:hAnsi="宋体" w:cs="宋体" w:eastAsia="宋体" w:hint="default"/>
                <w:sz w:val="18"/>
                <w:szCs w:val="18"/>
              </w:rPr>
              <w:t>号集合资金信托计划为龙昌明先生在二级市场增持</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pacing w:val="-6"/>
                <w:sz w:val="18"/>
                <w:szCs w:val="18"/>
              </w:rPr>
              <w:t>账户；除此之外，前</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名其它无限售流通股股东之间，公司未知是否存在关联关系或</w:t>
            </w:r>
          </w:p>
          <w:p>
            <w:pPr>
              <w:pStyle w:val="TableParagraph"/>
              <w:spacing w:line="316" w:lineRule="auto" w:before="76"/>
              <w:ind w:left="20" w:right="11"/>
              <w:jc w:val="left"/>
              <w:rPr>
                <w:rFonts w:ascii="宋体" w:hAnsi="宋体" w:cs="宋体" w:eastAsia="宋体" w:hint="default"/>
                <w:sz w:val="18"/>
                <w:szCs w:val="18"/>
              </w:rPr>
            </w:pPr>
            <w:r>
              <w:rPr>
                <w:rFonts w:ascii="宋体" w:hAnsi="宋体" w:cs="宋体" w:eastAsia="宋体" w:hint="default"/>
                <w:sz w:val="18"/>
                <w:szCs w:val="18"/>
              </w:rPr>
              <w:t>一致行动；前</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名其它无限售流通股股东和前</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名其它股东之间，公司未知是否存 在关联关系或一致行动。</w:t>
            </w:r>
          </w:p>
        </w:tc>
      </w:tr>
      <w:tr>
        <w:trPr>
          <w:trHeight w:val="646"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735"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股东彭其英除通过普通证券账户持有 </w:t>
            </w:r>
            <w:r>
              <w:rPr>
                <w:rFonts w:ascii="宋体" w:hAnsi="宋体" w:cs="宋体" w:eastAsia="宋体" w:hint="default"/>
                <w:sz w:val="18"/>
                <w:szCs w:val="18"/>
              </w:rPr>
              <w:t>181,200</w:t>
            </w:r>
            <w:r>
              <w:rPr>
                <w:rFonts w:ascii="宋体" w:hAnsi="宋体" w:cs="宋体" w:eastAsia="宋体" w:hint="default"/>
                <w:spacing w:val="-72"/>
                <w:sz w:val="18"/>
                <w:szCs w:val="18"/>
              </w:rPr>
              <w:t> </w:t>
            </w:r>
            <w:r>
              <w:rPr>
                <w:rFonts w:ascii="宋体" w:hAnsi="宋体" w:cs="宋体" w:eastAsia="宋体" w:hint="default"/>
                <w:sz w:val="18"/>
                <w:szCs w:val="18"/>
              </w:rPr>
              <w:t>股外，还通过长江证券股份有限公</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 </w:t>
            </w:r>
            <w:r>
              <w:rPr>
                <w:rFonts w:ascii="宋体" w:hAnsi="宋体" w:cs="宋体" w:eastAsia="宋体" w:hint="default"/>
                <w:sz w:val="18"/>
                <w:szCs w:val="18"/>
              </w:rPr>
              <w:t>1,228,000 </w:t>
            </w:r>
            <w:r>
              <w:rPr>
                <w:rFonts w:ascii="宋体" w:hAnsi="宋体" w:cs="宋体" w:eastAsia="宋体" w:hint="default"/>
                <w:sz w:val="18"/>
                <w:szCs w:val="18"/>
              </w:rPr>
              <w:t>股，实际合计持有 </w:t>
            </w:r>
            <w:r>
              <w:rPr>
                <w:rFonts w:ascii="宋体" w:hAnsi="宋体" w:cs="宋体" w:eastAsia="宋体" w:hint="default"/>
                <w:sz w:val="18"/>
                <w:szCs w:val="18"/>
              </w:rPr>
              <w:t>1,409,200 </w:t>
            </w:r>
            <w:r>
              <w:rPr>
                <w:rFonts w:ascii="宋体" w:hAnsi="宋体" w:cs="宋体" w:eastAsia="宋体" w:hint="default"/>
                <w:sz w:val="18"/>
                <w:szCs w:val="18"/>
              </w:rPr>
              <w:t>股。</w:t>
            </w:r>
          </w:p>
        </w:tc>
      </w:tr>
    </w:tbl>
    <w:p>
      <w:pPr>
        <w:spacing w:line="240" w:lineRule="auto" w:before="11"/>
        <w:rPr>
          <w:rFonts w:ascii="Times New Roman" w:hAnsi="Times New Roman" w:cs="Times New Roman" w:eastAsia="Times New Roman" w:hint="default"/>
          <w:sz w:val="15"/>
          <w:szCs w:val="15"/>
        </w:rPr>
      </w:pPr>
    </w:p>
    <w:p>
      <w:pPr>
        <w:pStyle w:val="BodyText"/>
        <w:spacing w:line="240" w:lineRule="auto" w:before="35"/>
        <w:ind w:left="1134" w:right="1121"/>
        <w:jc w:val="left"/>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名无限售条件普通股股东在报告期内是否进行约定购回交易</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 是 √ 否</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名无限售条件普通股股东在报告期内未进行约定购回交易。</w:t>
      </w:r>
    </w:p>
    <w:p>
      <w:pPr>
        <w:spacing w:line="240" w:lineRule="auto" w:before="9"/>
        <w:rPr>
          <w:rFonts w:ascii="宋体" w:hAnsi="宋体" w:cs="宋体" w:eastAsia="宋体" w:hint="default"/>
          <w:sz w:val="26"/>
          <w:szCs w:val="26"/>
        </w:rPr>
      </w:pPr>
    </w:p>
    <w:p>
      <w:pPr>
        <w:spacing w:line="408" w:lineRule="auto" w:before="0"/>
        <w:ind w:left="1133" w:right="8233" w:firstLine="0"/>
        <w:jc w:val="left"/>
        <w:rPr>
          <w:rFonts w:ascii="宋体" w:hAnsi="宋体" w:cs="宋体" w:eastAsia="宋体" w:hint="default"/>
          <w:sz w:val="21"/>
          <w:szCs w:val="21"/>
        </w:rPr>
      </w:pPr>
      <w:bookmarkStart w:name="2、公司控股股东情况" w:id="113"/>
      <w:bookmarkEnd w:id="113"/>
      <w:r>
        <w:rPr/>
      </w:r>
      <w:r>
        <w:rPr>
          <w:rFonts w:ascii="宋体" w:hAnsi="宋体" w:cs="宋体" w:eastAsia="宋体"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21"/>
          <w:szCs w:val="21"/>
        </w:rPr>
        <w:t>控股股东性质：自然人控股 控股股东类型：法人</w:t>
      </w:r>
    </w:p>
    <w:tbl>
      <w:tblPr>
        <w:tblW w:w="0" w:type="auto"/>
        <w:jc w:val="left"/>
        <w:tblInd w:w="1118" w:type="dxa"/>
        <w:tblLayout w:type="fixed"/>
        <w:tblCellMar>
          <w:top w:w="0" w:type="dxa"/>
          <w:left w:w="0" w:type="dxa"/>
          <w:bottom w:w="0" w:type="dxa"/>
          <w:right w:w="0" w:type="dxa"/>
        </w:tblCellMar>
        <w:tblLook w:val="01E0"/>
      </w:tblPr>
      <w:tblGrid>
        <w:gridCol w:w="2837"/>
        <w:gridCol w:w="1418"/>
        <w:gridCol w:w="1702"/>
        <w:gridCol w:w="1844"/>
        <w:gridCol w:w="1769"/>
      </w:tblGrid>
      <w:tr>
        <w:trPr>
          <w:trHeight w:val="727"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6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34"/>
              <w:ind w:left="430" w:right="24" w:hanging="40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 负责人</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76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3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91320115682517743A</w:t>
            </w:r>
          </w:p>
        </w:tc>
        <w:tc>
          <w:tcPr>
            <w:tcW w:w="17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7" w:right="0"/>
              <w:jc w:val="center"/>
              <w:rPr>
                <w:rFonts w:ascii="宋体" w:hAnsi="宋体" w:cs="宋体" w:eastAsia="宋体" w:hint="default"/>
                <w:sz w:val="18"/>
                <w:szCs w:val="18"/>
              </w:rPr>
            </w:pPr>
            <w:r>
              <w:rPr>
                <w:rFonts w:ascii="宋体" w:hAnsi="宋体" w:cs="宋体" w:eastAsia="宋体" w:hint="default"/>
                <w:sz w:val="18"/>
                <w:szCs w:val="18"/>
              </w:rPr>
              <w:t>投资管理</w:t>
            </w:r>
          </w:p>
        </w:tc>
      </w:tr>
      <w:tr>
        <w:trPr>
          <w:trHeight w:val="727"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35"/>
              <w:ind w:left="13" w:right="99"/>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2"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ind w:left="1134" w:right="1121"/>
        <w:jc w:val="left"/>
      </w:pPr>
      <w:r>
        <w:rPr/>
        <w:t>控股股东报告期内变更</w:t>
      </w:r>
    </w:p>
    <w:p>
      <w:pPr>
        <w:spacing w:line="240" w:lineRule="auto" w:before="10"/>
        <w:rPr>
          <w:rFonts w:ascii="宋体" w:hAnsi="宋体" w:cs="宋体" w:eastAsia="宋体" w:hint="default"/>
          <w:sz w:val="14"/>
          <w:szCs w:val="14"/>
        </w:rPr>
      </w:pPr>
    </w:p>
    <w:p>
      <w:pPr>
        <w:spacing w:line="408" w:lineRule="auto" w:before="0"/>
        <w:ind w:left="1134" w:right="760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公司报告期控股股东未发生变更。 </w:t>
      </w:r>
      <w:bookmarkStart w:name="3、公司实际控制人情况" w:id="114"/>
      <w:bookmarkEnd w:id="114"/>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21"/>
          <w:szCs w:val="21"/>
        </w:rPr>
        <w:t>实际控制人性质：境内自然人</w:t>
      </w:r>
    </w:p>
    <w:p>
      <w:pPr>
        <w:spacing w:after="0" w:line="408" w:lineRule="auto"/>
        <w:jc w:val="left"/>
        <w:rPr>
          <w:rFonts w:ascii="宋体" w:hAnsi="宋体" w:cs="宋体" w:eastAsia="宋体" w:hint="default"/>
          <w:sz w:val="21"/>
          <w:szCs w:val="21"/>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44"/>
        <w:ind w:left="0" w:right="1139" w:firstLine="0"/>
        <w:jc w:val="right"/>
        <w:rPr>
          <w:rFonts w:ascii="宋体" w:hAnsi="宋体" w:cs="宋体" w:eastAsia="宋体" w:hint="default"/>
          <w:sz w:val="18"/>
          <w:szCs w:val="18"/>
        </w:rPr>
      </w:pPr>
      <w:r>
        <w:rPr/>
        <w:pict>
          <v:shape style="position:absolute;margin-left:55.919998pt;margin-top:-73.768303pt;width:480.7pt;height:208.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3"/>
                    <w:gridCol w:w="2130"/>
                    <w:gridCol w:w="4176"/>
                  </w:tblGrid>
                  <w:tr>
                    <w:trPr>
                      <w:trHeight w:val="415" w:hRule="exact"/>
                    </w:trPr>
                    <w:tc>
                      <w:tcPr>
                        <w:tcW w:w="326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1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3" w:hRule="exact"/>
                    </w:trPr>
                    <w:tc>
                      <w:tcPr>
                        <w:tcW w:w="32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6306" w:type="dxa"/>
                        <w:gridSpan w:val="2"/>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9" w:firstLine="360"/>
                          <w:jc w:val="left"/>
                          <w:rPr>
                            <w:rFonts w:ascii="宋体" w:hAnsi="宋体" w:cs="宋体" w:eastAsia="宋体" w:hint="default"/>
                            <w:sz w:val="18"/>
                            <w:szCs w:val="18"/>
                          </w:rPr>
                        </w:pPr>
                        <w:r>
                          <w:rPr>
                            <w:rFonts w:ascii="宋体" w:hAnsi="宋体" w:cs="宋体" w:eastAsia="宋体" w:hint="default"/>
                            <w:spacing w:val="-2"/>
                            <w:sz w:val="18"/>
                            <w:szCs w:val="18"/>
                          </w:rPr>
                          <w:t>龙昌明先生，中国致公党党员，南京巿人大代表，江苏省贵州商会会长，江</w:t>
                        </w:r>
                        <w:r>
                          <w:rPr>
                            <w:rFonts w:ascii="宋体" w:hAnsi="宋体" w:cs="宋体" w:eastAsia="宋体" w:hint="default"/>
                            <w:sz w:val="18"/>
                            <w:szCs w:val="18"/>
                          </w:rPr>
                          <w:t> </w:t>
                        </w:r>
                        <w:r>
                          <w:rPr>
                            <w:rFonts w:ascii="宋体" w:hAnsi="宋体" w:cs="宋体" w:eastAsia="宋体" w:hint="default"/>
                            <w:spacing w:val="-2"/>
                            <w:sz w:val="18"/>
                            <w:szCs w:val="18"/>
                          </w:rPr>
                          <w:t>苏省（贵州省）工商联常委，江苏省致公党省经济委员会副主任。光一科技第一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届、第二届、第三届董事会董事长；</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年至今任光一投资执行董事兼总经理 </w:t>
                        </w:r>
                        <w:r>
                          <w:rPr>
                            <w:rFonts w:ascii="宋体" w:hAnsi="宋体" w:cs="宋体" w:eastAsia="宋体" w:hint="default"/>
                            <w:spacing w:val="-2"/>
                            <w:sz w:val="18"/>
                            <w:szCs w:val="18"/>
                          </w:rPr>
                          <w:t>全资子公司苏源光一董事长；全资子公司智友尚云、光一贵仁、德能工程执行董</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事；全资子公司索瑞电气董事；控股子公司云商天下董事长；参股公司中云文化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大数据董事；天擎华媒（北京）科技有限公司董事长、鼎一科技有限公司董事长</w:t>
                        </w:r>
                        <w:r>
                          <w:rPr>
                            <w:rFonts w:ascii="宋体" w:hAnsi="宋体" w:cs="宋体" w:eastAsia="宋体" w:hint="default"/>
                            <w:sz w:val="18"/>
                            <w:szCs w:val="18"/>
                          </w:rPr>
                          <w:t> </w:t>
                        </w:r>
                        <w:r>
                          <w:rPr>
                            <w:rFonts w:ascii="宋体" w:hAnsi="宋体" w:cs="宋体" w:eastAsia="宋体" w:hint="default"/>
                            <w:spacing w:val="-2"/>
                            <w:sz w:val="18"/>
                            <w:szCs w:val="18"/>
                          </w:rPr>
                          <w:t>中广文影股权投资基金管理（上海）有限公司董事、南京医科大学第三届董事会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董事；光一数道、江苏黔首网络科技有限公司董事长；江苏数道董事长、总经理</w:t>
                        </w:r>
                        <w:r>
                          <w:rPr>
                            <w:rFonts w:ascii="宋体" w:hAnsi="宋体" w:cs="宋体" w:eastAsia="宋体" w:hint="default"/>
                            <w:sz w:val="18"/>
                            <w:szCs w:val="18"/>
                          </w:rPr>
                          <w:t> 南京建盈鸿亿科技发展有限公司、贵州贵银投资有限公司董事。</w:t>
                        </w:r>
                      </w:p>
                    </w:tc>
                  </w:tr>
                  <w:tr>
                    <w:trPr>
                      <w:trHeight w:val="415" w:hRule="exact"/>
                    </w:trPr>
                    <w:tc>
                      <w:tcPr>
                        <w:tcW w:w="326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306"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龙昌明先生除控股光一科技以外，不存在控股其它境内外上市公司情况。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35"/>
        <w:ind w:left="1134" w:right="1121"/>
        <w:jc w:val="left"/>
      </w:pPr>
      <w:r>
        <w:rPr/>
        <w:t>实际控制人报告期内变更</w:t>
      </w:r>
    </w:p>
    <w:p>
      <w:pPr>
        <w:spacing w:line="240" w:lineRule="auto" w:before="10"/>
        <w:rPr>
          <w:rFonts w:ascii="宋体" w:hAnsi="宋体" w:cs="宋体" w:eastAsia="宋体" w:hint="default"/>
          <w:sz w:val="14"/>
          <w:szCs w:val="14"/>
        </w:rPr>
      </w:pPr>
    </w:p>
    <w:p>
      <w:pPr>
        <w:pStyle w:val="BodyText"/>
        <w:spacing w:line="408" w:lineRule="auto" w:before="0"/>
        <w:ind w:right="6133"/>
        <w:jc w:val="left"/>
      </w:pPr>
      <w:r>
        <w:rPr/>
        <w:t>□ 适用 √</w:t>
      </w:r>
      <w:r>
        <w:rPr>
          <w:spacing w:val="-1"/>
        </w:rPr>
        <w:t> </w:t>
      </w:r>
      <w:r>
        <w:rPr/>
        <w:t>不适用</w:t>
      </w:r>
      <w:r>
        <w:rPr/>
        <w:t> 公司报告期实际控制人未发生变更。 公司与实际控制人之间的产权及控制关系的方框图</w:t>
      </w:r>
    </w:p>
    <w:p>
      <w:pPr>
        <w:spacing w:line="240" w:lineRule="auto" w:before="6"/>
        <w:rPr>
          <w:rFonts w:ascii="宋体" w:hAnsi="宋体" w:cs="宋体" w:eastAsia="宋体" w:hint="default"/>
          <w:sz w:val="18"/>
          <w:szCs w:val="18"/>
        </w:rPr>
      </w:pPr>
    </w:p>
    <w:p>
      <w:pPr>
        <w:spacing w:line="5190" w:lineRule="exact"/>
        <w:ind w:left="2340"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591413" cy="3295650"/>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22" cstate="print"/>
                    <a:stretch>
                      <a:fillRect/>
                    </a:stretch>
                  </pic:blipFill>
                  <pic:spPr>
                    <a:xfrm>
                      <a:off x="0" y="0"/>
                      <a:ext cx="4591413" cy="3295650"/>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5"/>
        <w:rPr>
          <w:rFonts w:ascii="宋体" w:hAnsi="宋体" w:cs="宋体" w:eastAsia="宋体" w:hint="default"/>
          <w:sz w:val="24"/>
          <w:szCs w:val="24"/>
        </w:rPr>
      </w:pPr>
    </w:p>
    <w:p>
      <w:pPr>
        <w:pStyle w:val="BodyText"/>
        <w:spacing w:line="240" w:lineRule="auto" w:before="0"/>
        <w:ind w:right="1121"/>
        <w:jc w:val="left"/>
      </w:pPr>
      <w:r>
        <w:rPr/>
        <w:t>实际控制人通过信托或其他资产管理方式控制公司</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4、其他持股在10%以上的法人股东" w:id="115"/>
      <w:bookmarkEnd w:id="115"/>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090" w:type="dxa"/>
        <w:tblLayout w:type="fixed"/>
        <w:tblCellMar>
          <w:top w:w="0" w:type="dxa"/>
          <w:left w:w="0" w:type="dxa"/>
          <w:bottom w:w="0" w:type="dxa"/>
          <w:right w:w="0" w:type="dxa"/>
        </w:tblCellMar>
        <w:tblLook w:val="01E0"/>
      </w:tblPr>
      <w:tblGrid>
        <w:gridCol w:w="1985"/>
        <w:gridCol w:w="1985"/>
        <w:gridCol w:w="1554"/>
        <w:gridCol w:w="997"/>
        <w:gridCol w:w="2977"/>
      </w:tblGrid>
      <w:tr>
        <w:trPr>
          <w:trHeight w:val="415" w:hRule="exact"/>
        </w:trPr>
        <w:tc>
          <w:tcPr>
            <w:tcW w:w="19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9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单位负责人</w:t>
            </w:r>
          </w:p>
        </w:tc>
        <w:tc>
          <w:tcPr>
            <w:tcW w:w="155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9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97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663" w:hRule="exact"/>
        </w:trPr>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任昌兆</w:t>
            </w:r>
          </w:p>
        </w:tc>
        <w:tc>
          <w:tcPr>
            <w:tcW w:w="15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97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53"/>
              <w:jc w:val="both"/>
              <w:rPr>
                <w:rFonts w:ascii="宋体" w:hAnsi="宋体" w:cs="宋体" w:eastAsia="宋体" w:hint="default"/>
                <w:sz w:val="18"/>
                <w:szCs w:val="18"/>
              </w:rPr>
            </w:pPr>
            <w:r>
              <w:rPr>
                <w:rFonts w:ascii="宋体" w:hAnsi="宋体" w:cs="宋体" w:eastAsia="宋体" w:hint="default"/>
                <w:sz w:val="18"/>
                <w:szCs w:val="18"/>
              </w:rPr>
              <w:t>对国家法律、行政法规和国务院决定 规定允许公司自主经营的项目（不含 融资性担保项目）进行投资；资产管 理服务；投资咨询服务（不含证券、 </w:t>
            </w:r>
            <w:r>
              <w:rPr>
                <w:rFonts w:ascii="宋体" w:hAnsi="宋体" w:cs="宋体" w:eastAsia="宋体" w:hint="default"/>
                <w:spacing w:val="-7"/>
                <w:sz w:val="18"/>
                <w:szCs w:val="18"/>
              </w:rPr>
              <w:t>期货及其他金融活动的咨询）。</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5、控股股东、实际控制人、重组方及其他承诺主体股份限制减持情况" w:id="116"/>
      <w:bookmarkEnd w:id="116"/>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before="0"/>
        <w:ind w:right="0"/>
        <w:jc w:val="center"/>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left="1134" w:right="8232"/>
        <w:jc w:val="left"/>
      </w:pPr>
      <w:r>
        <w:rPr/>
        <w:t>□ 适用 √</w:t>
      </w:r>
      <w:r>
        <w:rPr>
          <w:spacing w:val="-1"/>
        </w:rPr>
        <w:t> </w:t>
      </w:r>
      <w:r>
        <w:rPr/>
        <w:t>不适用</w:t>
      </w:r>
      <w:r>
        <w:rPr/>
        <w:t> 报告期公司不存在优先股。</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2660" w:right="1121"/>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7" w:footer="1000" w:top="1040" w:bottom="1180" w:left="0" w:right="0"/>
        </w:sectPr>
      </w:pPr>
    </w:p>
    <w:p>
      <w:pPr>
        <w:pStyle w:val="Heading2"/>
        <w:spacing w:line="240" w:lineRule="auto" w:before="26"/>
        <w:ind w:left="1133" w:right="0"/>
        <w:jc w:val="left"/>
        <w:rPr>
          <w:b w:val="0"/>
          <w:bCs w:val="0"/>
        </w:rPr>
      </w:pPr>
      <w:bookmarkStart w:name="一、董事、监事和高级管理人员持股变动" w:id="121"/>
      <w:bookmarkEnd w:id="121"/>
      <w:r>
        <w:rPr>
          <w:b w:val="0"/>
          <w:bCs w:val="0"/>
        </w:rPr>
      </w:r>
      <w:r>
        <w:rPr>
          <w:w w:val="95"/>
        </w:rPr>
        <w:t>一、董事、监事和高级管理人员持股变动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0"/>
        <w:rPr>
          <w:rFonts w:ascii="宋体" w:hAnsi="宋体" w:cs="宋体" w:eastAsia="宋体" w:hint="default"/>
          <w:b/>
          <w:bCs/>
          <w:sz w:val="14"/>
          <w:szCs w:val="14"/>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单位：股</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5468" w:space="3452"/>
            <w:col w:w="2990"/>
          </w:cols>
        </w:sectPr>
      </w:pPr>
    </w:p>
    <w:p>
      <w:pPr>
        <w:spacing w:line="240" w:lineRule="auto" w:before="1"/>
        <w:rPr>
          <w:rFonts w:ascii="宋体" w:hAnsi="宋体" w:cs="宋体" w:eastAsia="宋体" w:hint="default"/>
          <w:sz w:val="8"/>
          <w:szCs w:val="8"/>
        </w:rPr>
      </w:pPr>
    </w:p>
    <w:tbl>
      <w:tblPr>
        <w:tblW w:w="0" w:type="auto"/>
        <w:jc w:val="left"/>
        <w:tblInd w:w="834" w:type="dxa"/>
        <w:tblLayout w:type="fixed"/>
        <w:tblCellMar>
          <w:top w:w="0" w:type="dxa"/>
          <w:left w:w="0" w:type="dxa"/>
          <w:bottom w:w="0" w:type="dxa"/>
          <w:right w:w="0" w:type="dxa"/>
        </w:tblCellMar>
        <w:tblLook w:val="01E0"/>
      </w:tblPr>
      <w:tblGrid>
        <w:gridCol w:w="853"/>
        <w:gridCol w:w="992"/>
        <w:gridCol w:w="425"/>
        <w:gridCol w:w="425"/>
        <w:gridCol w:w="426"/>
        <w:gridCol w:w="1560"/>
        <w:gridCol w:w="991"/>
        <w:gridCol w:w="992"/>
        <w:gridCol w:w="710"/>
        <w:gridCol w:w="425"/>
        <w:gridCol w:w="1276"/>
        <w:gridCol w:w="992"/>
      </w:tblGrid>
      <w:tr>
        <w:trPr>
          <w:trHeight w:val="1270" w:hRule="exact"/>
        </w:trPr>
        <w:tc>
          <w:tcPr>
            <w:tcW w:w="85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8" w:right="126"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6" w:right="7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23" w:right="24"/>
              <w:jc w:val="both"/>
              <w:rPr>
                <w:rFonts w:ascii="宋体" w:hAnsi="宋体" w:cs="宋体" w:eastAsia="宋体" w:hint="default"/>
                <w:sz w:val="18"/>
                <w:szCs w:val="18"/>
              </w:rPr>
            </w:pPr>
            <w:r>
              <w:rPr>
                <w:rFonts w:ascii="宋体" w:hAnsi="宋体" w:cs="宋体" w:eastAsia="宋体" w:hint="default"/>
                <w:sz w:val="18"/>
                <w:szCs w:val="18"/>
              </w:rPr>
              <w:t>本期 减持 股份 数量</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其他增减变动</w:t>
            </w:r>
          </w:p>
        </w:tc>
        <w:tc>
          <w:tcPr>
            <w:tcW w:w="99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期末持股数</w:t>
            </w: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15,025,300</w:t>
            </w: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22,537,950</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37,563,250</w:t>
            </w:r>
          </w:p>
        </w:tc>
      </w:tr>
      <w:tr>
        <w:trPr>
          <w:trHeight w:val="640"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王海俊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18" w:right="217" w:firstLine="90"/>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775,575</w:t>
            </w: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1,163,363</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1,938,938</w:t>
            </w: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任昌兆</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2,792,616</w:t>
            </w: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4,188,924</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6,981,540</w:t>
            </w:r>
          </w:p>
        </w:tc>
      </w:tr>
      <w:tr>
        <w:trPr>
          <w:trHeight w:val="950"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戴晓东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8" w:right="37"/>
              <w:jc w:val="center"/>
              <w:rPr>
                <w:rFonts w:ascii="宋体" w:hAnsi="宋体" w:cs="宋体" w:eastAsia="宋体" w:hint="default"/>
                <w:sz w:val="18"/>
                <w:szCs w:val="18"/>
              </w:rPr>
            </w:pPr>
            <w:r>
              <w:rPr>
                <w:rFonts w:ascii="宋体" w:hAnsi="宋体" w:cs="宋体" w:eastAsia="宋体" w:hint="default"/>
                <w:sz w:val="18"/>
                <w:szCs w:val="18"/>
              </w:rPr>
              <w:t>董事、副总 经理、董事 会秘书</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492,137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73,600</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738,206</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1,303,943</w:t>
            </w:r>
          </w:p>
        </w:tc>
      </w:tr>
      <w:tr>
        <w:trPr>
          <w:trHeight w:val="640"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邱卫东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8" w:right="127" w:firstLine="18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52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320,980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481,471</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822,451</w:t>
            </w: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熊俊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茅宁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z w:val="18"/>
              </w:rPr>
              <w:t>62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周友梅</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刘向明</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122,625</w:t>
            </w: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183,937</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306,562</w:t>
            </w: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钱卫民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葛兹俊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周振娟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27,650</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120,000</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227,650</w:t>
            </w: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李宝亮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汪梦余</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91,000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136,500</w:t>
            </w: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227,500</w:t>
            </w:r>
          </w:p>
        </w:tc>
      </w:tr>
      <w:tr>
        <w:trPr>
          <w:trHeight w:val="640"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蒋悦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8" w:right="37" w:firstLine="90"/>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100,000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100,000</w:t>
            </w:r>
          </w:p>
        </w:tc>
      </w:tr>
      <w:tr>
        <w:trPr>
          <w:trHeight w:val="419" w:hRule="exact"/>
        </w:trPr>
        <w:tc>
          <w:tcPr>
            <w:tcW w:w="85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42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sz w:val="18"/>
              </w:rPr>
              <w:t>--</w:t>
            </w:r>
          </w:p>
        </w:tc>
        <w:tc>
          <w:tcPr>
            <w:tcW w:w="156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19,800,233</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121,250</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29,550,351</w:t>
            </w:r>
          </w:p>
        </w:tc>
        <w:tc>
          <w:tcPr>
            <w:tcW w:w="9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49,471,834</w:t>
            </w:r>
          </w:p>
        </w:tc>
      </w:tr>
    </w:tbl>
    <w:p>
      <w:pPr>
        <w:spacing w:line="240" w:lineRule="auto" w:before="0"/>
        <w:rPr>
          <w:rFonts w:ascii="宋体" w:hAnsi="宋体" w:cs="宋体" w:eastAsia="宋体" w:hint="default"/>
          <w:sz w:val="13"/>
          <w:szCs w:val="13"/>
        </w:rPr>
      </w:pPr>
    </w:p>
    <w:p>
      <w:pPr>
        <w:pStyle w:val="Heading2"/>
        <w:spacing w:line="240" w:lineRule="auto" w:before="26"/>
        <w:ind w:right="1121"/>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pStyle w:val="BodyText"/>
        <w:spacing w:line="240" w:lineRule="auto" w:before="177"/>
        <w:ind w:right="1121"/>
        <w:jc w:val="left"/>
      </w:pPr>
      <w:r>
        <w:rPr/>
        <w:t>√ 适用 □</w:t>
      </w:r>
      <w:r>
        <w:rPr>
          <w:spacing w:val="-1"/>
        </w:rPr>
        <w:t> </w:t>
      </w:r>
      <w:r>
        <w:rPr/>
        <w:t>不适用</w:t>
      </w:r>
    </w:p>
    <w:p>
      <w:pPr>
        <w:spacing w:line="240" w:lineRule="auto" w:before="13"/>
        <w:rPr>
          <w:rFonts w:ascii="宋体" w:hAnsi="宋体" w:cs="宋体" w:eastAsia="宋体" w:hint="default"/>
          <w:sz w:val="9"/>
          <w:szCs w:val="9"/>
        </w:rPr>
      </w:pPr>
    </w:p>
    <w:tbl>
      <w:tblPr>
        <w:tblW w:w="0" w:type="auto"/>
        <w:jc w:val="left"/>
        <w:tblInd w:w="834" w:type="dxa"/>
        <w:tblLayout w:type="fixed"/>
        <w:tblCellMar>
          <w:top w:w="0" w:type="dxa"/>
          <w:left w:w="0" w:type="dxa"/>
          <w:bottom w:w="0" w:type="dxa"/>
          <w:right w:w="0" w:type="dxa"/>
        </w:tblCellMar>
        <w:tblLook w:val="01E0"/>
      </w:tblPr>
      <w:tblGrid>
        <w:gridCol w:w="1136"/>
        <w:gridCol w:w="1985"/>
        <w:gridCol w:w="1560"/>
        <w:gridCol w:w="1984"/>
        <w:gridCol w:w="3402"/>
      </w:tblGrid>
      <w:tr>
        <w:trPr>
          <w:trHeight w:val="415" w:hRule="exact"/>
        </w:trPr>
        <w:tc>
          <w:tcPr>
            <w:tcW w:w="113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40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7"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汪梦余</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新聘</w:t>
            </w:r>
          </w:p>
        </w:tc>
      </w:tr>
      <w:tr>
        <w:trPr>
          <w:trHeight w:val="415" w:hRule="exact"/>
        </w:trPr>
        <w:tc>
          <w:tcPr>
            <w:tcW w:w="11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蒋  悦</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个人原因申请工作调整</w:t>
            </w:r>
          </w:p>
        </w:tc>
      </w:tr>
    </w:tbl>
    <w:p>
      <w:pPr>
        <w:spacing w:after="0" w:line="240" w:lineRule="auto"/>
        <w:jc w:val="center"/>
        <w:rPr>
          <w:rFonts w:ascii="宋体" w:hAnsi="宋体" w:cs="宋体" w:eastAsia="宋体" w:hint="default"/>
          <w:sz w:val="18"/>
          <w:szCs w:val="18"/>
        </w:rPr>
        <w:sectPr>
          <w:type w:val="continuous"/>
          <w:pgSz w:w="11910" w:h="16840"/>
          <w:pgMar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left="1133" w:right="1121"/>
        <w:jc w:val="left"/>
        <w:rPr>
          <w:b w:val="0"/>
          <w:bCs w:val="0"/>
        </w:rPr>
      </w:pPr>
      <w:bookmarkStart w:name="三、任职情况" w:id="123"/>
      <w:bookmarkEnd w:id="123"/>
      <w:r>
        <w:rPr>
          <w:b w:val="0"/>
          <w:bCs w:val="0"/>
        </w:rPr>
      </w:r>
      <w:r>
        <w:rPr/>
        <w:t>三、任职情况</w:t>
      </w:r>
      <w:r>
        <w:rPr>
          <w:b w:val="0"/>
          <w:bCs w:val="0"/>
        </w:rPr>
      </w:r>
    </w:p>
    <w:p>
      <w:pPr>
        <w:spacing w:line="240" w:lineRule="auto" w:before="9"/>
        <w:rPr>
          <w:rFonts w:ascii="宋体" w:hAnsi="宋体" w:cs="宋体" w:eastAsia="宋体" w:hint="default"/>
          <w:b/>
          <w:bCs/>
          <w:sz w:val="22"/>
          <w:szCs w:val="22"/>
        </w:rPr>
      </w:pPr>
    </w:p>
    <w:p>
      <w:pPr>
        <w:pStyle w:val="BodyText"/>
        <w:spacing w:line="408" w:lineRule="auto" w:before="0"/>
        <w:ind w:left="1553" w:right="1121" w:hanging="420"/>
        <w:jc w:val="left"/>
      </w:pPr>
      <w:r>
        <w:rPr/>
        <w:t>公司现任董事、监事、高级管理人员专业背景、主要工作经历以及目前在公司的主要职责 </w:t>
      </w:r>
      <w:r>
        <w:rPr>
          <w:rFonts w:ascii="宋体" w:hAnsi="宋体" w:cs="宋体" w:eastAsia="宋体" w:hint="default"/>
        </w:rPr>
        <w:t>1</w:t>
      </w:r>
      <w:r>
        <w:rPr/>
        <w:t>、董事长龙昌明先生，</w:t>
      </w:r>
      <w:r>
        <w:rPr>
          <w:rFonts w:ascii="宋体" w:hAnsi="宋体" w:cs="宋体" w:eastAsia="宋体" w:hint="default"/>
        </w:rPr>
        <w:t>1987</w:t>
      </w:r>
      <w:r>
        <w:rPr/>
        <w:t>年毕业于东南大学无线电系，硕士研究生学历，中国致公党党员，南京</w:t>
      </w:r>
    </w:p>
    <w:p>
      <w:pPr>
        <w:pStyle w:val="BodyText"/>
        <w:spacing w:line="408" w:lineRule="auto"/>
        <w:ind w:right="1024"/>
        <w:jc w:val="left"/>
      </w:pPr>
      <w:r>
        <w:rPr/>
        <w:t>巿人大代表，江苏省贵州商会会长，江苏省（贵州省）工商联常委，江苏省致公党省经济委员会副主任。 光一科技第一届、第二届、第三届董事会董事长；</w:t>
      </w:r>
      <w:r>
        <w:rPr>
          <w:rFonts w:ascii="宋体" w:hAnsi="宋体" w:cs="宋体" w:eastAsia="宋体" w:hint="default"/>
        </w:rPr>
        <w:t>2009</w:t>
      </w:r>
      <w:r>
        <w:rPr/>
        <w:t>年至今任光一投资执行董事兼总经理；全资子公司 苏源光一董事长；全资子公司智友尚云、光一贵仁、德能工程执行董事；全资子公司索瑞电气董事；控股 子公司云商天下董事长；参股公司中云文化大数据董事；天擎华媒（北京）科技有限公司董事长、鼎一科 </w:t>
      </w:r>
      <w:r>
        <w:rPr>
          <w:spacing w:val="-3"/>
        </w:rPr>
        <w:t>技有限公司董事长、中广文影股权投资基金管理（上海）有限公司董事、南京医科大学第三届董事会董事；</w:t>
      </w:r>
      <w:r>
        <w:rPr>
          <w:spacing w:val="-96"/>
        </w:rPr>
        <w:t> </w:t>
      </w:r>
      <w:r>
        <w:rPr>
          <w:spacing w:val="-96"/>
        </w:rPr>
      </w:r>
      <w:r>
        <w:rPr/>
        <w:t>光一数道、江苏黔首网络科技有限公司董事长；江苏数道董事长、总经理；南京建盈鸿亿科技发展有限公</w:t>
      </w:r>
      <w:r>
        <w:rPr/>
        <w:t> 司、贵州贵银投资有限公司董事。目前，董事长龙昌明先生主要负责制定公司战略，公司版权云项目、健 康管理项目以及外延产业的规划布局。</w:t>
      </w:r>
    </w:p>
    <w:p>
      <w:pPr>
        <w:pStyle w:val="BodyText"/>
        <w:spacing w:line="408" w:lineRule="auto"/>
        <w:ind w:right="1109" w:firstLine="420"/>
        <w:jc w:val="both"/>
      </w:pPr>
      <w:r>
        <w:rPr>
          <w:rFonts w:ascii="宋体" w:hAnsi="宋体" w:cs="宋体" w:eastAsia="宋体" w:hint="default"/>
        </w:rPr>
        <w:t>2</w:t>
      </w:r>
      <w:r>
        <w:rPr/>
        <w:t>、董事、总经理王海俊先生，</w:t>
      </w:r>
      <w:r>
        <w:rPr>
          <w:rFonts w:ascii="宋体" w:hAnsi="宋体" w:cs="宋体" w:eastAsia="宋体" w:hint="default"/>
        </w:rPr>
        <w:t>1993</w:t>
      </w:r>
      <w:r>
        <w:rPr/>
        <w:t>年毕业于南京理工大学机械制造系，硕士研究生学历，</w:t>
      </w:r>
      <w:r>
        <w:rPr>
          <w:rFonts w:ascii="宋体" w:hAnsi="宋体" w:cs="宋体" w:eastAsia="宋体" w:hint="default"/>
        </w:rPr>
        <w:t>2009</w:t>
      </w:r>
      <w:r>
        <w:rPr/>
        <w:t>年至</w:t>
      </w:r>
      <w:r>
        <w:rPr>
          <w:spacing w:val="3"/>
        </w:rPr>
        <w:t> </w:t>
      </w:r>
      <w:r>
        <w:rPr/>
        <w:t>今任光一科技第一届、第二届、第三届董事会董事、总经理；全资子公司苏源光一董事、索瑞电气董事；</w:t>
      </w:r>
      <w:r>
        <w:rPr/>
        <w:t> </w:t>
      </w:r>
      <w:r>
        <w:rPr>
          <w:spacing w:val="-1"/>
        </w:rPr>
        <w:t>控股子公司云商天下董事、德能设计董事；参股公司今程光一董事。目前，董事、总经理王海俊先生主要</w:t>
      </w:r>
      <w:r>
        <w:rPr>
          <w:spacing w:val="-83"/>
        </w:rPr>
        <w:t> </w:t>
      </w:r>
      <w:r>
        <w:rPr>
          <w:spacing w:val="-83"/>
        </w:rPr>
      </w:r>
      <w:r>
        <w:rPr/>
        <w:t>负责公司运营及日常管理。</w:t>
      </w:r>
    </w:p>
    <w:p>
      <w:pPr>
        <w:pStyle w:val="BodyText"/>
        <w:spacing w:line="408" w:lineRule="auto"/>
        <w:ind w:right="1109" w:firstLine="420"/>
        <w:jc w:val="both"/>
      </w:pPr>
      <w:r>
        <w:rPr>
          <w:rFonts w:ascii="宋体" w:hAnsi="宋体" w:cs="宋体" w:eastAsia="宋体" w:hint="default"/>
        </w:rPr>
        <w:t>3</w:t>
      </w:r>
      <w:r>
        <w:rPr/>
        <w:t>、董事、副总经理戴晓东先生，</w:t>
      </w:r>
      <w:r>
        <w:rPr>
          <w:rFonts w:ascii="宋体" w:hAnsi="宋体" w:cs="宋体" w:eastAsia="宋体" w:hint="default"/>
        </w:rPr>
        <w:t>2000</w:t>
      </w:r>
      <w:r>
        <w:rPr/>
        <w:t>年毕业于南京财经大学工业会计专业，硕士研究生学历，非执 </w:t>
      </w:r>
      <w:r>
        <w:rPr>
          <w:spacing w:val="-1"/>
        </w:rPr>
        <w:t>业注册会计师、高级会计师。</w:t>
      </w:r>
      <w:r>
        <w:rPr>
          <w:rFonts w:ascii="宋体" w:hAnsi="宋体" w:cs="宋体" w:eastAsia="宋体" w:hint="default"/>
          <w:spacing w:val="-1"/>
        </w:rPr>
        <w:t>2009</w:t>
      </w:r>
      <w:r>
        <w:rPr>
          <w:spacing w:val="-1"/>
        </w:rPr>
        <w:t>年至</w:t>
      </w:r>
      <w:r>
        <w:rPr>
          <w:rFonts w:ascii="宋体" w:hAnsi="宋体" w:cs="宋体" w:eastAsia="宋体" w:hint="default"/>
          <w:spacing w:val="-1"/>
        </w:rPr>
        <w:t>2012</w:t>
      </w:r>
      <w:r>
        <w:rPr>
          <w:spacing w:val="-1"/>
        </w:rPr>
        <w:t>年任光一科技第一届董事会董事、财务总监；</w:t>
      </w:r>
      <w:r>
        <w:rPr>
          <w:rFonts w:ascii="宋体" w:hAnsi="宋体" w:cs="宋体" w:eastAsia="宋体" w:hint="default"/>
          <w:spacing w:val="-1"/>
        </w:rPr>
        <w:t>2012</w:t>
      </w:r>
      <w:r>
        <w:rPr>
          <w:spacing w:val="-1"/>
        </w:rPr>
        <w:t>年至</w:t>
      </w:r>
      <w:r>
        <w:rPr>
          <w:rFonts w:ascii="宋体" w:hAnsi="宋体" w:cs="宋体" w:eastAsia="宋体" w:hint="default"/>
          <w:spacing w:val="-1"/>
        </w:rPr>
        <w:t>2014</w:t>
      </w:r>
      <w:r>
        <w:rPr>
          <w:spacing w:val="-1"/>
        </w:rPr>
        <w:t>年</w:t>
      </w:r>
      <w:r>
        <w:rPr>
          <w:spacing w:val="-77"/>
        </w:rPr>
        <w:t> </w:t>
      </w:r>
      <w:r>
        <w:rPr>
          <w:spacing w:val="-1"/>
        </w:rPr>
        <w:t>任光一科技财务总监；</w:t>
      </w:r>
      <w:r>
        <w:rPr>
          <w:rFonts w:ascii="宋体" w:hAnsi="宋体" w:cs="宋体" w:eastAsia="宋体" w:hint="default"/>
          <w:spacing w:val="-1"/>
        </w:rPr>
        <w:t>2012</w:t>
      </w:r>
      <w:r>
        <w:rPr>
          <w:spacing w:val="-1"/>
        </w:rPr>
        <w:t>年至</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月任光一科技第二届、第三届董事会董事、副总经理；</w:t>
      </w: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spacing w:val="-78"/>
        </w:rPr>
        <w:t> </w:t>
      </w:r>
      <w:r>
        <w:rPr/>
        <w:t>至今任光一科技第三届董事会董事、副总经理、董事会秘书；全资子公司苏源光一董事、索瑞电气董事、 </w:t>
      </w:r>
      <w:r>
        <w:rPr>
          <w:spacing w:val="-1"/>
        </w:rPr>
        <w:t>副总经理；武汉睿博电气执行董事、总经理。目前，董事、副总经理、董事会秘书戴晓东先生主要负责公</w:t>
      </w:r>
      <w:r>
        <w:rPr>
          <w:spacing w:val="-83"/>
        </w:rPr>
        <w:t> </w:t>
      </w:r>
      <w:r>
        <w:rPr>
          <w:spacing w:val="-83"/>
        </w:rPr>
      </w:r>
      <w:r>
        <w:rPr/>
        <w:t>司董事会办公室相关事务及与索瑞电气的协调管理等工作。</w:t>
      </w:r>
    </w:p>
    <w:p>
      <w:pPr>
        <w:pStyle w:val="BodyText"/>
        <w:spacing w:line="408" w:lineRule="auto"/>
        <w:ind w:right="0" w:firstLine="420"/>
        <w:jc w:val="left"/>
      </w:pPr>
      <w:r>
        <w:rPr>
          <w:rFonts w:ascii="宋体" w:hAnsi="宋体" w:cs="宋体" w:eastAsia="宋体" w:hint="default"/>
        </w:rPr>
        <w:t>4</w:t>
      </w:r>
      <w:r>
        <w:rPr/>
        <w:t>、董事任昌兆先生，</w:t>
      </w:r>
      <w:r>
        <w:rPr>
          <w:rFonts w:ascii="宋体" w:hAnsi="宋体" w:cs="宋体" w:eastAsia="宋体" w:hint="default"/>
        </w:rPr>
        <w:t>1991</w:t>
      </w:r>
      <w:r>
        <w:rPr/>
        <w:t>年毕业于武汉工学院，大专学历，高级工程师。</w:t>
      </w:r>
      <w:r>
        <w:rPr>
          <w:rFonts w:ascii="宋体" w:hAnsi="宋体" w:cs="宋体" w:eastAsia="宋体" w:hint="default"/>
        </w:rPr>
        <w:t>2005</w:t>
      </w:r>
      <w:r>
        <w:rPr/>
        <w:t>年</w:t>
      </w:r>
      <w:r>
        <w:rPr>
          <w:rFonts w:ascii="宋体" w:hAnsi="宋体" w:cs="宋体" w:eastAsia="宋体" w:hint="default"/>
        </w:rPr>
        <w:t>11</w:t>
      </w:r>
      <w:r>
        <w:rPr/>
        <w:t>月至今任湖北索 瑞电气有限公司董事长、总经理，</w:t>
      </w:r>
      <w:r>
        <w:rPr>
          <w:rFonts w:ascii="宋体" w:hAnsi="宋体" w:cs="宋体" w:eastAsia="宋体" w:hint="default"/>
        </w:rPr>
        <w:t>2014</w:t>
      </w:r>
      <w:r>
        <w:rPr/>
        <w:t>年</w:t>
      </w:r>
      <w:r>
        <w:rPr>
          <w:rFonts w:ascii="宋体" w:hAnsi="宋体" w:cs="宋体" w:eastAsia="宋体" w:hint="default"/>
        </w:rPr>
        <w:t>3</w:t>
      </w:r>
      <w:r>
        <w:rPr/>
        <w:t>月至今任湖北乾瀚投资有限公司执行董事、经理；</w:t>
      </w:r>
      <w:r>
        <w:rPr>
          <w:rFonts w:ascii="宋体" w:hAnsi="宋体" w:cs="宋体" w:eastAsia="宋体" w:hint="default"/>
        </w:rPr>
        <w:t>2015</w:t>
      </w:r>
      <w:r>
        <w:rPr/>
        <w:t>年</w:t>
      </w:r>
      <w:r>
        <w:rPr>
          <w:rFonts w:ascii="宋体" w:hAnsi="宋体" w:cs="宋体" w:eastAsia="宋体" w:hint="default"/>
        </w:rPr>
        <w:t>4</w:t>
      </w:r>
      <w:r>
        <w:rPr/>
        <w:t>月至 </w:t>
      </w:r>
      <w:r>
        <w:rPr>
          <w:spacing w:val="-3"/>
        </w:rPr>
        <w:t>今任光一科技第二届、第三届董事会董事；</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月至今任武汉联畅股权投资管理有限公司董事。目前，</w:t>
      </w:r>
      <w:r>
        <w:rPr>
          <w:spacing w:val="-84"/>
        </w:rPr>
        <w:t> </w:t>
      </w:r>
      <w:r>
        <w:rPr>
          <w:spacing w:val="-84"/>
        </w:rPr>
      </w:r>
      <w:r>
        <w:rPr/>
        <w:t>董事任昌兆先生主要负责索瑞电气的经营管理工作。</w:t>
      </w:r>
    </w:p>
    <w:p>
      <w:pPr>
        <w:pStyle w:val="BodyText"/>
        <w:spacing w:line="408" w:lineRule="auto"/>
        <w:ind w:right="1109" w:firstLine="420"/>
        <w:jc w:val="both"/>
      </w:pPr>
      <w:r>
        <w:rPr>
          <w:rFonts w:ascii="宋体" w:hAnsi="宋体" w:cs="宋体" w:eastAsia="宋体" w:hint="default"/>
        </w:rPr>
        <w:t>5</w:t>
      </w:r>
      <w:r>
        <w:rPr/>
        <w:t>、董事熊俊先生，</w:t>
      </w:r>
      <w:r>
        <w:rPr>
          <w:rFonts w:ascii="宋体" w:hAnsi="宋体" w:cs="宋体" w:eastAsia="宋体" w:hint="default"/>
        </w:rPr>
        <w:t>2008</w:t>
      </w:r>
      <w:r>
        <w:rPr/>
        <w:t>年毕业于美国波士顿大学，大学本科双学位。</w:t>
      </w:r>
      <w:r>
        <w:rPr>
          <w:rFonts w:ascii="宋体" w:hAnsi="宋体" w:cs="宋体" w:eastAsia="宋体" w:hint="default"/>
        </w:rPr>
        <w:t>2008</w:t>
      </w:r>
      <w:r>
        <w:rPr/>
        <w:t>年</w:t>
      </w:r>
      <w:r>
        <w:rPr>
          <w:rFonts w:ascii="宋体" w:hAnsi="宋体" w:cs="宋体" w:eastAsia="宋体" w:hint="default"/>
        </w:rPr>
        <w:t>8</w:t>
      </w:r>
      <w:r>
        <w:rPr/>
        <w:t>月至</w:t>
      </w:r>
      <w:r>
        <w:rPr>
          <w:rFonts w:ascii="宋体" w:hAnsi="宋体" w:cs="宋体" w:eastAsia="宋体" w:hint="default"/>
        </w:rPr>
        <w:t>2010</w:t>
      </w:r>
      <w:r>
        <w:rPr/>
        <w:t>年</w:t>
      </w:r>
      <w:r>
        <w:rPr>
          <w:rFonts w:ascii="宋体" w:hAnsi="宋体" w:cs="宋体" w:eastAsia="宋体" w:hint="default"/>
        </w:rPr>
        <w:t>2</w:t>
      </w:r>
      <w:r>
        <w:rPr/>
        <w:t>月任职于 </w:t>
      </w:r>
      <w:r>
        <w:rPr>
          <w:spacing w:val="-1"/>
        </w:rPr>
        <w:t>摩根史丹利投资银行部；</w:t>
      </w:r>
      <w:r>
        <w:rPr>
          <w:rFonts w:ascii="宋体" w:hAnsi="宋体" w:cs="宋体" w:eastAsia="宋体" w:hint="default"/>
          <w:spacing w:val="-1"/>
        </w:rPr>
        <w:t>2010</w:t>
      </w:r>
      <w:r>
        <w:rPr>
          <w:spacing w:val="-1"/>
        </w:rPr>
        <w:t>年</w:t>
      </w:r>
      <w:r>
        <w:rPr>
          <w:rFonts w:ascii="宋体" w:hAnsi="宋体" w:cs="宋体" w:eastAsia="宋体" w:hint="default"/>
          <w:spacing w:val="-1"/>
        </w:rPr>
        <w:t>2</w:t>
      </w:r>
      <w:r>
        <w:rPr>
          <w:spacing w:val="-1"/>
        </w:rPr>
        <w:t>月至</w:t>
      </w:r>
      <w:r>
        <w:rPr>
          <w:rFonts w:ascii="宋体" w:hAnsi="宋体" w:cs="宋体" w:eastAsia="宋体" w:hint="default"/>
          <w:spacing w:val="-1"/>
        </w:rPr>
        <w:t>2010</w:t>
      </w:r>
      <w:r>
        <w:rPr>
          <w:spacing w:val="-1"/>
        </w:rPr>
        <w:t>年</w:t>
      </w:r>
      <w:r>
        <w:rPr>
          <w:rFonts w:ascii="宋体" w:hAnsi="宋体" w:cs="宋体" w:eastAsia="宋体" w:hint="default"/>
          <w:spacing w:val="-1"/>
        </w:rPr>
        <w:t>9</w:t>
      </w:r>
      <w:r>
        <w:rPr>
          <w:spacing w:val="-1"/>
        </w:rPr>
        <w:t>月任职于香港荣俊投资发展有限公司，担任董事长；</w:t>
      </w:r>
      <w:r>
        <w:rPr>
          <w:rFonts w:ascii="宋体" w:hAnsi="宋体" w:cs="宋体" w:eastAsia="宋体" w:hint="default"/>
          <w:spacing w:val="-1"/>
        </w:rPr>
        <w:t>2010</w:t>
      </w:r>
      <w:r>
        <w:rPr>
          <w:spacing w:val="-1"/>
        </w:rPr>
        <w:t>年</w:t>
      </w:r>
      <w:r>
        <w:rPr>
          <w:spacing w:val="-79"/>
        </w:rPr>
        <w:t> </w:t>
      </w:r>
      <w:r>
        <w:rPr>
          <w:rFonts w:ascii="宋体" w:hAnsi="宋体" w:cs="宋体" w:eastAsia="宋体" w:hint="default"/>
          <w:spacing w:val="-1"/>
        </w:rPr>
        <w:t>10</w:t>
      </w:r>
      <w:r>
        <w:rPr>
          <w:spacing w:val="-1"/>
        </w:rPr>
        <w:t>月至今任职于北京华康瑞宏投资有限公司，担任执行董事、总经理；</w:t>
      </w:r>
      <w:r>
        <w:rPr>
          <w:rFonts w:ascii="宋体" w:hAnsi="宋体" w:cs="宋体" w:eastAsia="宋体" w:hint="default"/>
          <w:spacing w:val="-1"/>
        </w:rPr>
        <w:t>2011</w:t>
      </w:r>
      <w:r>
        <w:rPr>
          <w:spacing w:val="-1"/>
        </w:rPr>
        <w:t>年至</w:t>
      </w:r>
      <w:r>
        <w:rPr>
          <w:rFonts w:ascii="宋体" w:hAnsi="宋体" w:cs="宋体" w:eastAsia="宋体" w:hint="default"/>
          <w:spacing w:val="-1"/>
        </w:rPr>
        <w:t>2017</w:t>
      </w:r>
      <w:r>
        <w:rPr>
          <w:spacing w:val="-1"/>
        </w:rPr>
        <w:t>年任中复碳芯电缆科</w:t>
      </w:r>
      <w:r>
        <w:rPr>
          <w:spacing w:val="-81"/>
        </w:rPr>
        <w:t> </w:t>
      </w:r>
      <w:r>
        <w:rPr>
          <w:spacing w:val="-81"/>
        </w:rPr>
      </w:r>
      <w:r>
        <w:rPr/>
        <w:t>技有限公司第一、二届董事会董事；</w:t>
      </w:r>
      <w:r>
        <w:rPr>
          <w:rFonts w:ascii="宋体" w:hAnsi="宋体" w:cs="宋体" w:eastAsia="宋体" w:hint="default"/>
        </w:rPr>
        <w:t>2017</w:t>
      </w:r>
      <w:r>
        <w:rPr/>
        <w:t>年</w:t>
      </w:r>
      <w:r>
        <w:rPr>
          <w:rFonts w:ascii="宋体" w:hAnsi="宋体" w:cs="宋体" w:eastAsia="宋体" w:hint="default"/>
        </w:rPr>
        <w:t>10</w:t>
      </w:r>
      <w:r>
        <w:rPr/>
        <w:t>月至今任职于深圳市金德安实业有限公司董事长、总经理；</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134" w:right="1131"/>
        <w:jc w:val="both"/>
      </w:pPr>
      <w:r>
        <w:rPr>
          <w:rFonts w:ascii="宋体" w:hAnsi="宋体" w:cs="宋体" w:eastAsia="宋体" w:hint="default"/>
          <w:spacing w:val="-1"/>
        </w:rPr>
        <w:t>2010</w:t>
      </w:r>
      <w:r>
        <w:rPr>
          <w:spacing w:val="-1"/>
        </w:rPr>
        <w:t>年</w:t>
      </w:r>
      <w:r>
        <w:rPr>
          <w:rFonts w:ascii="宋体" w:hAnsi="宋体" w:cs="宋体" w:eastAsia="宋体" w:hint="default"/>
          <w:spacing w:val="-1"/>
        </w:rPr>
        <w:t>10</w:t>
      </w:r>
      <w:r>
        <w:rPr>
          <w:spacing w:val="-1"/>
        </w:rPr>
        <w:t>月至今任光一科技第一届、第二届、第三届董事会董事。目前，董事熊俊先生不在公司担任除董</w:t>
      </w:r>
      <w:r>
        <w:rPr>
          <w:spacing w:val="-83"/>
        </w:rPr>
        <w:t> </w:t>
      </w:r>
      <w:r>
        <w:rPr>
          <w:spacing w:val="-83"/>
        </w:rPr>
      </w:r>
      <w:r>
        <w:rPr/>
        <w:t>事以外的其他职务。</w:t>
      </w:r>
    </w:p>
    <w:p>
      <w:pPr>
        <w:pStyle w:val="BodyText"/>
        <w:spacing w:line="408" w:lineRule="auto"/>
        <w:ind w:right="1017" w:firstLine="420"/>
        <w:jc w:val="left"/>
      </w:pPr>
      <w:r>
        <w:rPr>
          <w:rFonts w:ascii="宋体" w:hAnsi="宋体" w:cs="宋体" w:eastAsia="宋体" w:hint="default"/>
          <w:spacing w:val="-1"/>
        </w:rPr>
        <w:t>6</w:t>
      </w:r>
      <w:r>
        <w:rPr>
          <w:spacing w:val="-1"/>
        </w:rPr>
        <w:t>、独立董事茅宁先生，</w:t>
      </w:r>
      <w:r>
        <w:rPr>
          <w:rFonts w:ascii="宋体" w:hAnsi="宋体" w:cs="宋体" w:eastAsia="宋体" w:hint="default"/>
          <w:spacing w:val="-1"/>
        </w:rPr>
        <w:t>1988</w:t>
      </w:r>
      <w:r>
        <w:rPr>
          <w:spacing w:val="-1"/>
        </w:rPr>
        <w:t>年毕业于国防科技大学，工学博士。</w:t>
      </w:r>
      <w:r>
        <w:rPr>
          <w:rFonts w:ascii="宋体" w:hAnsi="宋体" w:cs="宋体" w:eastAsia="宋体" w:hint="default"/>
          <w:spacing w:val="-1"/>
        </w:rPr>
        <w:t>1989</w:t>
      </w:r>
      <w:r>
        <w:rPr>
          <w:spacing w:val="-1"/>
        </w:rPr>
        <w:t>年至今在南京大学商学院任教，</w:t>
      </w:r>
      <w:r>
        <w:rPr/>
        <w:t> 历任南京大学工商管理系副系主任、主任，南京大学商学院院长助理，南京大学</w:t>
      </w:r>
      <w:r>
        <w:rPr>
          <w:rFonts w:ascii="宋体" w:hAnsi="宋体" w:cs="宋体" w:eastAsia="宋体" w:hint="default"/>
        </w:rPr>
        <w:t>EMBA</w:t>
      </w:r>
      <w:r>
        <w:rPr/>
        <w:t>及高级经理培训中心 主任，南京大学管理学院副院长，美国纽约大学</w:t>
      </w:r>
      <w:r>
        <w:rPr>
          <w:rFonts w:ascii="宋体" w:hAnsi="宋体" w:cs="宋体" w:eastAsia="宋体" w:hint="default"/>
        </w:rPr>
        <w:t>Stern</w:t>
      </w:r>
      <w:r>
        <w:rPr/>
        <w:t>商学院富布赖特高级访问学者。现任南京大学商学</w:t>
      </w:r>
      <w:r>
        <w:rPr>
          <w:spacing w:val="-31"/>
        </w:rPr>
        <w:t> </w:t>
      </w:r>
      <w:r>
        <w:rPr>
          <w:spacing w:val="-31"/>
        </w:rPr>
      </w:r>
      <w:r>
        <w:rPr>
          <w:spacing w:val="-13"/>
        </w:rPr>
        <w:t>院教授、博士生导师、享受国务院特殊津贴；兼任江苏省数量经济与管理科学学会会长、金陵饭店（</w:t>
      </w:r>
      <w:r>
        <w:rPr>
          <w:rFonts w:ascii="宋体" w:hAnsi="宋体" w:cs="宋体" w:eastAsia="宋体" w:hint="default"/>
          <w:spacing w:val="-13"/>
        </w:rPr>
        <w:t>601007</w:t>
      </w:r>
      <w:r>
        <w:rPr>
          <w:spacing w:val="-13"/>
        </w:rPr>
        <w:t>）、</w:t>
      </w:r>
      <w:r>
        <w:rPr>
          <w:spacing w:val="-85"/>
        </w:rPr>
        <w:t> </w:t>
      </w:r>
      <w:r>
        <w:rPr/>
        <w:t>华贸物流（</w:t>
      </w:r>
      <w:r>
        <w:rPr>
          <w:rFonts w:ascii="宋体" w:hAnsi="宋体" w:cs="宋体" w:eastAsia="宋体" w:hint="default"/>
        </w:rPr>
        <w:t>603128</w:t>
      </w:r>
      <w:r>
        <w:rPr/>
        <w:t>）栖霞建设（</w:t>
      </w:r>
      <w:r>
        <w:rPr>
          <w:rFonts w:ascii="宋体" w:hAnsi="宋体" w:cs="宋体" w:eastAsia="宋体" w:hint="default"/>
        </w:rPr>
        <w:t>600533</w:t>
      </w:r>
      <w:r>
        <w:rPr/>
        <w:t>）独立董事。</w:t>
      </w:r>
      <w:r>
        <w:rPr>
          <w:rFonts w:ascii="宋体" w:hAnsi="宋体" w:cs="宋体" w:eastAsia="宋体" w:hint="default"/>
        </w:rPr>
        <w:t>2015</w:t>
      </w:r>
      <w:r>
        <w:rPr/>
        <w:t>年</w:t>
      </w:r>
      <w:r>
        <w:rPr>
          <w:rFonts w:ascii="宋体" w:hAnsi="宋体" w:cs="宋体" w:eastAsia="宋体" w:hint="default"/>
        </w:rPr>
        <w:t>4</w:t>
      </w:r>
      <w:r>
        <w:rPr/>
        <w:t>月至今任光一科技第二届、第三届董事会独</w:t>
      </w:r>
      <w:r>
        <w:rPr>
          <w:spacing w:val="-30"/>
        </w:rPr>
        <w:t> </w:t>
      </w:r>
      <w:r>
        <w:rPr>
          <w:spacing w:val="-30"/>
        </w:rPr>
      </w:r>
      <w:r>
        <w:rPr/>
        <w:t>立董事。</w:t>
      </w:r>
    </w:p>
    <w:p>
      <w:pPr>
        <w:pStyle w:val="BodyText"/>
        <w:spacing w:line="408" w:lineRule="auto"/>
        <w:ind w:right="1074" w:firstLine="420"/>
        <w:jc w:val="both"/>
      </w:pPr>
      <w:r>
        <w:rPr>
          <w:rFonts w:ascii="宋体" w:hAnsi="宋体" w:cs="宋体" w:eastAsia="宋体" w:hint="default"/>
        </w:rPr>
        <w:t>7</w:t>
      </w:r>
      <w:r>
        <w:rPr/>
        <w:t>、独立董事周友梅先生，</w:t>
      </w:r>
      <w:r>
        <w:rPr>
          <w:rFonts w:ascii="宋体" w:hAnsi="宋体" w:cs="宋体" w:eastAsia="宋体" w:hint="default"/>
        </w:rPr>
        <w:t>1984</w:t>
      </w:r>
      <w:r>
        <w:rPr/>
        <w:t>年毕业于安徽财经大学，硕士，中国民建会员。现任南京财经大学会 </w:t>
      </w:r>
      <w:r>
        <w:rPr>
          <w:spacing w:val="-8"/>
        </w:rPr>
        <w:t>计学院会计学教授，兼任中国对外经济贸易会计学会副会长，任江苏舜天（</w:t>
      </w:r>
      <w:r>
        <w:rPr>
          <w:rFonts w:ascii="宋体" w:hAnsi="宋体" w:cs="宋体" w:eastAsia="宋体" w:hint="default"/>
          <w:spacing w:val="-8"/>
        </w:rPr>
        <w:t>600287</w:t>
      </w:r>
      <w:r>
        <w:rPr>
          <w:spacing w:val="-8"/>
        </w:rPr>
        <w:t>）、亚夏汽车（</w:t>
      </w:r>
      <w:r>
        <w:rPr>
          <w:rFonts w:ascii="宋体" w:hAnsi="宋体" w:cs="宋体" w:eastAsia="宋体" w:hint="default"/>
          <w:spacing w:val="-8"/>
        </w:rPr>
        <w:t>002607</w:t>
      </w:r>
      <w:r>
        <w:rPr>
          <w:spacing w:val="-8"/>
        </w:rPr>
        <w:t>）、</w:t>
      </w:r>
      <w:r>
        <w:rPr>
          <w:spacing w:val="-66"/>
        </w:rPr>
        <w:t> </w:t>
      </w:r>
      <w:r>
        <w:rPr/>
        <w:t>路通视信（</w:t>
      </w:r>
      <w:r>
        <w:rPr>
          <w:rFonts w:ascii="宋体" w:hAnsi="宋体" w:cs="宋体" w:eastAsia="宋体" w:hint="default"/>
        </w:rPr>
        <w:t>300555</w:t>
      </w:r>
      <w:r>
        <w:rPr/>
        <w:t>）独立董事，</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15</w:t>
      </w:r>
      <w:r>
        <w:rPr/>
        <w:t>日至今任光一科技第三届董事会独立董事。</w:t>
      </w:r>
    </w:p>
    <w:p>
      <w:pPr>
        <w:pStyle w:val="BodyText"/>
        <w:spacing w:line="408" w:lineRule="auto"/>
        <w:ind w:left="1134" w:right="1128" w:firstLine="420"/>
        <w:jc w:val="both"/>
      </w:pPr>
      <w:r>
        <w:rPr>
          <w:rFonts w:ascii="宋体" w:hAnsi="宋体" w:cs="宋体" w:eastAsia="宋体" w:hint="default"/>
        </w:rPr>
        <w:t>8</w:t>
      </w:r>
      <w:r>
        <w:rPr/>
        <w:t>、独立董事刘向明先生，</w:t>
      </w:r>
      <w:r>
        <w:rPr>
          <w:rFonts w:ascii="宋体" w:hAnsi="宋体" w:cs="宋体" w:eastAsia="宋体" w:hint="default"/>
        </w:rPr>
        <w:t>1989</w:t>
      </w:r>
      <w:r>
        <w:rPr/>
        <w:t>年毕业于苏州大学，法学学士、律师证券从业资格，民盟成员。</w:t>
      </w:r>
      <w:r>
        <w:rPr>
          <w:rFonts w:ascii="宋体" w:hAnsi="宋体" w:cs="宋体" w:eastAsia="宋体" w:hint="default"/>
        </w:rPr>
        <w:t>2000 </w:t>
      </w:r>
      <w:r>
        <w:rPr/>
        <w:t>年</w:t>
      </w:r>
      <w:r>
        <w:rPr>
          <w:rFonts w:ascii="宋体" w:hAnsi="宋体" w:cs="宋体" w:eastAsia="宋体" w:hint="default"/>
        </w:rPr>
        <w:t>6</w:t>
      </w:r>
      <w:r>
        <w:rPr/>
        <w:t>月至</w:t>
      </w:r>
      <w:r>
        <w:rPr>
          <w:rFonts w:ascii="宋体" w:hAnsi="宋体" w:cs="宋体" w:eastAsia="宋体" w:hint="default"/>
        </w:rPr>
        <w:t>2015</w:t>
      </w:r>
      <w:r>
        <w:rPr/>
        <w:t>年</w:t>
      </w:r>
      <w:r>
        <w:rPr>
          <w:rFonts w:ascii="宋体" w:hAnsi="宋体" w:cs="宋体" w:eastAsia="宋体" w:hint="default"/>
        </w:rPr>
        <w:t>4</w:t>
      </w:r>
      <w:r>
        <w:rPr/>
        <w:t>月任江苏金鼎英杰律师事务所合伙人；</w:t>
      </w:r>
      <w:r>
        <w:rPr>
          <w:rFonts w:ascii="宋体" w:hAnsi="宋体" w:cs="宋体" w:eastAsia="宋体" w:hint="default"/>
        </w:rPr>
        <w:t>2010</w:t>
      </w:r>
      <w:r>
        <w:rPr/>
        <w:t>年</w:t>
      </w:r>
      <w:r>
        <w:rPr>
          <w:rFonts w:ascii="宋体" w:hAnsi="宋体" w:cs="宋体" w:eastAsia="宋体" w:hint="default"/>
        </w:rPr>
        <w:t>2</w:t>
      </w:r>
      <w:r>
        <w:rPr/>
        <w:t>月至</w:t>
      </w:r>
      <w:r>
        <w:rPr>
          <w:rFonts w:ascii="宋体" w:hAnsi="宋体" w:cs="宋体" w:eastAsia="宋体" w:hint="default"/>
        </w:rPr>
        <w:t>2015</w:t>
      </w:r>
      <w:r>
        <w:rPr/>
        <w:t>年</w:t>
      </w:r>
      <w:r>
        <w:rPr>
          <w:rFonts w:ascii="宋体" w:hAnsi="宋体" w:cs="宋体" w:eastAsia="宋体" w:hint="default"/>
        </w:rPr>
        <w:t>10</w:t>
      </w:r>
      <w:r>
        <w:rPr/>
        <w:t>月任亿通科技（</w:t>
      </w:r>
      <w:r>
        <w:rPr>
          <w:rFonts w:ascii="宋体" w:hAnsi="宋体" w:cs="宋体" w:eastAsia="宋体" w:hint="default"/>
        </w:rPr>
        <w:t>300211</w:t>
      </w:r>
      <w:r>
        <w:rPr/>
        <w:t>）独</w:t>
      </w:r>
      <w:r>
        <w:rPr>
          <w:spacing w:val="-28"/>
        </w:rPr>
        <w:t> </w:t>
      </w:r>
      <w:r>
        <w:rPr/>
        <w:t>立董事；</w:t>
      </w:r>
      <w:r>
        <w:rPr>
          <w:rFonts w:ascii="宋体" w:hAnsi="宋体" w:cs="宋体" w:eastAsia="宋体" w:hint="default"/>
        </w:rPr>
        <w:t>2013</w:t>
      </w:r>
      <w:r>
        <w:rPr/>
        <w:t>年</w:t>
      </w:r>
      <w:r>
        <w:rPr>
          <w:rFonts w:ascii="宋体" w:hAnsi="宋体" w:cs="宋体" w:eastAsia="宋体" w:hint="default"/>
        </w:rPr>
        <w:t>3</w:t>
      </w:r>
      <w:r>
        <w:rPr/>
        <w:t>月至</w:t>
      </w:r>
      <w:r>
        <w:rPr>
          <w:rFonts w:ascii="宋体" w:hAnsi="宋体" w:cs="宋体" w:eastAsia="宋体" w:hint="default"/>
        </w:rPr>
        <w:t>2016</w:t>
      </w:r>
      <w:r>
        <w:rPr/>
        <w:t>年</w:t>
      </w:r>
      <w:r>
        <w:rPr>
          <w:rFonts w:ascii="宋体" w:hAnsi="宋体" w:cs="宋体" w:eastAsia="宋体" w:hint="default"/>
        </w:rPr>
        <w:t>5</w:t>
      </w:r>
      <w:r>
        <w:rPr/>
        <w:t>月任维格娜丝（</w:t>
      </w:r>
      <w:r>
        <w:rPr>
          <w:rFonts w:ascii="宋体" w:hAnsi="宋体" w:cs="宋体" w:eastAsia="宋体" w:hint="default"/>
        </w:rPr>
        <w:t>603518</w:t>
      </w:r>
      <w:r>
        <w:rPr/>
        <w:t>）独立董事；</w:t>
      </w:r>
      <w:r>
        <w:rPr>
          <w:rFonts w:ascii="宋体" w:hAnsi="宋体" w:cs="宋体" w:eastAsia="宋体" w:hint="default"/>
        </w:rPr>
        <w:t>2015</w:t>
      </w:r>
      <w:r>
        <w:rPr/>
        <w:t>年</w:t>
      </w:r>
      <w:r>
        <w:rPr>
          <w:rFonts w:ascii="宋体" w:hAnsi="宋体" w:cs="宋体" w:eastAsia="宋体" w:hint="default"/>
        </w:rPr>
        <w:t>5</w:t>
      </w:r>
      <w:r>
        <w:rPr/>
        <w:t>月至今任国浩律师（南京）事</w:t>
      </w:r>
      <w:r>
        <w:rPr>
          <w:spacing w:val="-33"/>
        </w:rPr>
        <w:t> </w:t>
      </w:r>
      <w:r>
        <w:rPr>
          <w:spacing w:val="-33"/>
        </w:rPr>
      </w:r>
      <w:r>
        <w:rPr/>
        <w:t>务所合伙人；现任国电南瑞（</w:t>
      </w:r>
      <w:r>
        <w:rPr>
          <w:rFonts w:ascii="宋体" w:hAnsi="宋体" w:cs="宋体" w:eastAsia="宋体" w:hint="default"/>
        </w:rPr>
        <w:t>600406</w:t>
      </w:r>
      <w:r>
        <w:rPr/>
        <w:t>）、蓝英装备（</w:t>
      </w:r>
      <w:r>
        <w:rPr>
          <w:rFonts w:ascii="宋体" w:hAnsi="宋体" w:cs="宋体" w:eastAsia="宋体" w:hint="default"/>
        </w:rPr>
        <w:t>300293</w:t>
      </w:r>
      <w:r>
        <w:rPr/>
        <w:t>）独立董事，</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15</w:t>
      </w:r>
      <w:r>
        <w:rPr/>
        <w:t>日至今任光一科技</w:t>
      </w:r>
      <w:r>
        <w:rPr>
          <w:spacing w:val="-28"/>
        </w:rPr>
        <w:t> </w:t>
      </w:r>
      <w:r>
        <w:rPr>
          <w:spacing w:val="-28"/>
        </w:rPr>
      </w:r>
      <w:r>
        <w:rPr/>
        <w:t>第三届董事会独立董事。</w:t>
      </w:r>
    </w:p>
    <w:p>
      <w:pPr>
        <w:pStyle w:val="BodyText"/>
        <w:spacing w:line="408" w:lineRule="auto"/>
        <w:ind w:left="1134" w:right="1131" w:firstLine="420"/>
        <w:jc w:val="both"/>
      </w:pPr>
      <w:r>
        <w:rPr>
          <w:rFonts w:ascii="宋体" w:hAnsi="宋体" w:cs="宋体" w:eastAsia="宋体" w:hint="default"/>
        </w:rPr>
        <w:t>9</w:t>
      </w:r>
      <w:r>
        <w:rPr/>
        <w:t>、监事会主席朱云飞先生，</w:t>
      </w:r>
      <w:r>
        <w:rPr>
          <w:rFonts w:ascii="宋体" w:hAnsi="宋体" w:cs="宋体" w:eastAsia="宋体" w:hint="default"/>
        </w:rPr>
        <w:t>1987</w:t>
      </w:r>
      <w:r>
        <w:rPr/>
        <w:t>年毕业于东南大学无线电系，大学本科学历。</w:t>
      </w:r>
      <w:r>
        <w:rPr>
          <w:rFonts w:ascii="宋体" w:hAnsi="宋体" w:cs="宋体" w:eastAsia="宋体" w:hint="default"/>
        </w:rPr>
        <w:t>2009</w:t>
      </w:r>
      <w:r>
        <w:rPr/>
        <w:t>年至今任光一科 </w:t>
      </w:r>
      <w:r>
        <w:rPr>
          <w:spacing w:val="-1"/>
        </w:rPr>
        <w:t>技第一届、第二届、第三届监事会主席；全资子公司苏源光一监事、智友尚云监事、德能工程监事、德能</w:t>
      </w:r>
      <w:r>
        <w:rPr>
          <w:spacing w:val="-83"/>
        </w:rPr>
        <w:t> </w:t>
      </w:r>
      <w:r>
        <w:rPr>
          <w:spacing w:val="-83"/>
        </w:rPr>
      </w:r>
      <w:r>
        <w:rPr/>
        <w:t>设计监事、索瑞电气监事；控股子公司南京云商天下监事；光一投资监事。</w:t>
      </w:r>
    </w:p>
    <w:p>
      <w:pPr>
        <w:pStyle w:val="BodyText"/>
        <w:spacing w:line="408" w:lineRule="auto"/>
        <w:ind w:right="1130" w:firstLine="420"/>
        <w:jc w:val="both"/>
      </w:pPr>
      <w:r>
        <w:rPr>
          <w:rFonts w:ascii="宋体" w:hAnsi="宋体" w:cs="宋体" w:eastAsia="宋体" w:hint="default"/>
          <w:spacing w:val="-1"/>
        </w:rPr>
        <w:t>10</w:t>
      </w:r>
      <w:r>
        <w:rPr>
          <w:spacing w:val="-1"/>
        </w:rPr>
        <w:t>、监事钱卫民先生，</w:t>
      </w:r>
      <w:r>
        <w:rPr>
          <w:rFonts w:ascii="宋体" w:hAnsi="宋体" w:cs="宋体" w:eastAsia="宋体" w:hint="default"/>
          <w:spacing w:val="-1"/>
        </w:rPr>
        <w:t>1987</w:t>
      </w:r>
      <w:r>
        <w:rPr>
          <w:spacing w:val="-1"/>
        </w:rPr>
        <w:t>年毕业于南京大学理论物理专业，大学本科学历，高级工程师。</w:t>
      </w:r>
      <w:r>
        <w:rPr>
          <w:rFonts w:ascii="宋体" w:hAnsi="宋体" w:cs="宋体" w:eastAsia="宋体" w:hint="default"/>
          <w:spacing w:val="-1"/>
        </w:rPr>
        <w:t>2010</w:t>
      </w:r>
      <w:r>
        <w:rPr>
          <w:spacing w:val="-1"/>
        </w:rPr>
        <w:t>年</w:t>
      </w:r>
      <w:r>
        <w:rPr>
          <w:rFonts w:ascii="宋体" w:hAnsi="宋体" w:cs="宋体" w:eastAsia="宋体" w:hint="default"/>
          <w:spacing w:val="-1"/>
        </w:rPr>
        <w:t>12</w:t>
      </w:r>
      <w:r>
        <w:rPr>
          <w:rFonts w:ascii="宋体" w:hAnsi="宋体" w:cs="宋体" w:eastAsia="宋体" w:hint="default"/>
        </w:rPr>
        <w:t> </w:t>
      </w:r>
      <w:r>
        <w:rPr>
          <w:spacing w:val="-1"/>
        </w:rPr>
        <w:t>月至</w:t>
      </w:r>
      <w:r>
        <w:rPr>
          <w:rFonts w:ascii="宋体" w:hAnsi="宋体" w:cs="宋体" w:eastAsia="宋体" w:hint="default"/>
          <w:spacing w:val="-1"/>
        </w:rPr>
        <w:t>2012</w:t>
      </w:r>
      <w:r>
        <w:rPr>
          <w:spacing w:val="-1"/>
        </w:rPr>
        <w:t>年</w:t>
      </w:r>
      <w:r>
        <w:rPr>
          <w:rFonts w:ascii="宋体" w:hAnsi="宋体" w:cs="宋体" w:eastAsia="宋体" w:hint="default"/>
          <w:spacing w:val="-1"/>
        </w:rPr>
        <w:t>7</w:t>
      </w:r>
      <w:r>
        <w:rPr>
          <w:spacing w:val="-1"/>
        </w:rPr>
        <w:t>月任上海彩码信息科技有限公司总工程师；</w:t>
      </w:r>
      <w:r>
        <w:rPr>
          <w:rFonts w:ascii="宋体" w:hAnsi="宋体" w:cs="宋体" w:eastAsia="宋体" w:hint="default"/>
          <w:spacing w:val="-1"/>
        </w:rPr>
        <w:t>2012</w:t>
      </w:r>
      <w:r>
        <w:rPr>
          <w:spacing w:val="-1"/>
        </w:rPr>
        <w:t>年</w:t>
      </w:r>
      <w:r>
        <w:rPr>
          <w:rFonts w:ascii="宋体" w:hAnsi="宋体" w:cs="宋体" w:eastAsia="宋体" w:hint="default"/>
          <w:spacing w:val="-1"/>
        </w:rPr>
        <w:t>8</w:t>
      </w:r>
      <w:r>
        <w:rPr>
          <w:spacing w:val="-1"/>
        </w:rPr>
        <w:t>月至今任光一科技控股子公司南京云商天</w:t>
      </w:r>
      <w:r>
        <w:rPr>
          <w:spacing w:val="-80"/>
        </w:rPr>
        <w:t> </w:t>
      </w:r>
      <w:r>
        <w:rPr>
          <w:spacing w:val="-80"/>
        </w:rPr>
      </w:r>
      <w:r>
        <w:rPr>
          <w:spacing w:val="-1"/>
        </w:rPr>
        <w:t>下董事、总经理；</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月至今任贵州健康云科技执行董事、总经理；</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15</w:t>
      </w:r>
      <w:r>
        <w:rPr>
          <w:spacing w:val="-1"/>
        </w:rPr>
        <w:t>日至今任光一科技第</w:t>
      </w:r>
      <w:r>
        <w:rPr>
          <w:spacing w:val="-84"/>
        </w:rPr>
        <w:t> </w:t>
      </w:r>
      <w:r>
        <w:rPr>
          <w:spacing w:val="-84"/>
        </w:rPr>
      </w:r>
      <w:r>
        <w:rPr/>
        <w:t>三届监事会监事。目前，监事钱卫民先生主要负责控股子公司南京云商天下的经营管理工作。</w:t>
      </w:r>
    </w:p>
    <w:p>
      <w:pPr>
        <w:pStyle w:val="BodyText"/>
        <w:spacing w:line="408" w:lineRule="auto"/>
        <w:ind w:left="1134" w:right="0" w:firstLine="420"/>
        <w:jc w:val="left"/>
      </w:pPr>
      <w:r>
        <w:rPr>
          <w:rFonts w:ascii="宋体" w:hAnsi="宋体" w:cs="宋体" w:eastAsia="宋体" w:hint="default"/>
        </w:rPr>
        <w:t>11</w:t>
      </w:r>
      <w:r>
        <w:rPr/>
        <w:t>、职工监事葛兹俊先生，</w:t>
      </w:r>
      <w:r>
        <w:rPr>
          <w:rFonts w:ascii="宋体" w:hAnsi="宋体" w:cs="宋体" w:eastAsia="宋体" w:hint="default"/>
        </w:rPr>
        <w:t>1982</w:t>
      </w:r>
      <w:r>
        <w:rPr/>
        <w:t>年毕业于河海大学电子计算机专业，大学本科学历，电子信息工程高 </w:t>
      </w:r>
      <w:r>
        <w:rPr>
          <w:spacing w:val="-3"/>
        </w:rPr>
        <w:t>级工程师。</w:t>
      </w:r>
      <w:r>
        <w:rPr>
          <w:rFonts w:ascii="宋体" w:hAnsi="宋体" w:cs="宋体" w:eastAsia="宋体" w:hint="default"/>
          <w:spacing w:val="-3"/>
        </w:rPr>
        <w:t>2010</w:t>
      </w:r>
      <w:r>
        <w:rPr>
          <w:spacing w:val="-3"/>
        </w:rPr>
        <w:t>年至今任公司项目申报主管、高级工程师。目前，职工监事葛兹俊先生主要负责公司项目、</w:t>
      </w:r>
      <w:r>
        <w:rPr>
          <w:spacing w:val="-90"/>
        </w:rPr>
        <w:t> </w:t>
      </w:r>
      <w:r>
        <w:rPr>
          <w:spacing w:val="-90"/>
        </w:rPr>
      </w:r>
      <w:r>
        <w:rPr/>
        <w:t>资质的申报工作。</w:t>
      </w:r>
    </w:p>
    <w:p>
      <w:pPr>
        <w:pStyle w:val="BodyText"/>
        <w:spacing w:line="240" w:lineRule="auto"/>
        <w:ind w:left="1554" w:right="0"/>
        <w:jc w:val="left"/>
      </w:pPr>
      <w:r>
        <w:rPr>
          <w:rFonts w:ascii="宋体" w:hAnsi="宋体" w:cs="宋体" w:eastAsia="宋体" w:hint="default"/>
        </w:rPr>
        <w:t>12</w:t>
      </w:r>
      <w:r>
        <w:rPr/>
        <w:t>、财务总监周振娟女士，</w:t>
      </w:r>
      <w:r>
        <w:rPr>
          <w:rFonts w:ascii="宋体" w:hAnsi="宋体" w:cs="宋体" w:eastAsia="宋体" w:hint="default"/>
        </w:rPr>
        <w:t>1999</w:t>
      </w:r>
      <w:r>
        <w:rPr/>
        <w:t>年毕业于南京大学行政管理专业，东南大学</w:t>
      </w:r>
      <w:r>
        <w:rPr>
          <w:rFonts w:ascii="宋体" w:hAnsi="宋体" w:cs="宋体" w:eastAsia="宋体" w:hint="default"/>
        </w:rPr>
        <w:t>EMBA</w:t>
      </w:r>
      <w:r>
        <w:rPr/>
        <w:t>在读，高级会计师。</w:t>
      </w:r>
    </w:p>
    <w:p>
      <w:pPr>
        <w:spacing w:line="240" w:lineRule="auto" w:before="10"/>
        <w:rPr>
          <w:rFonts w:ascii="宋体" w:hAnsi="宋体" w:cs="宋体" w:eastAsia="宋体" w:hint="default"/>
          <w:sz w:val="14"/>
          <w:szCs w:val="14"/>
        </w:rPr>
      </w:pPr>
    </w:p>
    <w:p>
      <w:pPr>
        <w:pStyle w:val="BodyText"/>
        <w:spacing w:line="408" w:lineRule="auto" w:before="0"/>
        <w:ind w:right="1132"/>
        <w:jc w:val="both"/>
      </w:pPr>
      <w:r>
        <w:rPr>
          <w:rFonts w:ascii="宋体" w:hAnsi="宋体" w:cs="宋体" w:eastAsia="宋体" w:hint="default"/>
          <w:spacing w:val="-1"/>
        </w:rPr>
        <w:t>2010</w:t>
      </w:r>
      <w:r>
        <w:rPr>
          <w:spacing w:val="-1"/>
        </w:rPr>
        <w:t>年至</w:t>
      </w:r>
      <w:r>
        <w:rPr>
          <w:rFonts w:ascii="宋体" w:hAnsi="宋体" w:cs="宋体" w:eastAsia="宋体" w:hint="default"/>
          <w:spacing w:val="-1"/>
        </w:rPr>
        <w:t>2011</w:t>
      </w:r>
      <w:r>
        <w:rPr>
          <w:spacing w:val="-1"/>
        </w:rPr>
        <w:t>年任公司审计经理；</w:t>
      </w:r>
      <w:r>
        <w:rPr>
          <w:rFonts w:ascii="宋体" w:hAnsi="宋体" w:cs="宋体" w:eastAsia="宋体" w:hint="default"/>
          <w:spacing w:val="-1"/>
        </w:rPr>
        <w:t>2012</w:t>
      </w:r>
      <w:r>
        <w:rPr>
          <w:spacing w:val="-1"/>
        </w:rPr>
        <w:t>年至</w:t>
      </w:r>
      <w:r>
        <w:rPr>
          <w:rFonts w:ascii="宋体" w:hAnsi="宋体" w:cs="宋体" w:eastAsia="宋体" w:hint="default"/>
          <w:spacing w:val="-1"/>
        </w:rPr>
        <w:t>2014</w:t>
      </w:r>
      <w:r>
        <w:rPr>
          <w:spacing w:val="-1"/>
        </w:rPr>
        <w:t>年任公司财务经理；</w:t>
      </w:r>
      <w:r>
        <w:rPr>
          <w:rFonts w:ascii="宋体" w:hAnsi="宋体" w:cs="宋体" w:eastAsia="宋体" w:hint="default"/>
          <w:spacing w:val="-1"/>
        </w:rPr>
        <w:t>2014</w:t>
      </w:r>
      <w:r>
        <w:rPr>
          <w:spacing w:val="-1"/>
        </w:rPr>
        <w:t>年至今任公司财务总监、全资子</w:t>
      </w:r>
      <w:r>
        <w:rPr>
          <w:spacing w:val="-76"/>
        </w:rPr>
        <w:t> </w:t>
      </w:r>
      <w:r>
        <w:rPr>
          <w:spacing w:val="-76"/>
        </w:rPr>
      </w:r>
      <w:r>
        <w:rPr>
          <w:spacing w:val="-1"/>
        </w:rPr>
        <w:t>公司智友尚云总经理；参股公司中广格兰董事；</w:t>
      </w:r>
      <w:r>
        <w:rPr>
          <w:rFonts w:ascii="宋体" w:hAnsi="宋体" w:cs="宋体" w:eastAsia="宋体" w:hint="default"/>
          <w:spacing w:val="-1"/>
        </w:rPr>
        <w:t>2017</w:t>
      </w:r>
      <w:r>
        <w:rPr>
          <w:spacing w:val="-1"/>
        </w:rPr>
        <w:t>年</w:t>
      </w:r>
      <w:r>
        <w:rPr>
          <w:rFonts w:ascii="宋体" w:hAnsi="宋体" w:cs="宋体" w:eastAsia="宋体" w:hint="default"/>
          <w:spacing w:val="-1"/>
        </w:rPr>
        <w:t>7</w:t>
      </w:r>
      <w:r>
        <w:rPr>
          <w:spacing w:val="-1"/>
        </w:rPr>
        <w:t>月至今任光一数道科技董事；</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月任江苏数</w:t>
      </w:r>
      <w:r>
        <w:rPr>
          <w:spacing w:val="-81"/>
        </w:rPr>
        <w:t> </w:t>
      </w:r>
      <w:r>
        <w:rPr/>
        <w:t>道董事。目前，财务总监周振娟女士负责公司财务相关工作及投资相关工作。</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13</w:t>
      </w:r>
      <w:r>
        <w:rPr/>
        <w:t>、副总经理李宝亮先生，</w:t>
      </w:r>
      <w:r>
        <w:rPr>
          <w:rFonts w:ascii="宋体" w:hAnsi="宋体" w:cs="宋体" w:eastAsia="宋体" w:hint="default"/>
        </w:rPr>
        <w:t>2001</w:t>
      </w:r>
      <w:r>
        <w:rPr/>
        <w:t>年毕业于南京理工大学机械电子工程专业，本科学历，中级工程师。</w:t>
      </w:r>
    </w:p>
    <w:p>
      <w:pPr>
        <w:spacing w:line="240" w:lineRule="auto" w:before="10"/>
        <w:rPr>
          <w:rFonts w:ascii="宋体" w:hAnsi="宋体" w:cs="宋体" w:eastAsia="宋体" w:hint="default"/>
          <w:sz w:val="14"/>
          <w:szCs w:val="14"/>
        </w:rPr>
      </w:pPr>
    </w:p>
    <w:p>
      <w:pPr>
        <w:pStyle w:val="BodyText"/>
        <w:spacing w:line="408" w:lineRule="auto" w:before="0"/>
        <w:ind w:left="1134" w:right="1132"/>
        <w:jc w:val="both"/>
      </w:pPr>
      <w:r>
        <w:rPr>
          <w:rFonts w:ascii="宋体" w:hAnsi="宋体" w:cs="宋体" w:eastAsia="宋体" w:hint="default"/>
          <w:spacing w:val="-1"/>
        </w:rPr>
        <w:t>2009</w:t>
      </w:r>
      <w:r>
        <w:rPr>
          <w:spacing w:val="-1"/>
        </w:rPr>
        <w:t>年至</w:t>
      </w:r>
      <w:r>
        <w:rPr>
          <w:rFonts w:ascii="宋体" w:hAnsi="宋体" w:cs="宋体" w:eastAsia="宋体" w:hint="default"/>
          <w:spacing w:val="-1"/>
        </w:rPr>
        <w:t>2011</w:t>
      </w:r>
      <w:r>
        <w:rPr>
          <w:spacing w:val="-1"/>
        </w:rPr>
        <w:t>年任江苏通驰自动化系统有限公司总经理；</w:t>
      </w:r>
      <w:r>
        <w:rPr>
          <w:rFonts w:ascii="宋体" w:hAnsi="宋体" w:cs="宋体" w:eastAsia="宋体" w:hint="default"/>
          <w:spacing w:val="-1"/>
        </w:rPr>
        <w:t>2012</w:t>
      </w:r>
      <w:r>
        <w:rPr>
          <w:spacing w:val="-1"/>
        </w:rPr>
        <w:t>年至</w:t>
      </w:r>
      <w:r>
        <w:rPr>
          <w:rFonts w:ascii="宋体" w:hAnsi="宋体" w:cs="宋体" w:eastAsia="宋体" w:hint="default"/>
          <w:spacing w:val="-1"/>
        </w:rPr>
        <w:t>2014</w:t>
      </w:r>
      <w:r>
        <w:rPr>
          <w:spacing w:val="-1"/>
        </w:rPr>
        <w:t>年任国电南瑞三能电力仪表有限公</w:t>
      </w:r>
      <w:r>
        <w:rPr>
          <w:spacing w:val="-76"/>
        </w:rPr>
        <w:t> </w:t>
      </w:r>
      <w:r>
        <w:rPr>
          <w:spacing w:val="-76"/>
        </w:rPr>
      </w:r>
      <w:r>
        <w:rPr/>
        <w:t>司总经理；</w:t>
      </w:r>
      <w:r>
        <w:rPr>
          <w:rFonts w:ascii="宋体" w:hAnsi="宋体" w:cs="宋体" w:eastAsia="宋体" w:hint="default"/>
        </w:rPr>
        <w:t>2015</w:t>
      </w:r>
      <w:r>
        <w:rPr/>
        <w:t>年至今，任公司智能终端事业部总经理，</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16</w:t>
      </w:r>
      <w:r>
        <w:rPr/>
        <w:t>日至今任公司副总经理。目前，副</w:t>
      </w:r>
      <w:r>
        <w:rPr>
          <w:spacing w:val="-30"/>
        </w:rPr>
        <w:t> </w:t>
      </w:r>
      <w:r>
        <w:rPr>
          <w:spacing w:val="-30"/>
        </w:rPr>
      </w:r>
      <w:r>
        <w:rPr/>
        <w:t>总经理李宝亮先生主要负责公司智能终端事业部的经营管理工作。</w:t>
      </w:r>
    </w:p>
    <w:p>
      <w:pPr>
        <w:pStyle w:val="BodyText"/>
        <w:spacing w:line="408" w:lineRule="auto"/>
        <w:ind w:right="1131" w:firstLine="420"/>
        <w:jc w:val="both"/>
      </w:pPr>
      <w:r>
        <w:rPr>
          <w:rFonts w:ascii="宋体" w:hAnsi="宋体" w:cs="宋体" w:eastAsia="宋体" w:hint="default"/>
          <w:spacing w:val="-5"/>
        </w:rPr>
        <w:t>14</w:t>
      </w:r>
      <w:r>
        <w:rPr>
          <w:spacing w:val="-5"/>
        </w:rPr>
        <w:t>、副总经理汪梦余先生，</w:t>
      </w:r>
      <w:r>
        <w:rPr>
          <w:rFonts w:ascii="宋体" w:hAnsi="宋体" w:cs="宋体" w:eastAsia="宋体" w:hint="default"/>
          <w:spacing w:val="-5"/>
        </w:rPr>
        <w:t>1992</w:t>
      </w:r>
      <w:r>
        <w:rPr>
          <w:spacing w:val="-5"/>
        </w:rPr>
        <w:t>年毕业于安徽工程大学，硕士研究生学历，高级工程师。</w:t>
      </w:r>
      <w:r>
        <w:rPr>
          <w:rFonts w:ascii="宋体" w:hAnsi="宋体" w:cs="宋体" w:eastAsia="宋体" w:hint="default"/>
          <w:spacing w:val="-5"/>
        </w:rPr>
        <w:t>2004</w:t>
      </w:r>
      <w:r>
        <w:rPr>
          <w:spacing w:val="-5"/>
        </w:rPr>
        <w:t>年至</w:t>
      </w:r>
      <w:r>
        <w:rPr>
          <w:rFonts w:ascii="宋体" w:hAnsi="宋体" w:cs="宋体" w:eastAsia="宋体" w:hint="default"/>
          <w:spacing w:val="-5"/>
        </w:rPr>
        <w:t>2009</w:t>
      </w:r>
      <w:r>
        <w:rPr>
          <w:rFonts w:ascii="宋体" w:hAnsi="宋体" w:cs="宋体" w:eastAsia="宋体" w:hint="default"/>
        </w:rPr>
        <w:t> </w:t>
      </w:r>
      <w:r>
        <w:rPr>
          <w:spacing w:val="-1"/>
        </w:rPr>
        <w:t>年任光一有限软件工程师、应用开发部经理、研发中心主任助理；</w:t>
      </w:r>
      <w:r>
        <w:rPr>
          <w:rFonts w:ascii="宋体" w:hAnsi="宋体" w:cs="宋体" w:eastAsia="宋体" w:hint="default"/>
          <w:spacing w:val="-1"/>
        </w:rPr>
        <w:t>2010</w:t>
      </w:r>
      <w:r>
        <w:rPr>
          <w:spacing w:val="-1"/>
        </w:rPr>
        <w:t>年至</w:t>
      </w:r>
      <w:r>
        <w:rPr>
          <w:rFonts w:ascii="宋体" w:hAnsi="宋体" w:cs="宋体" w:eastAsia="宋体" w:hint="default"/>
          <w:spacing w:val="-1"/>
        </w:rPr>
        <w:t>2014</w:t>
      </w:r>
      <w:r>
        <w:rPr>
          <w:spacing w:val="-1"/>
        </w:rPr>
        <w:t>年任光一科技研发中心主</w:t>
      </w:r>
      <w:r>
        <w:rPr>
          <w:spacing w:val="-81"/>
        </w:rPr>
        <w:t> </w:t>
      </w:r>
      <w:r>
        <w:rPr>
          <w:spacing w:val="-81"/>
        </w:rPr>
      </w:r>
      <w:r>
        <w:rPr/>
        <w:t>任、终端事业部副总经理；现任光一科技技术研究院院长、终端事业部副总经理。</w:t>
      </w:r>
    </w:p>
    <w:p>
      <w:pPr>
        <w:spacing w:line="240" w:lineRule="auto" w:before="6"/>
        <w:rPr>
          <w:rFonts w:ascii="宋体" w:hAnsi="宋体" w:cs="宋体" w:eastAsia="宋体" w:hint="default"/>
          <w:sz w:val="15"/>
          <w:szCs w:val="15"/>
        </w:rPr>
      </w:pPr>
    </w:p>
    <w:p>
      <w:pPr>
        <w:pStyle w:val="BodyText"/>
        <w:spacing w:line="240" w:lineRule="auto" w:before="0"/>
        <w:ind w:right="0"/>
        <w:jc w:val="both"/>
      </w:pPr>
      <w:r>
        <w:rPr/>
        <w:t>在股东单位任职情况</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820" w:type="dxa"/>
        <w:tblLayout w:type="fixed"/>
        <w:tblCellMar>
          <w:top w:w="0" w:type="dxa"/>
          <w:left w:w="0" w:type="dxa"/>
          <w:bottom w:w="0" w:type="dxa"/>
          <w:right w:w="0" w:type="dxa"/>
        </w:tblCellMar>
        <w:tblLook w:val="01E0"/>
      </w:tblPr>
      <w:tblGrid>
        <w:gridCol w:w="1304"/>
        <w:gridCol w:w="3126"/>
        <w:gridCol w:w="1486"/>
        <w:gridCol w:w="1492"/>
        <w:gridCol w:w="1693"/>
        <w:gridCol w:w="1133"/>
      </w:tblGrid>
      <w:tr>
        <w:trPr>
          <w:trHeight w:val="958" w:hRule="exact"/>
        </w:trPr>
        <w:tc>
          <w:tcPr>
            <w:tcW w:w="130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65" w:right="103"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4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109" w:right="101"/>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412" w:hRule="exact"/>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69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69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9" w:hRule="exact"/>
        </w:trPr>
        <w:tc>
          <w:tcPr>
            <w:tcW w:w="130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任昌兆</w:t>
            </w:r>
          </w:p>
        </w:tc>
        <w:tc>
          <w:tcPr>
            <w:tcW w:w="3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执行董事、经理</w:t>
            </w:r>
          </w:p>
        </w:tc>
        <w:tc>
          <w:tcPr>
            <w:tcW w:w="14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03</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693"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pStyle w:val="BodyText"/>
        <w:spacing w:line="240" w:lineRule="auto" w:before="35"/>
        <w:ind w:left="1134" w:right="1121"/>
        <w:jc w:val="left"/>
      </w:pPr>
      <w:r>
        <w:rPr/>
        <w:t>在其他单位任职情况</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806" w:type="dxa"/>
        <w:tblLayout w:type="fixed"/>
        <w:tblCellMar>
          <w:top w:w="0" w:type="dxa"/>
          <w:left w:w="0" w:type="dxa"/>
          <w:bottom w:w="0" w:type="dxa"/>
          <w:right w:w="0" w:type="dxa"/>
        </w:tblCellMar>
        <w:tblLook w:val="01E0"/>
      </w:tblPr>
      <w:tblGrid>
        <w:gridCol w:w="1278"/>
        <w:gridCol w:w="3154"/>
        <w:gridCol w:w="1484"/>
        <w:gridCol w:w="1493"/>
        <w:gridCol w:w="1720"/>
        <w:gridCol w:w="1133"/>
      </w:tblGrid>
      <w:tr>
        <w:trPr>
          <w:trHeight w:val="1039" w:hRule="exact"/>
        </w:trPr>
        <w:tc>
          <w:tcPr>
            <w:tcW w:w="12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5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4" w:right="103"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4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109" w:right="10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贵州贵银投资有限公司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天擎华媒（北京）科技有限公司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60"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2"/>
              <w:ind w:left="1029" w:right="489" w:hanging="540"/>
              <w:jc w:val="left"/>
              <w:rPr>
                <w:rFonts w:ascii="宋体" w:hAnsi="宋体" w:cs="宋体" w:eastAsia="宋体" w:hint="default"/>
                <w:sz w:val="18"/>
                <w:szCs w:val="18"/>
              </w:rPr>
            </w:pPr>
            <w:r>
              <w:rPr>
                <w:rFonts w:ascii="宋体" w:hAnsi="宋体" w:cs="宋体" w:eastAsia="宋体" w:hint="default"/>
                <w:sz w:val="18"/>
                <w:szCs w:val="18"/>
              </w:rPr>
              <w:t>江苏光一贵仁股权投资基金 管理有限公司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中云文化大数据科技有限公司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60"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3"/>
              <w:ind w:left="489" w:right="489" w:firstLine="360"/>
              <w:jc w:val="left"/>
              <w:rPr>
                <w:rFonts w:ascii="宋体" w:hAnsi="宋体" w:cs="宋体" w:eastAsia="宋体" w:hint="default"/>
                <w:sz w:val="18"/>
                <w:szCs w:val="18"/>
              </w:rPr>
            </w:pPr>
            <w:r>
              <w:rPr>
                <w:rFonts w:ascii="宋体" w:hAnsi="宋体" w:cs="宋体" w:eastAsia="宋体" w:hint="default"/>
                <w:sz w:val="18"/>
                <w:szCs w:val="18"/>
              </w:rPr>
              <w:t>中广文影股权投资 基金管理（上海）有限公司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江苏光一德能电气工程有限公司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2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鼎一科技有限公司</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806" w:type="dxa"/>
        <w:tblLayout w:type="fixed"/>
        <w:tblCellMar>
          <w:top w:w="0" w:type="dxa"/>
          <w:left w:w="0" w:type="dxa"/>
          <w:bottom w:w="0" w:type="dxa"/>
          <w:right w:w="0" w:type="dxa"/>
        </w:tblCellMar>
        <w:tblLook w:val="01E0"/>
      </w:tblPr>
      <w:tblGrid>
        <w:gridCol w:w="1278"/>
        <w:gridCol w:w="3154"/>
        <w:gridCol w:w="1484"/>
        <w:gridCol w:w="1493"/>
        <w:gridCol w:w="1720"/>
        <w:gridCol w:w="1133"/>
      </w:tblGrid>
      <w:tr>
        <w:trPr>
          <w:trHeight w:val="1039" w:hRule="exact"/>
        </w:trPr>
        <w:tc>
          <w:tcPr>
            <w:tcW w:w="12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5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464" w:right="103"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4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109" w:right="10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光一数道（北京）科技有限公司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江苏数道科技有限公司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总经理、董事长</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江苏黔首网络科技有限公司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龙昌明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南京建盈鸿亿科技发展有限公司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王海俊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王海俊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王海俊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王海俊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王海俊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广东今程光一电力科技有限责任公司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戴晓东</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戴晓东</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武汉睿博电气有限责任公司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戴晓东</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任昌兆</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任昌兆</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武汉联畅股权投资管理有限公司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熊</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熊</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中复碳芯电缆科技有限公司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29</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熊</w:t>
            </w:r>
            <w:r>
              <w:rPr>
                <w:rFonts w:ascii="宋体" w:hAnsi="宋体" w:cs="宋体" w:eastAsia="宋体" w:hint="default"/>
                <w:spacing w:val="90"/>
                <w:sz w:val="18"/>
                <w:szCs w:val="18"/>
              </w:rPr>
              <w:t> </w:t>
            </w:r>
            <w:r>
              <w:rPr>
                <w:rFonts w:ascii="宋体" w:hAnsi="宋体" w:cs="宋体" w:eastAsia="宋体" w:hint="default"/>
                <w:sz w:val="18"/>
                <w:szCs w:val="18"/>
              </w:rPr>
              <w:t>俊</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深圳市金德安实业有限公司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南京大学商学院</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教授</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1989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金陵饭店股份有限公司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港中旅华贸国际物流股份有限公司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茅</w:t>
            </w:r>
            <w:r>
              <w:rPr>
                <w:rFonts w:ascii="宋体" w:hAnsi="宋体" w:cs="宋体" w:eastAsia="宋体" w:hint="default"/>
                <w:spacing w:val="90"/>
                <w:sz w:val="18"/>
                <w:szCs w:val="18"/>
              </w:rPr>
              <w:t> </w:t>
            </w:r>
            <w:r>
              <w:rPr>
                <w:rFonts w:ascii="宋体" w:hAnsi="宋体" w:cs="宋体" w:eastAsia="宋体" w:hint="default"/>
                <w:sz w:val="18"/>
                <w:szCs w:val="18"/>
              </w:rPr>
              <w:t>宁</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南京栖霞建设股份有限公司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周友梅</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南京财经大学会计学院</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教授</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周友梅</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芜湖亚夏汽车股份有限公司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周友梅</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江苏舜天股份有限公司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周友梅</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无锡路通视信网络股份有限公司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30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刘向明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国浩律师（南京）事务所</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刘向明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国电南瑞科技股份有限公司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刘向明</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沈阳蓝英工业自动化装备股份有限公司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05</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04</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2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3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806" w:type="dxa"/>
        <w:tblLayout w:type="fixed"/>
        <w:tblCellMar>
          <w:top w:w="0" w:type="dxa"/>
          <w:left w:w="0" w:type="dxa"/>
          <w:bottom w:w="0" w:type="dxa"/>
          <w:right w:w="0" w:type="dxa"/>
        </w:tblCellMar>
        <w:tblLook w:val="01E0"/>
      </w:tblPr>
      <w:tblGrid>
        <w:gridCol w:w="1278"/>
        <w:gridCol w:w="3154"/>
        <w:gridCol w:w="1484"/>
        <w:gridCol w:w="1493"/>
        <w:gridCol w:w="1720"/>
        <w:gridCol w:w="1133"/>
      </w:tblGrid>
      <w:tr>
        <w:trPr>
          <w:trHeight w:val="1039" w:hRule="exact"/>
        </w:trPr>
        <w:tc>
          <w:tcPr>
            <w:tcW w:w="12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5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464" w:right="103"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4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109" w:right="101"/>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江苏德能电气工程有限公司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朱云飞</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钱卫民</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钱卫民</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贵州健康云科技有限公司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周振娟</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02</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周振娟</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北京中广格兰信息科技有限公司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周振娟</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光一数道（北京）科技有限公司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2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周振娟</w:t>
            </w:r>
          </w:p>
        </w:tc>
        <w:tc>
          <w:tcPr>
            <w:tcW w:w="31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江苏数道科技有限公司</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06</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720" w:type="dxa"/>
            <w:tcBorders>
              <w:top w:val="single" w:sz="6" w:space="0" w:color="000000"/>
              <w:left w:val="single" w:sz="6" w:space="0" w:color="000000"/>
              <w:bottom w:val="single" w:sz="12" w:space="0" w:color="000000"/>
              <w:right w:val="single" w:sz="6" w:space="0" w:color="000000"/>
            </w:tcBorders>
          </w:tcPr>
          <w:p>
            <w:pP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3"/>
        <w:ind w:left="1134" w:right="0"/>
        <w:jc w:val="both"/>
      </w:pPr>
      <w:r>
        <w:rPr/>
        <w:t>公司现任及报告期内离任董事、监事和高级管理人员近三年证券监管机构处罚的情况</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四、董事、监事、高级管理人员报酬情况" w:id="124"/>
      <w:bookmarkEnd w:id="124"/>
      <w:r>
        <w:rPr>
          <w:b w:val="0"/>
          <w:bCs w:val="0"/>
        </w:rPr>
      </w:r>
      <w:r>
        <w:rPr/>
        <w:t>四、董事、监事、高级管理人员报酬情况</w:t>
      </w:r>
      <w:r>
        <w:rPr>
          <w:b w:val="0"/>
          <w:bCs w:val="0"/>
        </w:rPr>
      </w:r>
    </w:p>
    <w:p>
      <w:pPr>
        <w:pStyle w:val="BodyText"/>
        <w:spacing w:line="408" w:lineRule="auto" w:before="177"/>
        <w:ind w:left="1553" w:right="1121" w:hanging="420"/>
        <w:jc w:val="left"/>
      </w:pPr>
      <w:r>
        <w:rPr/>
        <w:t>董事、监事、高级管理人员报酬的决策程序、确定依据、实际支付情况 </w:t>
      </w:r>
      <w:r>
        <w:rPr>
          <w:spacing w:val="-1"/>
        </w:rPr>
        <w:t>关于薪酬的决策程序：公司董事、监事报酬按照《董事、监事薪酬管理制度》的规定执行，高级管理</w:t>
      </w:r>
    </w:p>
    <w:p>
      <w:pPr>
        <w:pStyle w:val="BodyText"/>
        <w:spacing w:line="408" w:lineRule="auto"/>
        <w:ind w:right="1133"/>
        <w:jc w:val="both"/>
      </w:pPr>
      <w:r>
        <w:rPr>
          <w:spacing w:val="-1"/>
        </w:rPr>
        <w:t>人员报酬按照《高级管理人员薪酬管理制度》的规定执行；在公司任职的董事、监事、高级管理人员报酬</w:t>
      </w:r>
      <w:r>
        <w:rPr>
          <w:spacing w:val="-83"/>
        </w:rPr>
        <w:t> </w:t>
      </w:r>
      <w:r>
        <w:rPr>
          <w:spacing w:val="-83"/>
        </w:rPr>
      </w:r>
      <w:r>
        <w:rPr>
          <w:spacing w:val="-1"/>
        </w:rPr>
        <w:t>由公司支付，董事、监事不另外支付津贴。独立董事津贴依据股东大会决议支付，董事履责产生的差旅费</w:t>
      </w:r>
      <w:r>
        <w:rPr>
          <w:spacing w:val="-86"/>
        </w:rPr>
        <w:t> </w:t>
      </w:r>
      <w:r>
        <w:rPr>
          <w:spacing w:val="-86"/>
        </w:rPr>
      </w:r>
      <w:r>
        <w:rPr/>
        <w:t>及住宿费等据实报销。</w:t>
      </w:r>
    </w:p>
    <w:p>
      <w:pPr>
        <w:pStyle w:val="BodyText"/>
        <w:spacing w:line="408" w:lineRule="auto"/>
        <w:ind w:right="1121" w:firstLine="420"/>
        <w:jc w:val="left"/>
      </w:pPr>
      <w:r>
        <w:rPr>
          <w:spacing w:val="-1"/>
        </w:rPr>
        <w:t>关于薪酬的确定依据：根据公司盈利水平及董事、监事、高级管理人员的职责履行情况并结合年度绩</w:t>
      </w:r>
      <w:r>
        <w:rPr/>
        <w:t> 效完成情况综合确定。</w:t>
      </w:r>
    </w:p>
    <w:p>
      <w:pPr>
        <w:pStyle w:val="BodyText"/>
        <w:spacing w:line="408" w:lineRule="auto"/>
        <w:ind w:right="0" w:firstLine="420"/>
        <w:jc w:val="left"/>
      </w:pPr>
      <w:r>
        <w:rPr/>
        <w:t>实际支付情况：报告期内，在公司领取薪酬的董事、监事、高级管理人员有</w:t>
      </w:r>
      <w:r>
        <w:rPr>
          <w:rFonts w:ascii="宋体" w:hAnsi="宋体" w:cs="宋体" w:eastAsia="宋体" w:hint="default"/>
        </w:rPr>
        <w:t>14</w:t>
      </w:r>
      <w:r>
        <w:rPr/>
        <w:t>人，董事熊俊先生不在 </w:t>
      </w:r>
      <w:r>
        <w:rPr>
          <w:spacing w:val="-3"/>
        </w:rPr>
        <w:t>公司领取薪酬、监事钱卫民先生在控股子公司云商天下领取薪酬，公司</w:t>
      </w:r>
      <w:r>
        <w:rPr>
          <w:rFonts w:ascii="宋体" w:hAnsi="宋体" w:cs="宋体" w:eastAsia="宋体" w:hint="default"/>
          <w:spacing w:val="-3"/>
        </w:rPr>
        <w:t>2017</w:t>
      </w:r>
      <w:r>
        <w:rPr>
          <w:spacing w:val="-3"/>
        </w:rPr>
        <w:t>年共计支付薪酬（含股权激励）</w:t>
      </w:r>
      <w:r>
        <w:rPr>
          <w:spacing w:val="-85"/>
        </w:rPr>
        <w:t> </w:t>
      </w:r>
      <w:r>
        <w:rPr>
          <w:spacing w:val="-85"/>
        </w:rPr>
      </w:r>
      <w:r>
        <w:rPr>
          <w:rFonts w:ascii="宋体" w:hAnsi="宋体" w:cs="宋体" w:eastAsia="宋体" w:hint="default"/>
        </w:rPr>
        <w:t>393.38</w:t>
      </w:r>
      <w:r>
        <w:rPr/>
        <w:t>万元。</w:t>
      </w:r>
    </w:p>
    <w:p>
      <w:pPr>
        <w:spacing w:line="240" w:lineRule="auto" w:before="6"/>
        <w:rPr>
          <w:rFonts w:ascii="宋体" w:hAnsi="宋体" w:cs="宋体" w:eastAsia="宋体" w:hint="default"/>
          <w:sz w:val="15"/>
          <w:szCs w:val="15"/>
        </w:rPr>
      </w:pPr>
    </w:p>
    <w:p>
      <w:pPr>
        <w:pStyle w:val="BodyText"/>
        <w:spacing w:line="240" w:lineRule="auto" w:before="0"/>
        <w:ind w:right="0"/>
        <w:jc w:val="both"/>
      </w:pPr>
      <w:r>
        <w:rPr/>
        <w:t>公司报告期内董事、监事和高级管理人员报酬情况</w:t>
      </w:r>
    </w:p>
    <w:p>
      <w:pPr>
        <w:spacing w:line="240" w:lineRule="auto" w:before="11"/>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370"/>
        <w:gridCol w:w="2459"/>
        <w:gridCol w:w="708"/>
        <w:gridCol w:w="568"/>
        <w:gridCol w:w="992"/>
        <w:gridCol w:w="2268"/>
        <w:gridCol w:w="1207"/>
      </w:tblGrid>
      <w:tr>
        <w:trPr>
          <w:trHeight w:val="647" w:hRule="exact"/>
        </w:trPr>
        <w:tc>
          <w:tcPr>
            <w:tcW w:w="137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24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2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120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55" w:right="4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44.47</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48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73.68</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1"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57</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29.1</w:t>
            </w:r>
          </w:p>
        </w:tc>
        <w:tc>
          <w:tcPr>
            <w:tcW w:w="12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370"/>
        <w:gridCol w:w="2459"/>
        <w:gridCol w:w="708"/>
        <w:gridCol w:w="568"/>
        <w:gridCol w:w="992"/>
        <w:gridCol w:w="2268"/>
        <w:gridCol w:w="1207"/>
      </w:tblGrid>
      <w:tr>
        <w:trPr>
          <w:trHeight w:val="646" w:hRule="exact"/>
        </w:trPr>
        <w:tc>
          <w:tcPr>
            <w:tcW w:w="137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24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2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120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55" w:right="4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46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40.21</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31.66</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熊  俊</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32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茅  宁</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62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3.13</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钱卫民</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葛兹俊</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26.62</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周振娟</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41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33.82</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李宝亮</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36.03</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汪梦余</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47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38.15</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蒋  悦</w:t>
            </w:r>
          </w:p>
        </w:tc>
        <w:tc>
          <w:tcPr>
            <w:tcW w:w="2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43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15.51</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0" w:hRule="exact"/>
        </w:trPr>
        <w:tc>
          <w:tcPr>
            <w:tcW w:w="137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245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5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393.38</w:t>
            </w:r>
          </w:p>
        </w:tc>
        <w:tc>
          <w:tcPr>
            <w:tcW w:w="1207"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505" w:right="0"/>
              <w:jc w:val="left"/>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sz w:val="12"/>
          <w:szCs w:val="12"/>
        </w:rPr>
      </w:pPr>
    </w:p>
    <w:p>
      <w:pPr>
        <w:spacing w:before="44"/>
        <w:ind w:left="1494" w:right="1121" w:firstLine="0"/>
        <w:jc w:val="left"/>
        <w:rPr>
          <w:rFonts w:ascii="宋体" w:hAnsi="宋体" w:cs="宋体" w:eastAsia="宋体" w:hint="default"/>
          <w:sz w:val="18"/>
          <w:szCs w:val="18"/>
        </w:rPr>
      </w:pPr>
      <w:r>
        <w:rPr>
          <w:rFonts w:ascii="宋体" w:hAnsi="宋体" w:cs="宋体" w:eastAsia="宋体" w:hint="default"/>
          <w:sz w:val="18"/>
          <w:szCs w:val="18"/>
        </w:rPr>
        <w:t>备注：王海俊、戴晓东、邱卫东、周振娟、汪梦余、蒋悦的薪酬中包含了股权激励。</w:t>
      </w:r>
    </w:p>
    <w:p>
      <w:pPr>
        <w:spacing w:line="240" w:lineRule="auto" w:before="11"/>
        <w:rPr>
          <w:rFonts w:ascii="宋体" w:hAnsi="宋体" w:cs="宋体" w:eastAsia="宋体" w:hint="default"/>
          <w:sz w:val="15"/>
          <w:szCs w:val="15"/>
        </w:rPr>
      </w:pPr>
    </w:p>
    <w:p>
      <w:pPr>
        <w:pStyle w:val="BodyText"/>
        <w:spacing w:line="240" w:lineRule="auto" w:before="0"/>
        <w:ind w:right="1121"/>
        <w:jc w:val="left"/>
      </w:pPr>
      <w:r>
        <w:rPr/>
        <w:t>公司董事、高级管理人员报告期内被授予的股权激励情况</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866"/>
        <w:gridCol w:w="1262"/>
        <w:gridCol w:w="708"/>
        <w:gridCol w:w="637"/>
        <w:gridCol w:w="870"/>
        <w:gridCol w:w="870"/>
        <w:gridCol w:w="870"/>
        <w:gridCol w:w="870"/>
        <w:gridCol w:w="870"/>
        <w:gridCol w:w="870"/>
        <w:gridCol w:w="869"/>
      </w:tblGrid>
      <w:tr>
        <w:trPr>
          <w:trHeight w:val="1351" w:hRule="exact"/>
        </w:trPr>
        <w:tc>
          <w:tcPr>
            <w:tcW w:w="86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姓名</w:t>
            </w:r>
          </w:p>
        </w:tc>
        <w:tc>
          <w:tcPr>
            <w:tcW w:w="12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41"/>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21" w:right="65"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8"/>
                <w:sz w:val="18"/>
                <w:szCs w:val="18"/>
              </w:rPr>
              <w:t>格（元</w:t>
            </w:r>
            <w:r>
              <w:rPr>
                <w:rFonts w:ascii="宋体" w:hAnsi="宋体" w:cs="宋体" w:eastAsia="宋体" w:hint="default"/>
                <w:spacing w:val="-18"/>
                <w:sz w:val="18"/>
                <w:szCs w:val="18"/>
              </w:rPr>
              <w:t>/</w:t>
            </w:r>
            <w:r>
              <w:rPr>
                <w:rFonts w:ascii="宋体" w:hAnsi="宋体" w:cs="宋体" w:eastAsia="宋体" w:hint="default"/>
                <w:spacing w:val="-18"/>
                <w:sz w:val="18"/>
                <w:szCs w:val="18"/>
              </w:rPr>
              <w:t>股</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firstLine="1"/>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宋体" w:hAnsi="宋体" w:cs="宋体" w:eastAsia="宋体" w:hint="default"/>
                <w:sz w:val="18"/>
                <w:szCs w:val="18"/>
              </w:rPr>
              <w:t>/</w:t>
            </w:r>
          </w:p>
          <w:p>
            <w:pPr>
              <w:pStyle w:val="TableParagraph"/>
              <w:spacing w:line="196" w:lineRule="exact" w:before="20"/>
              <w:ind w:left="1"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5"/>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5"/>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68" w:right="65"/>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22" w:right="20" w:firstLine="1"/>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宋体" w:hAnsi="宋体" w:cs="宋体" w:eastAsia="宋体" w:hint="default"/>
                <w:sz w:val="18"/>
                <w:szCs w:val="18"/>
              </w:rPr>
              <w:t>/ </w:t>
            </w:r>
            <w:r>
              <w:rPr>
                <w:rFonts w:ascii="宋体" w:hAnsi="宋体" w:cs="宋体" w:eastAsia="宋体" w:hint="default"/>
                <w:sz w:val="18"/>
                <w:szCs w:val="18"/>
              </w:rPr>
              <w:t>股）</w:t>
            </w:r>
          </w:p>
        </w:tc>
        <w:tc>
          <w:tcPr>
            <w:tcW w:w="86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56"/>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7"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董事、总经理</w:t>
            </w:r>
          </w:p>
        </w:tc>
        <w:tc>
          <w:tcPr>
            <w:tcW w:w="70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300,000</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sz w:val="18"/>
              </w:rPr>
              <w:t>19.48</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450,000</w:t>
            </w:r>
          </w:p>
        </w:tc>
      </w:tr>
      <w:tr>
        <w:trPr>
          <w:trHeight w:val="719"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9" w:firstLine="62"/>
              <w:jc w:val="left"/>
              <w:rPr>
                <w:rFonts w:ascii="宋体" w:hAnsi="宋体" w:cs="宋体" w:eastAsia="宋体" w:hint="default"/>
                <w:sz w:val="18"/>
                <w:szCs w:val="18"/>
              </w:rPr>
            </w:pPr>
            <w:r>
              <w:rPr>
                <w:rFonts w:ascii="宋体" w:hAnsi="宋体" w:cs="宋体" w:eastAsia="宋体" w:hint="default"/>
                <w:sz w:val="18"/>
                <w:szCs w:val="18"/>
              </w:rPr>
              <w:t>董事、副总经 </w:t>
            </w:r>
            <w:r>
              <w:rPr>
                <w:rFonts w:ascii="宋体" w:hAnsi="宋体" w:cs="宋体" w:eastAsia="宋体" w:hint="default"/>
                <w:spacing w:val="-8"/>
                <w:sz w:val="18"/>
                <w:szCs w:val="18"/>
              </w:rPr>
              <w:t>理、董事会秘书</w:t>
            </w:r>
          </w:p>
        </w:tc>
        <w:tc>
          <w:tcPr>
            <w:tcW w:w="70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6.99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160,000</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sz w:val="18"/>
              </w:rPr>
              <w:t>19.48</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240,000</w:t>
            </w:r>
          </w:p>
        </w:tc>
      </w:tr>
      <w:tr>
        <w:trPr>
          <w:trHeight w:val="407"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pacing w:val="-8"/>
                <w:sz w:val="18"/>
                <w:szCs w:val="18"/>
              </w:rPr>
              <w:t>董事、副总经理</w:t>
            </w:r>
          </w:p>
        </w:tc>
        <w:tc>
          <w:tcPr>
            <w:tcW w:w="70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6.99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115,000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115,000</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85" w:right="0"/>
              <w:jc w:val="left"/>
              <w:rPr>
                <w:rFonts w:ascii="宋体" w:hAnsi="宋体" w:cs="宋体" w:eastAsia="宋体" w:hint="default"/>
                <w:sz w:val="18"/>
                <w:szCs w:val="18"/>
              </w:rPr>
            </w:pPr>
            <w:r>
              <w:rPr>
                <w:rFonts w:ascii="宋体"/>
                <w:sz w:val="18"/>
              </w:rPr>
              <w:t>19.48</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172,500</w:t>
            </w:r>
          </w:p>
        </w:tc>
      </w:tr>
      <w:tr>
        <w:trPr>
          <w:trHeight w:val="408"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周振娟</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6.99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80,000</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85" w:right="0"/>
              <w:jc w:val="left"/>
              <w:rPr>
                <w:rFonts w:ascii="宋体" w:hAnsi="宋体" w:cs="宋体" w:eastAsia="宋体" w:hint="default"/>
                <w:sz w:val="18"/>
                <w:szCs w:val="18"/>
              </w:rPr>
            </w:pPr>
            <w:r>
              <w:rPr>
                <w:rFonts w:ascii="宋体"/>
                <w:sz w:val="18"/>
              </w:rPr>
              <w:t>19.48</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120,000</w:t>
            </w:r>
          </w:p>
        </w:tc>
      </w:tr>
      <w:tr>
        <w:trPr>
          <w:trHeight w:val="407"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汪梦余</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90,000</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sz w:val="18"/>
              </w:rPr>
              <w:t>19.48</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135,000</w:t>
            </w:r>
          </w:p>
        </w:tc>
      </w:tr>
      <w:tr>
        <w:trPr>
          <w:trHeight w:val="759" w:hRule="exact"/>
        </w:trPr>
        <w:tc>
          <w:tcPr>
            <w:tcW w:w="8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蒋悦</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1"/>
              <w:ind w:left="172" w:right="173"/>
              <w:jc w:val="left"/>
              <w:rPr>
                <w:rFonts w:ascii="宋体" w:hAnsi="宋体" w:cs="宋体" w:eastAsia="宋体" w:hint="default"/>
                <w:sz w:val="18"/>
                <w:szCs w:val="18"/>
              </w:rPr>
            </w:pPr>
            <w:r>
              <w:rPr>
                <w:rFonts w:ascii="宋体" w:hAnsi="宋体" w:cs="宋体" w:eastAsia="宋体" w:hint="default"/>
                <w:sz w:val="18"/>
                <w:szCs w:val="18"/>
              </w:rPr>
              <w:t>原副总经理 董事会秘书</w:t>
            </w:r>
          </w:p>
        </w:tc>
        <w:tc>
          <w:tcPr>
            <w:tcW w:w="70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6.99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100,000</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宋体"/>
                <w:sz w:val="18"/>
              </w:rPr>
              <w:t>19.48</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86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845,000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845,000</w:t>
            </w:r>
          </w:p>
        </w:tc>
        <w:tc>
          <w:tcPr>
            <w:tcW w:w="870" w:type="dxa"/>
            <w:tcBorders>
              <w:top w:val="single" w:sz="6" w:space="0" w:color="000000"/>
              <w:left w:val="single" w:sz="6" w:space="0" w:color="000000"/>
              <w:bottom w:val="single" w:sz="6" w:space="0" w:color="000000"/>
              <w:right w:val="single" w:sz="9" w:space="0" w:color="D2D2D2"/>
            </w:tcBorders>
          </w:tcPr>
          <w:p>
            <w:pPr>
              <w:pStyle w:val="TableParagraph"/>
              <w:spacing w:line="240" w:lineRule="auto" w:before="52"/>
              <w:ind w:right="14"/>
              <w:jc w:val="right"/>
              <w:rPr>
                <w:rFonts w:ascii="宋体" w:hAnsi="宋体" w:cs="宋体" w:eastAsia="宋体" w:hint="default"/>
                <w:sz w:val="18"/>
                <w:szCs w:val="18"/>
              </w:rPr>
            </w:pPr>
            <w:r>
              <w:rPr>
                <w:rFonts w:ascii="宋体"/>
                <w:sz w:val="18"/>
              </w:rPr>
              <w:t>0</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sz w:val="18"/>
              </w:rPr>
              <w:t>--</w:t>
            </w:r>
          </w:p>
        </w:tc>
        <w:tc>
          <w:tcPr>
            <w:tcW w:w="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1,117,500</w:t>
            </w:r>
          </w:p>
        </w:tc>
      </w:tr>
      <w:tr>
        <w:trPr>
          <w:trHeight w:val="416" w:hRule="exact"/>
        </w:trPr>
        <w:tc>
          <w:tcPr>
            <w:tcW w:w="86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备注</w:t>
            </w:r>
          </w:p>
        </w:tc>
        <w:tc>
          <w:tcPr>
            <w:tcW w:w="8698" w:type="dxa"/>
            <w:gridSpan w:val="10"/>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73"/>
              <w:ind w:left="369"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1"/>
                <w:sz w:val="18"/>
                <w:szCs w:val="18"/>
              </w:rPr>
              <w:t>，</w:t>
            </w:r>
            <w:r>
              <w:rPr>
                <w:rFonts w:ascii="宋体" w:hAnsi="宋体" w:cs="宋体" w:eastAsia="宋体" w:hint="default"/>
                <w:sz w:val="18"/>
                <w:szCs w:val="18"/>
              </w:rPr>
              <w:t>公司</w:t>
            </w:r>
            <w:r>
              <w:rPr>
                <w:rFonts w:ascii="宋体" w:hAnsi="宋体" w:cs="宋体" w:eastAsia="宋体" w:hint="default"/>
                <w:spacing w:val="1"/>
                <w:sz w:val="18"/>
                <w:szCs w:val="18"/>
              </w:rPr>
              <w:t>披</w:t>
            </w:r>
            <w:r>
              <w:rPr>
                <w:rFonts w:ascii="宋体" w:hAnsi="宋体" w:cs="宋体" w:eastAsia="宋体" w:hint="default"/>
                <w:sz w:val="18"/>
                <w:szCs w:val="18"/>
              </w:rPr>
              <w:t>露</w:t>
            </w:r>
            <w:r>
              <w:rPr>
                <w:rFonts w:ascii="宋体" w:hAnsi="宋体" w:cs="宋体" w:eastAsia="宋体" w:hint="default"/>
                <w:spacing w:val="-11"/>
                <w:sz w:val="18"/>
                <w:szCs w:val="18"/>
              </w:rPr>
              <w:t>了</w:t>
            </w: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年度权益分派实施公告</w:t>
            </w:r>
            <w:r>
              <w:rPr>
                <w:rFonts w:ascii="宋体" w:hAnsi="宋体" w:cs="宋体" w:eastAsia="宋体" w:hint="default"/>
                <w:spacing w:val="-101"/>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宋体" w:hAnsi="宋体" w:cs="宋体" w:eastAsia="宋体" w:hint="default"/>
                <w:sz w:val="18"/>
                <w:szCs w:val="18"/>
              </w:rPr>
              <w:t>2017-042</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公司以资本公</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1"/>
        <w:rPr>
          <w:rFonts w:ascii="宋体" w:hAnsi="宋体" w:cs="宋体" w:eastAsia="宋体" w:hint="default"/>
          <w:sz w:val="28"/>
          <w:szCs w:val="28"/>
        </w:rPr>
      </w:pPr>
    </w:p>
    <w:p>
      <w:pPr>
        <w:spacing w:line="1106" w:lineRule="exact"/>
        <w:ind w:left="1118"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79.7pt;height:55.35pt;mso-position-horizontal-relative:char;mso-position-vertical-relative:line" coordorigin="0,0" coordsize="9594,1107">
            <v:group style="position:absolute;left:30;top:45;width:844;height:1017" coordorigin="30,45" coordsize="844,1017">
              <v:shape style="position:absolute;left:30;top:45;width:844;height:1017" coordorigin="30,45" coordsize="844,1017" path="m30,1061l874,1061,874,45,30,45,30,1061xe" filled="true" fillcolor="#d2d2d2" stroked="false">
                <v:path arrowok="t"/>
                <v:fill type="solid"/>
              </v:shape>
            </v:group>
            <v:group style="position:absolute;left:30;top:15;width:844;height:30" coordorigin="30,15" coordsize="844,30">
              <v:shape style="position:absolute;left:30;top:15;width:844;height:30" coordorigin="30,15" coordsize="844,30" path="m30,45l874,45,874,15,30,15,30,45xe" filled="true" fillcolor="#000000" stroked="false">
                <v:path arrowok="t"/>
                <v:fill type="solid"/>
              </v:shape>
            </v:group>
            <v:group style="position:absolute;left:874;top:30;width:30;height:2" coordorigin="874,30" coordsize="30,2">
              <v:shape style="position:absolute;left:874;top:30;width:30;height:2" coordorigin="874,30" coordsize="30,0" path="m874,30l904,30e" filled="false" stroked="true" strokeweight="1.5pt" strokecolor="#000000">
                <v:path arrowok="t"/>
              </v:shape>
            </v:group>
            <v:group style="position:absolute;left:904;top:30;width:8660;height:2" coordorigin="904,30" coordsize="8660,2">
              <v:shape style="position:absolute;left:904;top:30;width:8660;height:2" coordorigin="904,30" coordsize="8660,0" path="m904,30l9564,30e" filled="false" stroked="true" strokeweight="1.5pt" strokecolor="#000000">
                <v:path arrowok="t"/>
              </v:shape>
            </v:group>
            <v:group style="position:absolute;left:15;top:15;width:2;height:1077" coordorigin="15,15" coordsize="2,1077">
              <v:shape style="position:absolute;left:15;top:15;width:2;height:1077" coordorigin="15,15" coordsize="0,1077" path="m15,15l15,1091e" filled="false" stroked="true" strokeweight="1.5pt" strokecolor="#000000">
                <v:path arrowok="t"/>
              </v:shape>
            </v:group>
            <v:group style="position:absolute;left:30;top:1076;width:844;height:2" coordorigin="30,1076" coordsize="844,2">
              <v:shape style="position:absolute;left:30;top:1076;width:844;height:2" coordorigin="30,1076" coordsize="844,0" path="m30,1076l874,1076e" filled="false" stroked="true" strokeweight="1.5pt" strokecolor="#000000">
                <v:path arrowok="t"/>
              </v:shape>
            </v:group>
            <v:group style="position:absolute;left:881;top:45;width:2;height:1017" coordorigin="881,45" coordsize="2,1017">
              <v:shape style="position:absolute;left:881;top:45;width:2;height:1017" coordorigin="881,45" coordsize="0,1017" path="m881,45l881,1061e" filled="false" stroked="true" strokeweight=".72pt" strokecolor="#000000">
                <v:path arrowok="t"/>
              </v:shape>
            </v:group>
            <v:group style="position:absolute;left:874;top:1076;width:30;height:2" coordorigin="874,1076" coordsize="30,2">
              <v:shape style="position:absolute;left:874;top:1076;width:30;height:2" coordorigin="874,1076" coordsize="30,0" path="m874,1076l904,1076e" filled="false" stroked="true" strokeweight="1.5pt" strokecolor="#000000">
                <v:path arrowok="t"/>
              </v:shape>
            </v:group>
            <v:group style="position:absolute;left:904;top:1076;width:8660;height:2" coordorigin="904,1076" coordsize="8660,2">
              <v:shape style="position:absolute;left:904;top:1076;width:8660;height:2" coordorigin="904,1076" coordsize="8660,0" path="m904,1076l9564,1076e" filled="false" stroked="true" strokeweight="1.5pt" strokecolor="#000000">
                <v:path arrowok="t"/>
              </v:shape>
            </v:group>
            <v:group style="position:absolute;left:9579;top:15;width:2;height:1077" coordorigin="9579,15" coordsize="2,1077">
              <v:shape style="position:absolute;left:9579;top:15;width:2;height:1077" coordorigin="9579,15" coordsize="0,1077" path="m9579,15l9579,1091e" filled="false" stroked="true" strokeweight="1.5pt" strokecolor="#000000">
                <v:path arrowok="t"/>
              </v:shape>
              <v:shape style="position:absolute;left:881;top:30;width:8698;height:1047" type="#_x0000_t202" filled="false" stroked="false">
                <v:textbox inset="0,0,0,0">
                  <w:txbxContent>
                    <w:p>
                      <w:pPr>
                        <w:spacing w:before="26"/>
                        <w:ind w:left="27" w:right="0" w:firstLine="0"/>
                        <w:jc w:val="left"/>
                        <w:rPr>
                          <w:rFonts w:ascii="宋体" w:hAnsi="宋体" w:cs="宋体" w:eastAsia="宋体" w:hint="default"/>
                          <w:sz w:val="18"/>
                          <w:szCs w:val="18"/>
                        </w:rPr>
                      </w:pPr>
                      <w:r>
                        <w:rPr>
                          <w:rFonts w:ascii="宋体" w:hAnsi="宋体" w:cs="宋体" w:eastAsia="宋体" w:hint="default"/>
                          <w:sz w:val="18"/>
                          <w:szCs w:val="18"/>
                        </w:rPr>
                        <w:t>积金向全体股东每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股，上述人员持有的限制性股股票数量同比例增加；</w:t>
                      </w:r>
                    </w:p>
                    <w:p>
                      <w:pPr>
                        <w:spacing w:line="319" w:lineRule="auto" w:before="115"/>
                        <w:ind w:left="27" w:right="27" w:firstLine="450"/>
                        <w:jc w:val="left"/>
                        <w:rPr>
                          <w:rFonts w:ascii="宋体" w:hAnsi="宋体" w:cs="宋体" w:eastAsia="宋体" w:hint="default"/>
                          <w:sz w:val="18"/>
                          <w:szCs w:val="18"/>
                        </w:rPr>
                      </w:pPr>
                      <w:r>
                        <w:rPr>
                          <w:rFonts w:ascii="宋体" w:hAnsi="宋体" w:cs="宋体" w:eastAsia="宋体" w:hint="default"/>
                          <w:sz w:val="18"/>
                          <w:szCs w:val="18"/>
                        </w:rPr>
                        <w:t>②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5"/>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披露</w:t>
                      </w:r>
                      <w:r>
                        <w:rPr>
                          <w:rFonts w:ascii="宋体" w:hAnsi="宋体" w:cs="宋体" w:eastAsia="宋体" w:hint="default"/>
                          <w:spacing w:val="-15"/>
                          <w:sz w:val="18"/>
                          <w:szCs w:val="18"/>
                        </w:rPr>
                        <w:t>了</w:t>
                      </w:r>
                      <w:r>
                        <w:rPr>
                          <w:rFonts w:ascii="宋体" w:hAnsi="宋体" w:cs="宋体" w:eastAsia="宋体" w:hint="default"/>
                          <w:sz w:val="18"/>
                          <w:szCs w:val="18"/>
                        </w:rPr>
                        <w:t>《关于限制性股票激励计划第一个解锁期解锁条件成就的公告</w:t>
                      </w:r>
                      <w:r>
                        <w:rPr>
                          <w:rFonts w:ascii="宋体" w:hAnsi="宋体" w:cs="宋体" w:eastAsia="宋体" w:hint="default"/>
                          <w:spacing w:val="-105"/>
                          <w:sz w:val="18"/>
                          <w:szCs w:val="18"/>
                        </w:rPr>
                        <w:t>》</w:t>
                      </w:r>
                      <w:r>
                        <w:rPr>
                          <w:rFonts w:ascii="宋体" w:hAnsi="宋体" w:cs="宋体" w:eastAsia="宋体" w:hint="default"/>
                          <w:sz w:val="18"/>
                          <w:szCs w:val="18"/>
                        </w:rPr>
                        <w:t>（公告</w:t>
                      </w:r>
                      <w:r>
                        <w:rPr>
                          <w:rFonts w:ascii="宋体" w:hAnsi="宋体" w:cs="宋体" w:eastAsia="宋体" w:hint="default"/>
                          <w:sz w:val="18"/>
                          <w:szCs w:val="18"/>
                        </w:rPr>
                        <w:t> 编号</w:t>
                      </w:r>
                      <w:r>
                        <w:rPr>
                          <w:rFonts w:ascii="宋体" w:hAnsi="宋体" w:cs="宋体" w:eastAsia="宋体" w:hint="default"/>
                          <w:spacing w:val="-46"/>
                          <w:sz w:val="18"/>
                          <w:szCs w:val="18"/>
                        </w:rPr>
                        <w:t> </w:t>
                      </w:r>
                      <w:r>
                        <w:rPr>
                          <w:rFonts w:ascii="宋体" w:hAnsi="宋体" w:cs="宋体" w:eastAsia="宋体" w:hint="default"/>
                          <w:sz w:val="18"/>
                          <w:szCs w:val="18"/>
                        </w:rPr>
                        <w:t>2017-049</w:t>
                      </w:r>
                      <w:r>
                        <w:rPr>
                          <w:rFonts w:ascii="宋体" w:hAnsi="宋体" w:cs="宋体" w:eastAsia="宋体" w:hint="default"/>
                          <w:spacing w:val="-90"/>
                          <w:sz w:val="18"/>
                          <w:szCs w:val="18"/>
                        </w:rPr>
                        <w:t>）</w:t>
                      </w:r>
                      <w:r>
                        <w:rPr>
                          <w:rFonts w:ascii="宋体" w:hAnsi="宋体" w:cs="宋体" w:eastAsia="宋体" w:hint="default"/>
                          <w:sz w:val="18"/>
                          <w:szCs w:val="18"/>
                        </w:rPr>
                        <w:t>，本期可解锁数量为第一个解锁期可解锁数量即获授限制性股票总数的</w:t>
                      </w:r>
                      <w:r>
                        <w:rPr>
                          <w:rFonts w:ascii="宋体" w:hAnsi="宋体" w:cs="宋体" w:eastAsia="宋体" w:hint="default"/>
                          <w:spacing w:val="-45"/>
                          <w:sz w:val="18"/>
                          <w:szCs w:val="18"/>
                        </w:rPr>
                        <w:t> </w:t>
                      </w:r>
                      <w:r>
                        <w:rPr>
                          <w:rFonts w:ascii="宋体" w:hAnsi="宋体" w:cs="宋体" w:eastAsia="宋体" w:hint="default"/>
                          <w:sz w:val="18"/>
                          <w:szCs w:val="18"/>
                        </w:rPr>
                        <w:t>40%</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21"/>
          <w:sz w:val="20"/>
          <w:szCs w:val="20"/>
        </w:rPr>
      </w:r>
    </w:p>
    <w:p>
      <w:pPr>
        <w:spacing w:line="240" w:lineRule="auto" w:before="12"/>
        <w:rPr>
          <w:rFonts w:ascii="宋体" w:hAnsi="宋体" w:cs="宋体" w:eastAsia="宋体" w:hint="default"/>
          <w:sz w:val="11"/>
          <w:szCs w:val="11"/>
        </w:rPr>
      </w:pPr>
    </w:p>
    <w:p>
      <w:pPr>
        <w:pStyle w:val="Heading2"/>
        <w:spacing w:line="240" w:lineRule="auto" w:before="26"/>
        <w:ind w:right="1121"/>
        <w:jc w:val="left"/>
        <w:rPr>
          <w:b w:val="0"/>
          <w:bCs w:val="0"/>
        </w:rPr>
      </w:pPr>
      <w:bookmarkStart w:name="五、公司员工情况" w:id="125"/>
      <w:bookmarkEnd w:id="125"/>
      <w:r>
        <w:rPr>
          <w:b w:val="0"/>
          <w:bCs w:val="0"/>
        </w:rPr>
      </w:r>
      <w:r>
        <w:rPr/>
        <w:t>五、公司员工情况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1133" w:right="1121"/>
        <w:jc w:val="left"/>
        <w:rPr>
          <w:b w:val="0"/>
          <w:bCs w:val="0"/>
        </w:rPr>
      </w:pPr>
      <w:bookmarkStart w:name="1、员工数量、专业构成及教育程度" w:id="126"/>
      <w:bookmarkEnd w:id="126"/>
      <w:r>
        <w:rPr>
          <w:b w:val="0"/>
          <w:bCs w:val="0"/>
        </w:rPr>
      </w:r>
      <w:r>
        <w:rPr>
          <w:rFonts w:ascii="宋体" w:hAnsi="宋体" w:cs="宋体" w:eastAsia="宋体" w:hint="default"/>
        </w:rPr>
        <w:t>1</w:t>
      </w:r>
      <w:r>
        <w:rPr/>
        <w:t>、员工数量、专业构成及教育程度</w:t>
      </w:r>
      <w:r>
        <w:rPr>
          <w:b w:val="0"/>
          <w:bCs w:val="0"/>
        </w:rPr>
      </w:r>
    </w:p>
    <w:p>
      <w:pPr>
        <w:spacing w:line="240" w:lineRule="auto" w:before="6"/>
        <w:rPr>
          <w:rFonts w:ascii="宋体" w:hAnsi="宋体" w:cs="宋体" w:eastAsia="宋体" w:hint="default"/>
          <w:b/>
          <w:bCs/>
          <w:sz w:val="10"/>
          <w:szCs w:val="10"/>
        </w:rPr>
      </w:pPr>
    </w:p>
    <w:p>
      <w:pPr>
        <w:spacing w:before="44"/>
        <w:ind w:left="0" w:right="1319" w:firstLine="0"/>
        <w:jc w:val="right"/>
        <w:rPr>
          <w:rFonts w:ascii="宋体" w:hAnsi="宋体" w:cs="宋体" w:eastAsia="宋体" w:hint="default"/>
          <w:sz w:val="18"/>
          <w:szCs w:val="18"/>
        </w:rPr>
      </w:pPr>
      <w:r>
        <w:rPr>
          <w:rFonts w:ascii="宋体" w:hAnsi="宋体" w:cs="宋体" w:eastAsia="宋体" w:hint="default"/>
          <w:sz w:val="18"/>
          <w:szCs w:val="18"/>
        </w:rPr>
        <w:t>单位：人</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4779"/>
        <w:gridCol w:w="4790"/>
      </w:tblGrid>
      <w:tr>
        <w:trPr>
          <w:trHeight w:val="415" w:hRule="exact"/>
        </w:trPr>
        <w:tc>
          <w:tcPr>
            <w:tcW w:w="47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4790"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262</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683</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945</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当期领取薪酬员工总人数</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945</w:t>
            </w:r>
          </w:p>
        </w:tc>
      </w:tr>
      <w:tr>
        <w:trPr>
          <w:trHeight w:val="415"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w:t>
            </w:r>
          </w:p>
        </w:tc>
      </w:tr>
      <w:tr>
        <w:trPr>
          <w:trHeight w:val="392"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5"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8"/>
              <w:ind w:left="15"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356</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53</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273</w:t>
            </w:r>
          </w:p>
        </w:tc>
      </w:tr>
      <w:tr>
        <w:trPr>
          <w:trHeight w:val="408"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w:t>
            </w:r>
          </w:p>
        </w:tc>
      </w:tr>
      <w:tr>
        <w:trPr>
          <w:trHeight w:val="406"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83</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113</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工程人员</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39</w:t>
            </w:r>
          </w:p>
        </w:tc>
      </w:tr>
      <w:tr>
        <w:trPr>
          <w:trHeight w:val="415"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945</w:t>
            </w:r>
          </w:p>
        </w:tc>
      </w:tr>
      <w:tr>
        <w:trPr>
          <w:trHeight w:val="391"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15" w:hRule="exact"/>
        </w:trPr>
        <w:tc>
          <w:tcPr>
            <w:tcW w:w="47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9"/>
              <w:ind w:left="1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251</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226</w:t>
            </w:r>
          </w:p>
        </w:tc>
      </w:tr>
      <w:tr>
        <w:trPr>
          <w:trHeight w:val="407" w:hRule="exact"/>
        </w:trPr>
        <w:tc>
          <w:tcPr>
            <w:tcW w:w="47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432</w:t>
            </w:r>
          </w:p>
        </w:tc>
      </w:tr>
      <w:tr>
        <w:trPr>
          <w:trHeight w:val="414" w:hRule="exact"/>
        </w:trPr>
        <w:tc>
          <w:tcPr>
            <w:tcW w:w="47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945</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2、薪酬政策" w:id="127"/>
      <w:bookmarkEnd w:id="127"/>
      <w:r>
        <w:rPr>
          <w:b w:val="0"/>
          <w:bCs w:val="0"/>
        </w:rPr>
      </w:r>
      <w:r>
        <w:rPr>
          <w:rFonts w:ascii="宋体" w:hAnsi="宋体" w:cs="宋体" w:eastAsia="宋体" w:hint="default"/>
        </w:rPr>
        <w:t>2</w:t>
      </w:r>
      <w:r>
        <w:rPr/>
        <w:t>、薪酬政策</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33" w:firstLine="420"/>
        <w:jc w:val="both"/>
      </w:pPr>
      <w:r>
        <w:rPr>
          <w:spacing w:val="-1"/>
        </w:rPr>
        <w:t>公司建立公平、公正的薪酬管理体系，发挥薪酬的激励作用，调动员工的工作积极性，促进员工和企</w:t>
      </w:r>
      <w:r>
        <w:rPr/>
        <w:t> </w:t>
      </w:r>
      <w:r>
        <w:rPr>
          <w:spacing w:val="-1"/>
        </w:rPr>
        <w:t>业的共同发展。在公司《薪酬管理制度》中明确可以采用年薪制、结构工资制等分配机制，员工薪酬由岗</w:t>
      </w:r>
      <w:r>
        <w:rPr>
          <w:spacing w:val="-83"/>
        </w:rPr>
        <w:t> </w:t>
      </w:r>
      <w:r>
        <w:rPr>
          <w:spacing w:val="-83"/>
        </w:rPr>
      </w:r>
      <w:r>
        <w:rPr>
          <w:spacing w:val="-1"/>
        </w:rPr>
        <w:t>位工资、绩效工资、各种补贴、考核奖金等部分组成，其中岗位工资根据岗位技能高低，岗位职责轻重等</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left"/>
      </w:pPr>
      <w:r>
        <w:rPr>
          <w:spacing w:val="-3"/>
        </w:rPr>
        <w:t>因素具体确定，并随着岗位、工作年限、专业职称、绩效考核的变化而变动，体现一定的灵活性和激励性。</w:t>
      </w:r>
    </w:p>
    <w:p>
      <w:pPr>
        <w:spacing w:line="240" w:lineRule="auto" w:before="9"/>
        <w:rPr>
          <w:rFonts w:ascii="宋体" w:hAnsi="宋体" w:cs="宋体" w:eastAsia="宋体" w:hint="default"/>
          <w:sz w:val="26"/>
          <w:szCs w:val="26"/>
        </w:rPr>
      </w:pPr>
    </w:p>
    <w:p>
      <w:pPr>
        <w:pStyle w:val="Heading4"/>
        <w:spacing w:line="240" w:lineRule="auto"/>
        <w:ind w:left="1133" w:right="1121"/>
        <w:jc w:val="left"/>
        <w:rPr>
          <w:b w:val="0"/>
          <w:bCs w:val="0"/>
        </w:rPr>
      </w:pPr>
      <w:bookmarkStart w:name="3、培训计划" w:id="128"/>
      <w:bookmarkEnd w:id="128"/>
      <w:r>
        <w:rPr>
          <w:b w:val="0"/>
          <w:bCs w:val="0"/>
        </w:rPr>
      </w:r>
      <w:r>
        <w:rPr>
          <w:rFonts w:ascii="宋体" w:hAnsi="宋体" w:cs="宋体" w:eastAsia="宋体" w:hint="default"/>
        </w:rPr>
        <w:t>3</w:t>
      </w:r>
      <w:r>
        <w:rPr/>
        <w:t>、培训计划</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30" w:firstLine="420"/>
        <w:jc w:val="both"/>
      </w:pPr>
      <w:r>
        <w:rPr>
          <w:spacing w:val="-1"/>
        </w:rPr>
        <w:t>报告期内，公司人力资源部根据公司战略目标及管理方向，结合各部门具体培训需求制定《光一科技</w:t>
      </w:r>
      <w:r>
        <w:rPr/>
        <w:t> </w:t>
      </w:r>
      <w:r>
        <w:rPr>
          <w:rFonts w:ascii="宋体" w:hAnsi="宋体" w:cs="宋体" w:eastAsia="宋体" w:hint="default"/>
          <w:spacing w:val="-1"/>
        </w:rPr>
        <w:t>2017</w:t>
      </w:r>
      <w:r>
        <w:rPr>
          <w:spacing w:val="-1"/>
        </w:rPr>
        <w:t>年培训计划》，从员工春训、安全管理、质量管理、制度管理、知识产权、知识技能、上岗培训、资</w:t>
      </w:r>
      <w:r>
        <w:rPr>
          <w:spacing w:val="-85"/>
        </w:rPr>
        <w:t> </w:t>
      </w:r>
      <w:r>
        <w:rPr>
          <w:spacing w:val="-85"/>
        </w:rPr>
      </w:r>
      <w:r>
        <w:rPr>
          <w:spacing w:val="-1"/>
        </w:rPr>
        <w:t>质证书培训等方面有针对性的开展各项培训工作。同时，在公司内部积极鼓励“能者为师”，通过内部分</w:t>
      </w:r>
      <w:r>
        <w:rPr>
          <w:spacing w:val="-82"/>
        </w:rPr>
        <w:t> </w:t>
      </w:r>
      <w:r>
        <w:rPr>
          <w:spacing w:val="-82"/>
        </w:rPr>
      </w:r>
      <w:r>
        <w:rPr/>
        <w:t>享机制开展办公软件、新</w:t>
      </w:r>
      <w:r>
        <w:rPr>
          <w:rFonts w:ascii="宋体" w:hAnsi="宋体" w:cs="宋体" w:eastAsia="宋体" w:hint="default"/>
        </w:rPr>
        <w:t>/</w:t>
      </w:r>
      <w:r>
        <w:rPr/>
        <w:t>老产品基础知识、班组质量体系管理、焊接工艺等专项培训课程，培训内容具</w:t>
      </w:r>
      <w:r>
        <w:rPr>
          <w:spacing w:val="-32"/>
        </w:rPr>
        <w:t> </w:t>
      </w:r>
      <w:r>
        <w:rPr>
          <w:spacing w:val="-32"/>
        </w:rPr>
      </w:r>
      <w:r>
        <w:rPr/>
        <w:t>体，培训形式多样，既激发员工广泛参与的积极性，又有效提升员工的综合素质和工作技能。</w:t>
      </w:r>
    </w:p>
    <w:p>
      <w:pPr>
        <w:spacing w:line="240" w:lineRule="auto" w:before="6"/>
        <w:rPr>
          <w:rFonts w:ascii="宋体" w:hAnsi="宋体" w:cs="宋体" w:eastAsia="宋体" w:hint="default"/>
          <w:sz w:val="15"/>
          <w:szCs w:val="15"/>
        </w:rPr>
      </w:pPr>
    </w:p>
    <w:p>
      <w:pPr>
        <w:pStyle w:val="Heading4"/>
        <w:spacing w:line="240" w:lineRule="auto"/>
        <w:ind w:right="1121"/>
        <w:jc w:val="left"/>
        <w:rPr>
          <w:b w:val="0"/>
          <w:bCs w:val="0"/>
        </w:rPr>
      </w:pPr>
      <w:bookmarkStart w:name="4、劳务外包情况" w:id="129"/>
      <w:bookmarkEnd w:id="129"/>
      <w:r>
        <w:rPr>
          <w:b w:val="0"/>
          <w:bCs w:val="0"/>
        </w:rPr>
      </w:r>
      <w:r>
        <w:rPr>
          <w:rFonts w:ascii="宋体" w:hAnsi="宋体" w:cs="宋体" w:eastAsia="宋体" w:hint="default"/>
        </w:rPr>
        <w:t>4</w:t>
      </w:r>
      <w:r>
        <w:rPr/>
        <w:t>、劳务外包情况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9"/>
        <w:rPr>
          <w:rFonts w:ascii="宋体" w:hAnsi="宋体" w:cs="宋体" w:eastAsia="宋体" w:hint="default"/>
          <w:sz w:val="16"/>
          <w:szCs w:val="16"/>
        </w:rPr>
      </w:pPr>
    </w:p>
    <w:p>
      <w:pPr>
        <w:spacing w:before="0"/>
        <w:ind w:left="0" w:right="156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415"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120,646</w:t>
            </w:r>
          </w:p>
        </w:tc>
      </w:tr>
      <w:tr>
        <w:trPr>
          <w:trHeight w:val="414"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劳务外包支付的报酬总额</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2,833,737.00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0"/>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left="1133" w:right="0"/>
        <w:jc w:val="both"/>
        <w:rPr>
          <w:b w:val="0"/>
          <w:bCs w:val="0"/>
        </w:rPr>
      </w:pPr>
      <w:bookmarkStart w:name="一、公司治理的基本状况" w:id="132"/>
      <w:bookmarkEnd w:id="132"/>
      <w:r>
        <w:rPr>
          <w:b w:val="0"/>
          <w:bCs w:val="0"/>
        </w:rPr>
      </w:r>
      <w:r>
        <w:rPr/>
        <w:t>一、公司治理的基本状况</w:t>
      </w:r>
      <w:r>
        <w:rPr>
          <w:b w:val="0"/>
          <w:bCs w:val="0"/>
        </w:rPr>
      </w:r>
    </w:p>
    <w:p>
      <w:pPr>
        <w:pStyle w:val="BodyText"/>
        <w:spacing w:line="408" w:lineRule="auto" w:before="177"/>
        <w:ind w:right="1131" w:firstLine="424"/>
        <w:jc w:val="both"/>
      </w:pPr>
      <w:r>
        <w:rPr>
          <w:spacing w:val="-1"/>
        </w:rPr>
        <w:t>报告期内，公司严格按照《公司法》、《证券法》、《上市公司信息披露管理办法》、《深圳证券交</w:t>
      </w:r>
      <w:r>
        <w:rPr/>
        <w:t> </w:t>
      </w:r>
      <w:r>
        <w:rPr>
          <w:spacing w:val="-1"/>
        </w:rPr>
        <w:t>易所创业板股票上市规则》、《深圳证券交易所创业板上市公司规范运作指引》等有关法律、法规、业务</w:t>
      </w:r>
      <w:r>
        <w:rPr>
          <w:spacing w:val="-83"/>
        </w:rPr>
        <w:t> </w:t>
      </w:r>
      <w:r>
        <w:rPr>
          <w:spacing w:val="-83"/>
        </w:rPr>
      </w:r>
      <w:r>
        <w:rPr>
          <w:spacing w:val="-1"/>
        </w:rPr>
        <w:t>规则的有关规定，结合公司实际情况，进一步完善公司规范运作管理制度，加强内部控制制度建设，不断</w:t>
      </w:r>
      <w:r>
        <w:rPr>
          <w:spacing w:val="-86"/>
        </w:rPr>
        <w:t> </w:t>
      </w:r>
      <w:r>
        <w:rPr>
          <w:spacing w:val="-86"/>
        </w:rPr>
      </w:r>
      <w:r>
        <w:rPr/>
        <w:t>规范公司运作，提高公司治理水平。</w:t>
      </w:r>
    </w:p>
    <w:p>
      <w:pPr>
        <w:pStyle w:val="BodyText"/>
        <w:spacing w:line="408" w:lineRule="auto"/>
        <w:ind w:left="1558" w:right="1132"/>
        <w:jc w:val="left"/>
      </w:pPr>
      <w:r>
        <w:rPr>
          <w:rFonts w:ascii="宋体" w:hAnsi="宋体" w:cs="宋体" w:eastAsia="宋体" w:hint="default"/>
        </w:rPr>
        <w:t>1</w:t>
      </w:r>
      <w:r>
        <w:rPr/>
        <w:t>、关于股东与股东大会 </w:t>
      </w:r>
      <w:r>
        <w:rPr>
          <w:spacing w:val="-1"/>
        </w:rPr>
        <w:t>公司股东按照《公司章程》、《上市公司股东大会规则》的规定按其所持股份享有平等地位，并承担</w:t>
      </w:r>
    </w:p>
    <w:p>
      <w:pPr>
        <w:pStyle w:val="BodyText"/>
        <w:spacing w:line="408" w:lineRule="auto"/>
        <w:ind w:right="1133"/>
        <w:jc w:val="both"/>
      </w:pPr>
      <w:r>
        <w:rPr>
          <w:spacing w:val="-1"/>
        </w:rPr>
        <w:t>相应义务。公司治理结构能够保证所有股东，特别是中小股东享有平等地位，确保股东合法行使权益，保</w:t>
      </w:r>
      <w:r>
        <w:rPr>
          <w:spacing w:val="-85"/>
        </w:rPr>
        <w:t> </w:t>
      </w:r>
      <w:r>
        <w:rPr>
          <w:spacing w:val="-85"/>
        </w:rPr>
      </w:r>
      <w:r>
        <w:rPr/>
        <w:t>证了股东对公司重大事项的知情权、参与权、表决权。</w:t>
      </w:r>
    </w:p>
    <w:p>
      <w:pPr>
        <w:pStyle w:val="BodyText"/>
        <w:spacing w:line="408" w:lineRule="auto"/>
        <w:ind w:right="1132" w:firstLine="424"/>
        <w:jc w:val="both"/>
      </w:pPr>
      <w:r>
        <w:rPr>
          <w:spacing w:val="-1"/>
        </w:rPr>
        <w:t>报告期内的股东大会均由董事会召集召开，并聘请律师进行现场见证，根据相关法律、行政法规、部</w:t>
      </w:r>
      <w:r>
        <w:rPr/>
        <w:t> </w:t>
      </w:r>
      <w:r>
        <w:rPr>
          <w:spacing w:val="-1"/>
        </w:rPr>
        <w:t>门规章、规范性文件及公司章程等规定应由股东大会表决的事项均按照相应的权限审批后交由股东大会审</w:t>
      </w:r>
      <w:r>
        <w:rPr>
          <w:spacing w:val="-81"/>
        </w:rPr>
        <w:t> </w:t>
      </w:r>
      <w:r>
        <w:rPr>
          <w:spacing w:val="-81"/>
        </w:rPr>
      </w:r>
      <w:r>
        <w:rPr/>
        <w:t>议，不存在越权审批或先实施后审议的情况。</w:t>
      </w:r>
    </w:p>
    <w:p>
      <w:pPr>
        <w:pStyle w:val="BodyText"/>
        <w:spacing w:line="408" w:lineRule="auto"/>
        <w:ind w:left="1558" w:right="1121"/>
        <w:jc w:val="left"/>
      </w:pPr>
      <w:r>
        <w:rPr>
          <w:rFonts w:ascii="宋体" w:hAnsi="宋体" w:cs="宋体" w:eastAsia="宋体" w:hint="default"/>
        </w:rPr>
        <w:t>2</w:t>
      </w:r>
      <w:r>
        <w:rPr/>
        <w:t>、关于公司与控股股东 </w:t>
      </w:r>
      <w:r>
        <w:rPr>
          <w:spacing w:val="-1"/>
        </w:rPr>
        <w:t>公司具有独立的业务经营能力及完备的运营体系，在业务、人员、资产、机构、财务上均独立于控股</w:t>
      </w:r>
    </w:p>
    <w:p>
      <w:pPr>
        <w:pStyle w:val="BodyText"/>
        <w:spacing w:line="408" w:lineRule="auto"/>
        <w:ind w:right="1131"/>
        <w:jc w:val="both"/>
      </w:pPr>
      <w:r>
        <w:rPr>
          <w:spacing w:val="-1"/>
        </w:rPr>
        <w:t>股东，公司董事会、监事会和内部机构根据其议事规则或公司制度独立运作。公司控股股东能严格规范自</w:t>
      </w:r>
      <w:r>
        <w:rPr>
          <w:spacing w:val="-83"/>
        </w:rPr>
        <w:t> </w:t>
      </w:r>
      <w:r>
        <w:rPr>
          <w:spacing w:val="-83"/>
        </w:rPr>
      </w:r>
      <w:r>
        <w:rPr/>
        <w:t>己的行为，通过股东大会依法行使其权利并承担义务，没有超越股东大会直接或间接干预公司经营活动</w:t>
      </w:r>
    </w:p>
    <w:p>
      <w:pPr>
        <w:pStyle w:val="BodyText"/>
        <w:spacing w:line="408" w:lineRule="auto"/>
        <w:ind w:left="1558" w:right="1132"/>
        <w:jc w:val="left"/>
      </w:pPr>
      <w:r>
        <w:rPr>
          <w:rFonts w:ascii="宋体" w:hAnsi="宋体" w:cs="宋体" w:eastAsia="宋体" w:hint="default"/>
        </w:rPr>
        <w:t>3</w:t>
      </w:r>
      <w:r>
        <w:rPr/>
        <w:t>、关于董事和董事会 </w:t>
      </w:r>
      <w:r>
        <w:rPr>
          <w:spacing w:val="-1"/>
        </w:rPr>
        <w:t>公司严格按照《公司法》、《公司章程》规定的选聘程序选举董事，公司董事会人数和人员构成符合</w:t>
      </w:r>
    </w:p>
    <w:p>
      <w:pPr>
        <w:pStyle w:val="BodyText"/>
        <w:spacing w:line="408" w:lineRule="auto"/>
        <w:ind w:left="1134" w:right="1131"/>
        <w:jc w:val="both"/>
      </w:pPr>
      <w:r>
        <w:rPr>
          <w:spacing w:val="-1"/>
        </w:rPr>
        <w:t>法律、法规的要求，各位董事能够以认真负责的态度出席董事会和股东大会，从公司和全体股东的利益出</w:t>
      </w:r>
      <w:r>
        <w:rPr>
          <w:spacing w:val="-83"/>
        </w:rPr>
        <w:t> </w:t>
      </w:r>
      <w:r>
        <w:rPr>
          <w:spacing w:val="-83"/>
        </w:rPr>
      </w:r>
      <w:r>
        <w:rPr>
          <w:spacing w:val="-1"/>
        </w:rPr>
        <w:t>发，忠实履行职责，积极参加有关培训，学习有关法律法规，促进董事会规范运作和科学决策。董事会会</w:t>
      </w:r>
      <w:r>
        <w:rPr>
          <w:spacing w:val="-82"/>
        </w:rPr>
        <w:t> </w:t>
      </w:r>
      <w:r>
        <w:rPr>
          <w:spacing w:val="-82"/>
        </w:rPr>
      </w:r>
      <w:r>
        <w:rPr/>
        <w:t>议程序符合规定，会议记录完整、真实，会议相关信息披露及时、准确、充分。</w:t>
      </w:r>
    </w:p>
    <w:p>
      <w:pPr>
        <w:pStyle w:val="BodyText"/>
        <w:spacing w:line="408" w:lineRule="auto"/>
        <w:ind w:left="1558" w:right="1132"/>
        <w:jc w:val="left"/>
      </w:pPr>
      <w:r>
        <w:rPr>
          <w:rFonts w:ascii="宋体" w:hAnsi="宋体" w:cs="宋体" w:eastAsia="宋体" w:hint="default"/>
        </w:rPr>
        <w:t>4</w:t>
      </w:r>
      <w:r>
        <w:rPr/>
        <w:t>、关于监事和监事会 </w:t>
      </w:r>
      <w:r>
        <w:rPr>
          <w:spacing w:val="-1"/>
        </w:rPr>
        <w:t>公司严格按照《公司法》、《公司章程》规定的选聘程序选举监事，公司监事会人数和人员构成符合</w:t>
      </w:r>
    </w:p>
    <w:p>
      <w:pPr>
        <w:pStyle w:val="BodyText"/>
        <w:spacing w:line="408" w:lineRule="auto"/>
        <w:ind w:left="1134" w:right="1131"/>
        <w:jc w:val="both"/>
      </w:pPr>
      <w:r>
        <w:rPr>
          <w:spacing w:val="-1"/>
        </w:rPr>
        <w:t>法律、法规的要求。各位监事能够认真学习有关法律法规、积极参加相关业务培训、认真履行职责，本着</w:t>
      </w:r>
      <w:r>
        <w:rPr>
          <w:spacing w:val="-83"/>
        </w:rPr>
        <w:t> </w:t>
      </w:r>
      <w:r>
        <w:rPr>
          <w:spacing w:val="-83"/>
        </w:rPr>
      </w:r>
      <w:r>
        <w:rPr>
          <w:spacing w:val="-1"/>
        </w:rPr>
        <w:t>对全体股东尤其是中小股东负责的精神，对公司重大事项、关联交易、财务状况以及董事和其他高级管理</w:t>
      </w:r>
      <w:r>
        <w:rPr>
          <w:spacing w:val="-83"/>
        </w:rPr>
        <w:t> </w:t>
      </w:r>
      <w:r>
        <w:rPr>
          <w:spacing w:val="-83"/>
        </w:rPr>
      </w:r>
      <w:r>
        <w:rPr/>
        <w:t>人员履行职责的合法、合规性进行监督并发表独立意见，维护公司及股东的合法权益。</w:t>
      </w:r>
    </w:p>
    <w:p>
      <w:pPr>
        <w:pStyle w:val="BodyText"/>
        <w:spacing w:line="240" w:lineRule="auto"/>
        <w:ind w:left="1558" w:right="1121"/>
        <w:jc w:val="left"/>
      </w:pPr>
      <w:r>
        <w:rPr>
          <w:rFonts w:ascii="宋体" w:hAnsi="宋体" w:cs="宋体" w:eastAsia="宋体" w:hint="default"/>
        </w:rPr>
        <w:t>5</w:t>
      </w:r>
      <w:r>
        <w:rPr/>
        <w:t>、关于绩效评价与激励约束机制</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2" w:firstLine="424"/>
        <w:jc w:val="both"/>
      </w:pPr>
      <w:r>
        <w:rPr>
          <w:spacing w:val="-1"/>
        </w:rPr>
        <w:t>公司建立并逐步完善公正、透明的董事、监事、高级管理人员的绩效评价标准与激励约束机制；高级</w:t>
      </w:r>
      <w:r>
        <w:rPr/>
        <w:t> 管理人员的聘任公开、透明，符合相关法律、法规的规定。</w:t>
      </w:r>
    </w:p>
    <w:p>
      <w:pPr>
        <w:pStyle w:val="BodyText"/>
        <w:spacing w:line="408" w:lineRule="auto"/>
        <w:ind w:left="1558" w:right="1013"/>
        <w:jc w:val="left"/>
      </w:pPr>
      <w:r>
        <w:rPr>
          <w:rFonts w:ascii="宋体" w:hAnsi="宋体" w:cs="宋体" w:eastAsia="宋体" w:hint="default"/>
        </w:rPr>
        <w:t>6</w:t>
      </w:r>
      <w:r>
        <w:rPr/>
        <w:t>、关于相关利益者 </w:t>
      </w:r>
      <w:r>
        <w:rPr>
          <w:spacing w:val="-3"/>
        </w:rPr>
        <w:t>公司能够充分尊重和维护相关利益者的合法权益，积极与相关利益者合作，加强与各方的沟通和交流，</w:t>
      </w:r>
    </w:p>
    <w:p>
      <w:pPr>
        <w:pStyle w:val="BodyText"/>
        <w:spacing w:line="408" w:lineRule="auto"/>
        <w:ind w:left="1558" w:right="1132" w:hanging="425"/>
        <w:jc w:val="left"/>
      </w:pPr>
      <w:r>
        <w:rPr/>
        <w:t>实现社会、股东、公司、员工等各方利益的协调平衡，推动公司持续、稳定、健康发展。 </w:t>
      </w:r>
      <w:r>
        <w:rPr>
          <w:rFonts w:ascii="宋体" w:hAnsi="宋体" w:cs="宋体" w:eastAsia="宋体" w:hint="default"/>
        </w:rPr>
        <w:t>7</w:t>
      </w:r>
      <w:r>
        <w:rPr/>
        <w:t>、关于信息披露与透明度 </w:t>
      </w:r>
      <w:r>
        <w:rPr>
          <w:spacing w:val="-1"/>
        </w:rPr>
        <w:t>公司严格按照有关法律法规和《公司信息披露管理制度》的规定，加强信息披露事务管理，履行信息</w:t>
      </w:r>
    </w:p>
    <w:p>
      <w:pPr>
        <w:pStyle w:val="BodyText"/>
        <w:spacing w:line="408" w:lineRule="auto"/>
        <w:ind w:left="1134" w:right="1133"/>
        <w:jc w:val="both"/>
      </w:pPr>
      <w:r>
        <w:rPr>
          <w:spacing w:val="-1"/>
        </w:rPr>
        <w:t>披露义务，并指定《证券时报》、《中国证券报》和中国证监会指定的创业板信息披露网站（巨潮资讯网</w:t>
      </w:r>
      <w:r>
        <w:rPr>
          <w:spacing w:val="-85"/>
        </w:rPr>
        <w:t> </w:t>
      </w:r>
      <w:r>
        <w:rPr>
          <w:spacing w:val="-85"/>
        </w:rPr>
      </w:r>
      <w:r>
        <w:rPr>
          <w:rFonts w:ascii="宋体" w:hAnsi="宋体" w:cs="宋体" w:eastAsia="宋体" w:hint="default"/>
          <w:color w:val="6C6C6C"/>
          <w:spacing w:val="-85"/>
        </w:rPr>
      </w:r>
      <w:hyperlink r:id="rId12">
        <w:r>
          <w:rPr>
            <w:rFonts w:ascii="宋体" w:hAnsi="宋体" w:cs="宋体" w:eastAsia="宋体" w:hint="default"/>
            <w:color w:val="6C6C6C"/>
            <w:u w:val="single" w:color="6C6C6C"/>
          </w:rPr>
          <w:t>www.cninfo.com.cn</w:t>
        </w:r>
        <w:r>
          <w:rPr>
            <w:rFonts w:ascii="宋体" w:hAnsi="宋体" w:cs="宋体" w:eastAsia="宋体" w:hint="default"/>
            <w:color w:val="6C6C6C"/>
          </w:rPr>
        </w:r>
      </w:hyperlink>
      <w:r>
        <w:rPr/>
        <w:t>）为公司信息披露报纸和网站，真实、准确、及时、完整的披露信息，确保所有投资</w:t>
      </w:r>
      <w:r>
        <w:rPr>
          <w:spacing w:val="-36"/>
        </w:rPr>
        <w:t> </w:t>
      </w:r>
      <w:r>
        <w:rPr>
          <w:spacing w:val="-36"/>
        </w:rPr>
      </w:r>
      <w:r>
        <w:rPr/>
        <w:t>者公平获取公司信息。</w:t>
      </w:r>
    </w:p>
    <w:p>
      <w:pPr>
        <w:pStyle w:val="BodyText"/>
        <w:spacing w:line="240" w:lineRule="auto"/>
        <w:ind w:left="1558" w:right="1121"/>
        <w:jc w:val="left"/>
      </w:pPr>
      <w:r>
        <w:rPr/>
        <w:t>报告期内，公司未发生信息披露不规范而受到监管部门批评的情形。</w:t>
      </w:r>
    </w:p>
    <w:p>
      <w:pPr>
        <w:spacing w:line="240" w:lineRule="auto" w:before="9"/>
        <w:rPr>
          <w:rFonts w:ascii="宋体" w:hAnsi="宋体" w:cs="宋体" w:eastAsia="宋体" w:hint="default"/>
          <w:sz w:val="26"/>
          <w:szCs w:val="26"/>
        </w:rPr>
      </w:pPr>
    </w:p>
    <w:p>
      <w:pPr>
        <w:pStyle w:val="BodyText"/>
        <w:spacing w:line="240" w:lineRule="auto" w:before="0"/>
        <w:ind w:left="1134" w:right="1121"/>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14"/>
          <w:szCs w:val="14"/>
        </w:rPr>
      </w:pPr>
    </w:p>
    <w:p>
      <w:pPr>
        <w:pStyle w:val="BodyText"/>
        <w:spacing w:line="408" w:lineRule="auto" w:before="0"/>
        <w:ind w:left="1134" w:right="2352"/>
        <w:jc w:val="left"/>
      </w:pPr>
      <w:r>
        <w:rPr/>
        <w:t>□ 是 √ 否 公司治理的实际状况与中国证监会发布的有关上市公司治理的规范性文件不存在重大差异。</w:t>
      </w:r>
    </w:p>
    <w:p>
      <w:pPr>
        <w:pStyle w:val="Heading2"/>
        <w:spacing w:line="240" w:lineRule="auto" w:before="179"/>
        <w:ind w:right="1121"/>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pStyle w:val="BodyText"/>
        <w:spacing w:line="408" w:lineRule="auto" w:before="177"/>
        <w:ind w:left="1134" w:right="1131" w:firstLine="441"/>
        <w:jc w:val="both"/>
      </w:pPr>
      <w:r>
        <w:rPr>
          <w:spacing w:val="-2"/>
        </w:rPr>
        <w:t>报告期内，公司严格按照《公司法》、《证券法》、《公司章程》及证券监管部门的有关规定正确处</w:t>
      </w:r>
      <w:r>
        <w:rPr/>
        <w:t> </w:t>
      </w:r>
      <w:r>
        <w:rPr>
          <w:spacing w:val="-1"/>
        </w:rPr>
        <w:t>理与控股股东的关系。公司控股股东根据法律法规的要求，严格规范自己的行为，依法行使其权利并承担</w:t>
      </w:r>
      <w:r>
        <w:rPr>
          <w:spacing w:val="-83"/>
        </w:rPr>
        <w:t> </w:t>
      </w:r>
      <w:r>
        <w:rPr>
          <w:spacing w:val="-83"/>
        </w:rPr>
      </w:r>
      <w:r>
        <w:rPr>
          <w:spacing w:val="-1"/>
        </w:rPr>
        <w:t>相应义务，没有超越股东大会直接或间接地干预公司的决策和经营活动。公司拥有独立完整的业务和自主</w:t>
      </w:r>
      <w:r>
        <w:rPr>
          <w:spacing w:val="-81"/>
        </w:rPr>
        <w:t> </w:t>
      </w:r>
      <w:r>
        <w:rPr>
          <w:spacing w:val="-81"/>
        </w:rPr>
      </w:r>
      <w:r>
        <w:rPr>
          <w:spacing w:val="-1"/>
        </w:rPr>
        <w:t>经营能力，在业务、人员、资产、机构、财务上独立于控股股东，公司董事会、监事会和内部机构独立运</w:t>
      </w:r>
      <w:r>
        <w:rPr>
          <w:spacing w:val="-85"/>
        </w:rPr>
        <w:t> </w:t>
      </w:r>
      <w:r>
        <w:rPr>
          <w:spacing w:val="-85"/>
        </w:rPr>
      </w:r>
      <w:r>
        <w:rPr/>
        <w:t>作。</w:t>
      </w:r>
    </w:p>
    <w:p>
      <w:pPr>
        <w:pStyle w:val="Heading2"/>
        <w:spacing w:line="240" w:lineRule="auto" w:before="179"/>
        <w:ind w:right="1121"/>
        <w:jc w:val="left"/>
        <w:rPr>
          <w:b w:val="0"/>
          <w:bCs w:val="0"/>
        </w:rPr>
      </w:pPr>
      <w:bookmarkStart w:name="三、同业竞争情况" w:id="134"/>
      <w:bookmarkEnd w:id="134"/>
      <w:r>
        <w:rPr>
          <w:b w:val="0"/>
          <w:bCs w:val="0"/>
        </w:rPr>
      </w:r>
      <w:r>
        <w:rPr/>
        <w:t>三、同业竞争情况</w:t>
      </w:r>
      <w:r>
        <w:rPr>
          <w:b w:val="0"/>
          <w:bCs w:val="0"/>
        </w:rPr>
      </w:r>
    </w:p>
    <w:p>
      <w:pPr>
        <w:pStyle w:val="BodyText"/>
        <w:spacing w:line="240" w:lineRule="auto" w:before="177"/>
        <w:ind w:right="1121"/>
        <w:jc w:val="left"/>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21"/>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pStyle w:val="Heading4"/>
        <w:spacing w:line="240" w:lineRule="auto" w:before="177"/>
        <w:ind w:left="1133" w:right="1121"/>
        <w:jc w:val="left"/>
        <w:rPr>
          <w:b w:val="0"/>
          <w:bCs w:val="0"/>
        </w:rPr>
      </w:pPr>
      <w:bookmarkStart w:name="1、本报告期股东大会情况" w:id="136"/>
      <w:bookmarkEnd w:id="136"/>
      <w:r>
        <w:rPr>
          <w:b w:val="0"/>
          <w:bCs w:val="0"/>
        </w:rPr>
      </w: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9"/>
          <w:szCs w:val="9"/>
        </w:rPr>
      </w:pPr>
    </w:p>
    <w:tbl>
      <w:tblPr>
        <w:tblW w:w="0" w:type="auto"/>
        <w:jc w:val="left"/>
        <w:tblInd w:w="1118"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15" w:hRule="exact"/>
        </w:trPr>
        <w:tc>
          <w:tcPr>
            <w:tcW w:w="159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9"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52.09%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http://www.cninfo</w:t>
            </w:r>
          </w:p>
          <w:p>
            <w:pPr>
              <w:pStyle w:val="TableParagraph"/>
              <w:spacing w:line="240" w:lineRule="auto" w:before="77"/>
              <w:ind w:left="21" w:right="0"/>
              <w:jc w:val="left"/>
              <w:rPr>
                <w:rFonts w:ascii="宋体" w:hAnsi="宋体" w:cs="宋体" w:eastAsia="宋体" w:hint="default"/>
                <w:sz w:val="18"/>
                <w:szCs w:val="18"/>
              </w:rPr>
            </w:pPr>
            <w:r>
              <w:rPr>
                <w:rFonts w:ascii="宋体"/>
                <w:sz w:val="18"/>
              </w:rPr>
              <w:t>.com.cn</w:t>
            </w:r>
          </w:p>
        </w:tc>
      </w:tr>
      <w:tr>
        <w:trPr>
          <w:trHeight w:val="727" w:hRule="exact"/>
        </w:trPr>
        <w:tc>
          <w:tcPr>
            <w:tcW w:w="1597"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51"/>
              <w:ind w:left="422" w:right="47" w:hanging="382"/>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52.97%</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sz w:val="18"/>
              </w:rPr>
              <w:t>http://www.cninfo</w:t>
            </w:r>
          </w:p>
          <w:p>
            <w:pPr>
              <w:pStyle w:val="TableParagraph"/>
              <w:spacing w:line="240" w:lineRule="auto" w:before="77"/>
              <w:ind w:left="21" w:right="0"/>
              <w:jc w:val="left"/>
              <w:rPr>
                <w:rFonts w:ascii="宋体" w:hAnsi="宋体" w:cs="宋体" w:eastAsia="宋体" w:hint="default"/>
                <w:sz w:val="18"/>
                <w:szCs w:val="18"/>
              </w:rPr>
            </w:pPr>
            <w:r>
              <w:rPr>
                <w:rFonts w:ascii="宋体"/>
                <w:sz w:val="18"/>
              </w:rPr>
              <w:t>.com.cn</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4"/>
        <w:spacing w:line="240" w:lineRule="auto"/>
        <w:ind w:left="1133" w:right="1121"/>
        <w:jc w:val="left"/>
        <w:rPr>
          <w:b w:val="0"/>
          <w:bCs w:val="0"/>
        </w:rPr>
      </w:pPr>
      <w:bookmarkStart w:name="2、表决权恢复的优先股股东请求召开临时股东大会" w:id="137"/>
      <w:bookmarkEnd w:id="137"/>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21"/>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pStyle w:val="Heading4"/>
        <w:spacing w:line="240" w:lineRule="auto" w:before="177"/>
        <w:ind w:left="1133" w:right="1121"/>
        <w:jc w:val="left"/>
        <w:rPr>
          <w:b w:val="0"/>
          <w:bCs w:val="0"/>
        </w:rPr>
      </w:pPr>
      <w:bookmarkStart w:name="1、独立董事出席董事会及股东大会的情况" w:id="139"/>
      <w:bookmarkEnd w:id="139"/>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9"/>
          <w:szCs w:val="9"/>
        </w:rPr>
      </w:pPr>
    </w:p>
    <w:tbl>
      <w:tblPr>
        <w:tblW w:w="0" w:type="auto"/>
        <w:jc w:val="left"/>
        <w:tblInd w:w="1118" w:type="dxa"/>
        <w:tblLayout w:type="fixed"/>
        <w:tblCellMar>
          <w:top w:w="0" w:type="dxa"/>
          <w:left w:w="0" w:type="dxa"/>
          <w:bottom w:w="0" w:type="dxa"/>
          <w:right w:w="0" w:type="dxa"/>
        </w:tblCellMar>
        <w:tblLook w:val="01E0"/>
      </w:tblPr>
      <w:tblGrid>
        <w:gridCol w:w="1428"/>
        <w:gridCol w:w="1164"/>
        <w:gridCol w:w="1164"/>
        <w:gridCol w:w="1163"/>
        <w:gridCol w:w="1164"/>
        <w:gridCol w:w="1163"/>
        <w:gridCol w:w="1163"/>
        <w:gridCol w:w="1162"/>
      </w:tblGrid>
      <w:tr>
        <w:trPr>
          <w:trHeight w:val="419" w:hRule="exact"/>
        </w:trPr>
        <w:tc>
          <w:tcPr>
            <w:tcW w:w="9571" w:type="dxa"/>
            <w:gridSpan w:val="8"/>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950" w:hRule="exact"/>
        </w:trPr>
        <w:tc>
          <w:tcPr>
            <w:tcW w:w="14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04" w:right="33"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4" w:right="31"/>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04" w:right="32"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483" w:right="33"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93" w:right="24"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13"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茅  宁</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w:t>
            </w:r>
          </w:p>
        </w:tc>
      </w:tr>
      <w:tr>
        <w:trPr>
          <w:trHeight w:val="412" w:hRule="exact"/>
        </w:trPr>
        <w:tc>
          <w:tcPr>
            <w:tcW w:w="14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周友梅</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w:t>
            </w:r>
          </w:p>
        </w:tc>
      </w:tr>
      <w:tr>
        <w:trPr>
          <w:trHeight w:val="419" w:hRule="exact"/>
        </w:trPr>
        <w:tc>
          <w:tcPr>
            <w:tcW w:w="14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刘向明</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w:t>
            </w:r>
          </w:p>
        </w:tc>
        <w:tc>
          <w:tcPr>
            <w:tcW w:w="11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w:t>
            </w:r>
          </w:p>
        </w:tc>
      </w:tr>
    </w:tbl>
    <w:p>
      <w:pPr>
        <w:pStyle w:val="BodyText"/>
        <w:spacing w:line="240" w:lineRule="auto" w:before="63"/>
        <w:ind w:left="1134" w:right="1121"/>
        <w:jc w:val="left"/>
      </w:pPr>
      <w:r>
        <w:rPr/>
        <w:t>连续两次未亲自出席董事会的说明</w:t>
      </w:r>
    </w:p>
    <w:p>
      <w:pPr>
        <w:spacing w:line="240" w:lineRule="auto" w:before="10"/>
        <w:rPr>
          <w:rFonts w:ascii="宋体" w:hAnsi="宋体" w:cs="宋体" w:eastAsia="宋体" w:hint="default"/>
          <w:sz w:val="14"/>
          <w:szCs w:val="14"/>
        </w:rPr>
      </w:pPr>
    </w:p>
    <w:p>
      <w:pPr>
        <w:spacing w:line="408" w:lineRule="auto" w:before="0"/>
        <w:ind w:left="1134" w:right="664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独立董事对公司有关事项提出异议的情况" w:id="140"/>
      <w:bookmarkEnd w:id="140"/>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独立董事对公司有关事项是否提出异议</w:t>
      </w:r>
    </w:p>
    <w:p>
      <w:pPr>
        <w:spacing w:line="408" w:lineRule="auto" w:before="46"/>
        <w:ind w:left="1134" w:right="6372" w:firstLine="0"/>
        <w:jc w:val="left"/>
        <w:rPr>
          <w:rFonts w:ascii="宋体" w:hAnsi="宋体" w:cs="宋体" w:eastAsia="宋体" w:hint="default"/>
          <w:sz w:val="21"/>
          <w:szCs w:val="21"/>
        </w:rPr>
      </w:pPr>
      <w:r>
        <w:rPr>
          <w:rFonts w:ascii="宋体" w:hAnsi="宋体" w:cs="宋体" w:eastAsia="宋体" w:hint="default"/>
          <w:sz w:val="21"/>
          <w:szCs w:val="21"/>
        </w:rPr>
        <w:t>□ 是 √ 否 报告期内独立董事对公司有关事项未提出异议</w:t>
      </w:r>
      <w:r>
        <w:rPr>
          <w:rFonts w:ascii="宋体" w:hAnsi="宋体" w:cs="宋体" w:eastAsia="宋体" w:hint="default"/>
          <w:sz w:val="18"/>
          <w:szCs w:val="18"/>
        </w:rPr>
        <w:t>。</w:t>
      </w:r>
      <w:r>
        <w:rPr>
          <w:rFonts w:ascii="宋体" w:hAnsi="宋体" w:cs="宋体" w:eastAsia="宋体" w:hint="default"/>
          <w:sz w:val="18"/>
          <w:szCs w:val="18"/>
        </w:rPr>
        <w:t> </w:t>
      </w:r>
      <w:bookmarkStart w:name="3、独立董事履行职责的其他说明" w:id="141"/>
      <w:bookmarkEnd w:id="141"/>
      <w:r>
        <w:rPr>
          <w:rFonts w:ascii="宋体" w:hAnsi="宋体" w:cs="宋体" w:eastAsia="宋体" w:hint="default"/>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独立董事对公司有关建议是否被采纳</w:t>
      </w:r>
    </w:p>
    <w:p>
      <w:pPr>
        <w:pStyle w:val="BodyText"/>
        <w:spacing w:line="408" w:lineRule="auto"/>
        <w:ind w:left="1134" w:right="6132"/>
        <w:jc w:val="left"/>
      </w:pPr>
      <w:r>
        <w:rPr/>
        <w:t>√ 是 □ 否 独立董事对公司有关建议被采纳或未被采纳的说明</w:t>
      </w:r>
    </w:p>
    <w:p>
      <w:pPr>
        <w:pStyle w:val="BodyText"/>
        <w:spacing w:line="405" w:lineRule="auto"/>
        <w:ind w:right="1121" w:firstLine="300"/>
        <w:jc w:val="left"/>
        <w:rPr>
          <w:rFonts w:ascii="宋体" w:hAnsi="宋体" w:cs="宋体" w:eastAsia="宋体" w:hint="default"/>
          <w:sz w:val="24"/>
          <w:szCs w:val="24"/>
        </w:rPr>
      </w:pPr>
      <w:r>
        <w:rPr/>
        <w:t>报告期内，公司独立董事严格按照《独立董事工作制度》、《独立董事年报工作制度》等有关法律法 </w:t>
      </w:r>
      <w:r>
        <w:rPr>
          <w:spacing w:val="-1"/>
        </w:rPr>
        <w:t>规，认真履行职责，本着诚信勤勉义务，利用各自专业上的优势对公司收购资产、员工持股计划、股权激</w:t>
      </w:r>
      <w:r>
        <w:rPr>
          <w:spacing w:val="-83"/>
        </w:rPr>
        <w:t> </w:t>
      </w:r>
      <w:r>
        <w:rPr>
          <w:spacing w:val="-83"/>
        </w:rPr>
      </w:r>
      <w:r>
        <w:rPr>
          <w:spacing w:val="-1"/>
        </w:rPr>
        <w:t>励、聘任董事、高管、续聘会计师事务所等重要事项作出独立、客观、公正的判断，发表了独立意见，并</w:t>
      </w:r>
      <w:r>
        <w:rPr>
          <w:spacing w:val="-85"/>
        </w:rPr>
        <w:t> </w:t>
      </w:r>
      <w:r>
        <w:rPr>
          <w:spacing w:val="-85"/>
        </w:rPr>
      </w:r>
      <w:r>
        <w:rPr>
          <w:spacing w:val="-1"/>
        </w:rPr>
        <w:t>根据公司实际情况，科学审慎决策，给公司的经营管理、规范运作提出了合理的建议并均被得以采纳；为</w:t>
      </w:r>
      <w:r>
        <w:rPr>
          <w:spacing w:val="-85"/>
        </w:rPr>
        <w:t> </w:t>
      </w:r>
      <w:r>
        <w:rPr>
          <w:spacing w:val="-85"/>
        </w:rPr>
      </w:r>
      <w:r>
        <w:rPr/>
        <w:t>公司未来的健康发展出谋划策，切实维护了公司和股东尤其是社会公众股东的利益。 </w:t>
      </w:r>
      <w:bookmarkStart w:name="六、董事会下设专门委员会在报告期内履行职责情况" w:id="142"/>
      <w:bookmarkEnd w:id="142"/>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pStyle w:val="BodyText"/>
        <w:spacing w:line="408" w:lineRule="auto" w:before="11"/>
        <w:ind w:left="1553" w:right="2563"/>
        <w:jc w:val="left"/>
      </w:pPr>
      <w:r>
        <w:rPr/>
        <w:t>公司董事会下设审计委员、战略委员会及提名、薪酬与考核委员会三个专门委员会。 </w:t>
      </w:r>
      <w:r>
        <w:rPr>
          <w:rFonts w:ascii="宋体" w:hAnsi="宋体" w:cs="宋体" w:eastAsia="宋体" w:hint="default"/>
        </w:rPr>
        <w:t>1</w:t>
      </w:r>
      <w:r>
        <w:rPr/>
        <w:t>、审计委员会</w:t>
      </w:r>
    </w:p>
    <w:p>
      <w:pPr>
        <w:pStyle w:val="BodyText"/>
        <w:spacing w:line="408" w:lineRule="auto"/>
        <w:ind w:right="1121" w:firstLine="420"/>
        <w:jc w:val="left"/>
      </w:pPr>
      <w:r>
        <w:rPr>
          <w:spacing w:val="-1"/>
        </w:rPr>
        <w:t>报告期内，公司董事会审计委员会严格按照《董事会审计委员会工作细则》的相关要求开展工作，审</w:t>
      </w:r>
      <w:r>
        <w:rPr/>
        <w:t> 计委员会对公司定期报告等进行了审议。</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0" w:firstLine="420"/>
        <w:jc w:val="both"/>
      </w:pPr>
      <w:r>
        <w:rPr>
          <w:spacing w:val="-1"/>
        </w:rPr>
        <w:t>在年报审计工作中，审计委员会与审计机构协商确定年度财务报告审计工作时间安排，对公司财务报</w:t>
      </w:r>
      <w:r>
        <w:rPr/>
        <w:t> </w:t>
      </w:r>
      <w:r>
        <w:rPr>
          <w:spacing w:val="-1"/>
        </w:rPr>
        <w:t>表进行审阅并形成书面意见；督促审计工作进展，保持与审计会计师的联系和沟通，就审计过程中发现的</w:t>
      </w:r>
      <w:r>
        <w:rPr>
          <w:spacing w:val="-82"/>
        </w:rPr>
        <w:t> </w:t>
      </w:r>
      <w:r>
        <w:rPr>
          <w:spacing w:val="-82"/>
        </w:rPr>
      </w:r>
      <w:r>
        <w:rPr>
          <w:spacing w:val="-1"/>
        </w:rPr>
        <w:t>问题及时交换意见，确保审计的独立性和审计工作的如期完成。同时，对审计机构的年报审计工作进行总</w:t>
      </w:r>
      <w:r>
        <w:rPr>
          <w:spacing w:val="-83"/>
        </w:rPr>
        <w:t> </w:t>
      </w:r>
      <w:r>
        <w:rPr>
          <w:spacing w:val="-83"/>
        </w:rPr>
      </w:r>
      <w:r>
        <w:rPr/>
        <w:t>结和评价，建议续聘并形成决议提交董事会。</w:t>
      </w:r>
    </w:p>
    <w:p>
      <w:pPr>
        <w:pStyle w:val="BodyText"/>
        <w:spacing w:line="408" w:lineRule="auto"/>
        <w:ind w:left="1553" w:right="1121"/>
        <w:jc w:val="left"/>
      </w:pPr>
      <w:r>
        <w:rPr>
          <w:rFonts w:ascii="宋体" w:hAnsi="宋体" w:cs="宋体" w:eastAsia="宋体" w:hint="default"/>
        </w:rPr>
        <w:t>2</w:t>
      </w:r>
      <w:r>
        <w:rPr/>
        <w:t>、战略委员会 </w:t>
      </w:r>
      <w:r>
        <w:rPr>
          <w:spacing w:val="-1"/>
        </w:rPr>
        <w:t>报告期内，公司董事会战略委员会严格按照《董事会战略委员会实施细则》的相关要求开展工作，对</w:t>
      </w:r>
    </w:p>
    <w:p>
      <w:pPr>
        <w:pStyle w:val="BodyText"/>
        <w:spacing w:line="408" w:lineRule="auto"/>
        <w:ind w:left="1553" w:right="4663" w:hanging="420"/>
        <w:jc w:val="left"/>
      </w:pPr>
      <w:r>
        <w:rPr/>
        <w:t>公司长期发展战略规划进行研究，并从专业角度提出建议和意见。 </w:t>
      </w:r>
      <w:r>
        <w:rPr>
          <w:rFonts w:ascii="宋体" w:hAnsi="宋体" w:cs="宋体" w:eastAsia="宋体" w:hint="default"/>
        </w:rPr>
        <w:t>3</w:t>
      </w:r>
      <w:r>
        <w:rPr/>
        <w:t>、提名薪酬与考核委员会</w:t>
      </w:r>
    </w:p>
    <w:p>
      <w:pPr>
        <w:pStyle w:val="BodyText"/>
        <w:spacing w:line="408" w:lineRule="auto"/>
        <w:ind w:right="1110" w:firstLine="420"/>
        <w:jc w:val="both"/>
      </w:pPr>
      <w:r>
        <w:rPr/>
        <w:t>报告期内，公司董事会提名薪酬与考核委员会严格按照《董事会提名、薪酬与考核委员会工作细则》 </w:t>
      </w:r>
      <w:r>
        <w:rPr>
          <w:spacing w:val="-1"/>
        </w:rPr>
        <w:t>等相关规定，对公司的绩效考核程序、标准等进行审查和研究并提出建议，监督公司薪酬及绩效考核的执</w:t>
      </w:r>
      <w:r>
        <w:rPr>
          <w:spacing w:val="-83"/>
        </w:rPr>
        <w:t> </w:t>
      </w:r>
      <w:r>
        <w:rPr>
          <w:spacing w:val="-83"/>
        </w:rPr>
      </w:r>
      <w:r>
        <w:rPr/>
        <w:t>行。</w:t>
      </w:r>
    </w:p>
    <w:p>
      <w:pPr>
        <w:pStyle w:val="Heading2"/>
        <w:spacing w:line="240" w:lineRule="auto" w:before="179"/>
        <w:ind w:right="1121"/>
        <w:jc w:val="left"/>
        <w:rPr>
          <w:b w:val="0"/>
          <w:bCs w:val="0"/>
        </w:rPr>
      </w:pPr>
      <w:bookmarkStart w:name="七、监事会工作情况" w:id="143"/>
      <w:bookmarkEnd w:id="143"/>
      <w:r>
        <w:rPr>
          <w:b w:val="0"/>
          <w:bCs w:val="0"/>
        </w:rPr>
      </w:r>
      <w:r>
        <w:rPr/>
        <w:t>七、监事会工作情况</w:t>
      </w:r>
      <w:r>
        <w:rPr>
          <w:b w:val="0"/>
          <w:bCs w:val="0"/>
        </w:rPr>
      </w:r>
    </w:p>
    <w:p>
      <w:pPr>
        <w:pStyle w:val="BodyText"/>
        <w:spacing w:line="240" w:lineRule="auto" w:before="177"/>
        <w:ind w:right="1121"/>
        <w:jc w:val="left"/>
      </w:pPr>
      <w:r>
        <w:rPr/>
        <w:t>监事会在报告期内的监督活动中发现公司是否存在风险</w:t>
      </w:r>
    </w:p>
    <w:p>
      <w:pPr>
        <w:spacing w:line="240" w:lineRule="auto" w:before="10"/>
        <w:rPr>
          <w:rFonts w:ascii="宋体" w:hAnsi="宋体" w:cs="宋体" w:eastAsia="宋体" w:hint="default"/>
          <w:sz w:val="14"/>
          <w:szCs w:val="14"/>
        </w:rPr>
      </w:pPr>
    </w:p>
    <w:p>
      <w:pPr>
        <w:pStyle w:val="BodyText"/>
        <w:spacing w:line="408" w:lineRule="auto" w:before="0"/>
        <w:ind w:left="1134" w:right="6762"/>
        <w:jc w:val="left"/>
      </w:pPr>
      <w:r>
        <w:rPr/>
        <w:t>□ 是 √ 否 公司监事会对报告期内的监督事项无异议。</w:t>
      </w:r>
    </w:p>
    <w:p>
      <w:pPr>
        <w:pStyle w:val="Heading2"/>
        <w:spacing w:line="240" w:lineRule="auto" w:before="179"/>
        <w:ind w:right="1121"/>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pStyle w:val="BodyText"/>
        <w:spacing w:line="408" w:lineRule="auto" w:before="177"/>
        <w:ind w:left="1134" w:right="1130" w:firstLine="420"/>
        <w:jc w:val="both"/>
      </w:pPr>
      <w:r>
        <w:rPr>
          <w:spacing w:val="-1"/>
        </w:rPr>
        <w:t>按照《高级管理人员薪酬管理制度》的规定，公司高级管理人员的薪酬与考核以公司的经济效益为出</w:t>
      </w:r>
      <w:r>
        <w:rPr/>
        <w:t> </w:t>
      </w:r>
      <w:r>
        <w:rPr>
          <w:spacing w:val="-1"/>
        </w:rPr>
        <w:t>发点，根据公司年度经营计划和分管工作的工作目标，进行综合考核，公司提名、薪酬与考核委员会负责</w:t>
      </w:r>
      <w:r>
        <w:rPr>
          <w:spacing w:val="-86"/>
        </w:rPr>
        <w:t> </w:t>
      </w:r>
      <w:r>
        <w:rPr>
          <w:spacing w:val="-86"/>
        </w:rPr>
      </w:r>
      <w:r>
        <w:rPr>
          <w:spacing w:val="-1"/>
        </w:rPr>
        <w:t>对高级管理人员的工作能力、履职情况、责任目标完成情况进行考评，制定薪酬方案。报告期内，公司高</w:t>
      </w:r>
      <w:r>
        <w:rPr>
          <w:spacing w:val="-83"/>
        </w:rPr>
        <w:t> </w:t>
      </w:r>
      <w:r>
        <w:rPr>
          <w:spacing w:val="-83"/>
        </w:rPr>
      </w:r>
      <w:r>
        <w:rPr>
          <w:spacing w:val="-1"/>
        </w:rPr>
        <w:t>级管理人员能够严格按照《公司法》、《公司章程》及相关法律法规认真履行职责，积极落实公司股东大</w:t>
      </w:r>
      <w:r>
        <w:rPr>
          <w:spacing w:val="-82"/>
        </w:rPr>
        <w:t> </w:t>
      </w:r>
      <w:r>
        <w:rPr>
          <w:spacing w:val="-82"/>
        </w:rPr>
      </w:r>
      <w:r>
        <w:rPr>
          <w:spacing w:val="-1"/>
        </w:rPr>
        <w:t>会和董事会相关决议，认真履行了工作职责。公司各项考评及激励机制执行情况良好，起到了应有的激励</w:t>
      </w:r>
      <w:r>
        <w:rPr>
          <w:spacing w:val="-83"/>
        </w:rPr>
        <w:t> </w:t>
      </w:r>
      <w:r>
        <w:rPr>
          <w:spacing w:val="-83"/>
        </w:rPr>
      </w:r>
      <w:r>
        <w:rPr/>
        <w:t>和约束作用。</w:t>
      </w:r>
    </w:p>
    <w:p>
      <w:pPr>
        <w:pStyle w:val="Heading2"/>
        <w:spacing w:line="240" w:lineRule="auto" w:before="179"/>
        <w:ind w:right="1121"/>
        <w:jc w:val="left"/>
        <w:rPr>
          <w:b w:val="0"/>
          <w:bCs w:val="0"/>
        </w:rPr>
      </w:pPr>
      <w:bookmarkStart w:name="九、内部控制评价报告" w:id="145"/>
      <w:bookmarkEnd w:id="145"/>
      <w:r>
        <w:rPr>
          <w:b w:val="0"/>
          <w:bCs w:val="0"/>
        </w:rPr>
      </w:r>
      <w:r>
        <w:rPr/>
        <w:t>九、内部控制评价报告</w:t>
      </w:r>
      <w:r>
        <w:rPr>
          <w:b w:val="0"/>
          <w:bCs w:val="0"/>
        </w:rPr>
      </w:r>
    </w:p>
    <w:p>
      <w:pPr>
        <w:pStyle w:val="Heading4"/>
        <w:spacing w:line="240" w:lineRule="auto" w:before="177"/>
        <w:ind w:right="1121"/>
        <w:jc w:val="left"/>
        <w:rPr>
          <w:b w:val="0"/>
          <w:bCs w:val="0"/>
        </w:rPr>
      </w:pPr>
      <w:bookmarkStart w:name="1、报告期内发现的内部控制重大缺陷的具体情况" w:id="146"/>
      <w:bookmarkEnd w:id="146"/>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749" w:firstLine="0"/>
        <w:jc w:val="left"/>
        <w:rPr>
          <w:rFonts w:ascii="宋体" w:hAnsi="宋体" w:cs="宋体" w:eastAsia="宋体" w:hint="default"/>
          <w:sz w:val="21"/>
          <w:szCs w:val="21"/>
        </w:rPr>
      </w:pPr>
      <w:r>
        <w:rPr>
          <w:rFonts w:ascii="宋体" w:hAnsi="宋体" w:cs="宋体" w:eastAsia="宋体" w:hint="default"/>
          <w:sz w:val="21"/>
          <w:szCs w:val="21"/>
        </w:rPr>
        <w:t>□ 是 √ 否 </w:t>
      </w:r>
      <w:bookmarkStart w:name="2、内控自我评价报告" w:id="147"/>
      <w:bookmarkEnd w:id="147"/>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tbl>
      <w:tblPr>
        <w:tblW w:w="0" w:type="auto"/>
        <w:jc w:val="left"/>
        <w:tblInd w:w="1118" w:type="dxa"/>
        <w:tblLayout w:type="fixed"/>
        <w:tblCellMar>
          <w:top w:w="0" w:type="dxa"/>
          <w:left w:w="0" w:type="dxa"/>
          <w:bottom w:w="0" w:type="dxa"/>
          <w:right w:w="0" w:type="dxa"/>
        </w:tblCellMar>
        <w:tblLook w:val="01E0"/>
      </w:tblPr>
      <w:tblGrid>
        <w:gridCol w:w="3195"/>
        <w:gridCol w:w="6373"/>
      </w:tblGrid>
      <w:tr>
        <w:trPr>
          <w:trHeight w:val="415" w:hRule="exact"/>
        </w:trPr>
        <w:tc>
          <w:tcPr>
            <w:tcW w:w="31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5"/>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31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20" w:right="0"/>
              <w:jc w:val="left"/>
              <w:rPr>
                <w:rFonts w:ascii="宋体" w:hAnsi="宋体" w:cs="宋体" w:eastAsia="宋体" w:hint="default"/>
                <w:sz w:val="18"/>
                <w:szCs w:val="18"/>
              </w:rPr>
            </w:pP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《光一科技：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年度内部控制自我评价报告》</w:t>
            </w:r>
          </w:p>
        </w:tc>
      </w:tr>
      <w:tr>
        <w:trPr>
          <w:trHeight w:val="415" w:hRule="exact"/>
        </w:trPr>
        <w:tc>
          <w:tcPr>
            <w:tcW w:w="31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1"/>
        <w:rPr>
          <w:rFonts w:ascii="宋体" w:hAnsi="宋体" w:cs="宋体" w:eastAsia="宋体" w:hint="default"/>
          <w:b/>
          <w:bCs/>
          <w:sz w:val="29"/>
          <w:szCs w:val="29"/>
        </w:rPr>
      </w:pPr>
    </w:p>
    <w:p>
      <w:pPr>
        <w:spacing w:before="44"/>
        <w:ind w:left="1161" w:right="1121" w:firstLine="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1000" w:top="1040" w:bottom="1180" w:left="0" w:right="0"/>
        </w:sectPr>
      </w:pPr>
    </w:p>
    <w:p>
      <w:pPr>
        <w:spacing w:line="316" w:lineRule="auto" w:before="44"/>
        <w:ind w:left="1161" w:right="-19" w:firstLine="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142" w:right="1209" w:firstLine="0"/>
        <w:jc w:val="center"/>
        <w:rPr>
          <w:rFonts w:ascii="宋体" w:hAnsi="宋体" w:cs="宋体" w:eastAsia="宋体" w:hint="default"/>
          <w:sz w:val="18"/>
          <w:szCs w:val="18"/>
        </w:rPr>
      </w:pPr>
      <w:r>
        <w:rPr>
          <w:rFonts w:ascii="宋体"/>
          <w:sz w:val="18"/>
        </w:rPr>
        <w:t>100.00%</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223" w:space="4661"/>
            <w:col w:w="3026"/>
          </w:cols>
        </w:sectPr>
      </w:pPr>
    </w:p>
    <w:p>
      <w:pPr>
        <w:spacing w:before="114"/>
        <w:ind w:left="1062" w:right="1130" w:firstLine="0"/>
        <w:jc w:val="center"/>
        <w:rPr>
          <w:rFonts w:ascii="宋体" w:hAnsi="宋体" w:cs="宋体" w:eastAsia="宋体" w:hint="default"/>
          <w:sz w:val="18"/>
          <w:szCs w:val="18"/>
        </w:rPr>
      </w:pPr>
      <w:r>
        <w:rPr>
          <w:rFonts w:ascii="宋体" w:hAnsi="宋体" w:cs="宋体" w:eastAsia="宋体" w:hint="default"/>
          <w:sz w:val="18"/>
          <w:szCs w:val="18"/>
        </w:rPr>
        <w:t>缺陷认定标准</w:t>
      </w:r>
    </w:p>
    <w:p>
      <w:pPr>
        <w:spacing w:line="240" w:lineRule="auto" w:before="9"/>
        <w:rPr>
          <w:rFonts w:ascii="宋体" w:hAnsi="宋体" w:cs="宋体" w:eastAsia="宋体" w:hint="default"/>
          <w:sz w:val="9"/>
          <w:szCs w:val="9"/>
        </w:rPr>
      </w:pPr>
    </w:p>
    <w:p>
      <w:pPr>
        <w:tabs>
          <w:tab w:pos="5629" w:val="left" w:leader="none"/>
          <w:tab w:pos="8727" w:val="left" w:leader="none"/>
        </w:tabs>
        <w:spacing w:before="44"/>
        <w:ind w:left="2550" w:right="1121" w:firstLine="0"/>
        <w:jc w:val="left"/>
        <w:rPr>
          <w:rFonts w:ascii="宋体" w:hAnsi="宋体" w:cs="宋体" w:eastAsia="宋体" w:hint="default"/>
          <w:sz w:val="18"/>
          <w:szCs w:val="18"/>
        </w:rPr>
      </w:pPr>
      <w:r>
        <w:rPr>
          <w:rFonts w:ascii="宋体" w:hAnsi="宋体" w:cs="宋体" w:eastAsia="宋体" w:hint="default"/>
          <w:sz w:val="18"/>
          <w:szCs w:val="18"/>
        </w:rPr>
        <w:t>类别</w:t>
        <w:tab/>
        <w:t>财务报告</w:t>
        <w:tab/>
        <w:t>非财务报告</w:t>
      </w: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40" w:bottom="1180" w:left="0" w:right="0"/>
        </w:sectPr>
      </w:pPr>
    </w:p>
    <w:p>
      <w:pPr>
        <w:spacing w:line="316" w:lineRule="auto" w:before="44"/>
        <w:ind w:left="4356" w:right="-6" w:firstLine="0"/>
        <w:jc w:val="left"/>
        <w:rPr>
          <w:rFonts w:ascii="宋体" w:hAnsi="宋体" w:cs="宋体" w:eastAsia="宋体" w:hint="default"/>
          <w:sz w:val="18"/>
          <w:szCs w:val="18"/>
        </w:rPr>
      </w:pPr>
      <w:r>
        <w:rPr/>
        <w:pict>
          <v:shape style="position:absolute;margin-left:376.720001pt;margin-top:-.368254pt;width:157.7pt;height:70.2pt;mso-position-horizontal-relative:page;mso-position-vertical-relative:paragraph;z-index:-10945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①重大缺陷：单独缺陷或连同其他缺陷， 导致不能及时防止或发现并纠正财务报告 中的重大错报。出现下列情形的，认定为 </w:t>
      </w:r>
      <w:r>
        <w:rPr>
          <w:rFonts w:ascii="宋体" w:hAnsi="宋体" w:cs="宋体" w:eastAsia="宋体" w:hint="default"/>
          <w:spacing w:val="-13"/>
          <w:sz w:val="18"/>
          <w:szCs w:val="18"/>
        </w:rPr>
        <w:t>重大缺陷：（</w:t>
      </w:r>
      <w:r>
        <w:rPr>
          <w:rFonts w:ascii="宋体" w:hAnsi="宋体" w:cs="宋体" w:eastAsia="宋体" w:hint="default"/>
          <w:spacing w:val="-13"/>
          <w:sz w:val="18"/>
          <w:szCs w:val="18"/>
        </w:rPr>
        <w:t>a</w:t>
      </w:r>
      <w:r>
        <w:rPr>
          <w:rFonts w:ascii="宋体" w:hAnsi="宋体" w:cs="宋体" w:eastAsia="宋体" w:hint="default"/>
          <w:spacing w:val="-13"/>
          <w:sz w:val="18"/>
          <w:szCs w:val="18"/>
        </w:rPr>
        <w:t>）财务报告的任何舞弊；（</w:t>
      </w:r>
      <w:r>
        <w:rPr>
          <w:rFonts w:ascii="宋体" w:hAnsi="宋体" w:cs="宋体" w:eastAsia="宋体" w:hint="default"/>
          <w:spacing w:val="-13"/>
          <w:sz w:val="18"/>
          <w:szCs w:val="18"/>
        </w:rPr>
        <w:t>b</w:t>
      </w:r>
      <w:r>
        <w:rPr>
          <w:rFonts w:ascii="宋体" w:hAnsi="宋体" w:cs="宋体" w:eastAsia="宋体" w:hint="default"/>
          <w:spacing w:val="-75"/>
          <w:sz w:val="18"/>
          <w:szCs w:val="18"/>
        </w:rPr>
        <w:t> </w:t>
      </w:r>
      <w:r>
        <w:rPr>
          <w:rFonts w:ascii="宋体" w:hAnsi="宋体" w:cs="宋体" w:eastAsia="宋体" w:hint="default"/>
          <w:spacing w:val="-4"/>
          <w:sz w:val="18"/>
          <w:szCs w:val="18"/>
        </w:rPr>
        <w:t>对已公布</w:t>
      </w:r>
      <w:r>
        <w:rPr>
          <w:rFonts w:ascii="宋体" w:hAnsi="宋体" w:cs="宋体" w:eastAsia="宋体" w:hint="default"/>
          <w:spacing w:val="-4"/>
          <w:sz w:val="18"/>
          <w:szCs w:val="18"/>
        </w:rPr>
        <w:t>/</w:t>
      </w:r>
      <w:r>
        <w:rPr>
          <w:rFonts w:ascii="宋体" w:hAnsi="宋体" w:cs="宋体" w:eastAsia="宋体" w:hint="default"/>
          <w:spacing w:val="-4"/>
          <w:sz w:val="18"/>
          <w:szCs w:val="18"/>
        </w:rPr>
        <w:t>披露的财务报告进行重报，以更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正重大错误； （</w:t>
      </w:r>
      <w:r>
        <w:rPr>
          <w:rFonts w:ascii="宋体" w:hAnsi="宋体" w:cs="宋体" w:eastAsia="宋体" w:hint="default"/>
          <w:sz w:val="18"/>
          <w:szCs w:val="18"/>
        </w:rPr>
        <w:t>c</w:t>
      </w:r>
      <w:r>
        <w:rPr>
          <w:rFonts w:ascii="宋体" w:hAnsi="宋体" w:cs="宋体" w:eastAsia="宋体" w:hint="default"/>
          <w:sz w:val="18"/>
          <w:szCs w:val="18"/>
        </w:rPr>
        <w:t>）注册会计师审计中发 现重大错报，需进行调整； （</w:t>
      </w:r>
      <w:r>
        <w:rPr>
          <w:rFonts w:ascii="宋体" w:hAnsi="宋体" w:cs="宋体" w:eastAsia="宋体" w:hint="default"/>
          <w:sz w:val="18"/>
          <w:szCs w:val="18"/>
        </w:rPr>
        <w:t>d</w:t>
      </w:r>
      <w:r>
        <w:rPr>
          <w:rFonts w:ascii="宋体" w:hAnsi="宋体" w:cs="宋体" w:eastAsia="宋体" w:hint="default"/>
          <w:sz w:val="18"/>
          <w:szCs w:val="18"/>
        </w:rPr>
        <w:t>）内部审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spacing w:line="310" w:lineRule="atLeast" w:before="0"/>
        <w:ind w:left="15" w:right="1147" w:firstLine="0"/>
        <w:jc w:val="left"/>
        <w:rPr>
          <w:rFonts w:ascii="宋体" w:hAnsi="宋体" w:cs="宋体" w:eastAsia="宋体" w:hint="default"/>
          <w:sz w:val="18"/>
          <w:szCs w:val="18"/>
        </w:rPr>
      </w:pPr>
      <w:r>
        <w:rPr>
          <w:rFonts w:ascii="宋体" w:hAnsi="宋体" w:cs="宋体" w:eastAsia="宋体" w:hint="default"/>
          <w:spacing w:val="-4"/>
          <w:sz w:val="18"/>
          <w:szCs w:val="18"/>
        </w:rPr>
        <w:t>具备以下特征之一的缺陷，视影响程度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可认定为重要缺陷或重大缺陷。 （</w:t>
      </w:r>
      <w:r>
        <w:rPr>
          <w:rFonts w:ascii="宋体" w:hAnsi="宋体" w:cs="宋体" w:eastAsia="宋体" w:hint="default"/>
          <w:sz w:val="18"/>
          <w:szCs w:val="18"/>
        </w:rPr>
        <w:t>a</w:t>
      </w:r>
      <w:r>
        <w:rPr>
          <w:rFonts w:ascii="宋体" w:hAnsi="宋体" w:cs="宋体" w:eastAsia="宋体" w:hint="default"/>
          <w:sz w:val="18"/>
          <w:szCs w:val="18"/>
        </w:rPr>
        <w:t>） 违反法律法规，导致被行政法律部门、</w:t>
      </w:r>
    </w:p>
    <w:p>
      <w:pPr>
        <w:spacing w:after="0" w:line="310" w:lineRule="atLeast"/>
        <w:jc w:val="left"/>
        <w:rPr>
          <w:rFonts w:ascii="宋体" w:hAnsi="宋体" w:cs="宋体" w:eastAsia="宋体" w:hint="default"/>
          <w:sz w:val="18"/>
          <w:szCs w:val="18"/>
        </w:rPr>
        <w:sectPr>
          <w:type w:val="continuous"/>
          <w:pgSz w:w="11910" w:h="16840"/>
          <w:pgMar w:top="1040" w:bottom="1180" w:left="0" w:right="0"/>
          <w:cols w:num="2" w:equalWidth="0">
            <w:col w:w="7625" w:space="40"/>
            <w:col w:w="4245"/>
          </w:cols>
        </w:sectPr>
      </w:pPr>
    </w:p>
    <w:p>
      <w:pPr>
        <w:spacing w:line="116" w:lineRule="exact" w:before="0"/>
        <w:ind w:left="163" w:right="0" w:firstLine="0"/>
        <w:jc w:val="center"/>
        <w:rPr>
          <w:rFonts w:ascii="宋体" w:hAnsi="宋体" w:cs="宋体" w:eastAsia="宋体" w:hint="default"/>
          <w:sz w:val="18"/>
          <w:szCs w:val="18"/>
        </w:rPr>
      </w:pPr>
      <w:r>
        <w:rPr>
          <w:rFonts w:ascii="宋体" w:hAnsi="宋体" w:cs="宋体" w:eastAsia="宋体" w:hint="default"/>
          <w:spacing w:val="-4"/>
          <w:sz w:val="18"/>
          <w:szCs w:val="18"/>
        </w:rPr>
        <w:t>计对财务报告的监督无效等。②重要缺陷：</w:t>
      </w:r>
    </w:p>
    <w:p>
      <w:pPr>
        <w:spacing w:line="172" w:lineRule="exact" w:before="0"/>
        <w:ind w:left="7679" w:right="1121" w:firstLine="0"/>
        <w:jc w:val="left"/>
        <w:rPr>
          <w:rFonts w:ascii="宋体" w:hAnsi="宋体" w:cs="宋体" w:eastAsia="宋体" w:hint="default"/>
          <w:sz w:val="18"/>
          <w:szCs w:val="18"/>
        </w:rPr>
      </w:pPr>
      <w:r>
        <w:rPr>
          <w:rFonts w:ascii="宋体" w:hAnsi="宋体" w:cs="宋体" w:eastAsia="宋体" w:hint="default"/>
          <w:sz w:val="18"/>
          <w:szCs w:val="18"/>
        </w:rPr>
        <w:t>监管机构判罚或处罚；</w:t>
      </w:r>
      <w:r>
        <w:rPr>
          <w:rFonts w:ascii="宋体" w:hAnsi="宋体" w:cs="宋体" w:eastAsia="宋体" w:hint="default"/>
          <w:spacing w:val="-37"/>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b</w:t>
      </w:r>
      <w:r>
        <w:rPr>
          <w:rFonts w:ascii="宋体" w:hAnsi="宋体" w:cs="宋体" w:eastAsia="宋体" w:hint="default"/>
          <w:spacing w:val="-4"/>
          <w:sz w:val="18"/>
          <w:szCs w:val="18"/>
        </w:rPr>
        <w:t>）被媒体曝</w:t>
      </w:r>
    </w:p>
    <w:p>
      <w:pPr>
        <w:spacing w:after="0" w:line="172" w:lineRule="exact"/>
        <w:jc w:val="left"/>
        <w:rPr>
          <w:rFonts w:ascii="宋体" w:hAnsi="宋体" w:cs="宋体" w:eastAsia="宋体" w:hint="default"/>
          <w:sz w:val="18"/>
          <w:szCs w:val="18"/>
        </w:rPr>
        <w:sectPr>
          <w:type w:val="continuous"/>
          <w:pgSz w:w="11910" w:h="16840"/>
          <w:pgMar w:top="1040" w:bottom="1180" w:left="0" w:right="0"/>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定性标准</w:t>
      </w:r>
    </w:p>
    <w:p>
      <w:pPr>
        <w:spacing w:line="180" w:lineRule="exact" w:before="0"/>
        <w:ind w:left="122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单独缺陷或连同其他缺陷，导致不能及时</w:t>
      </w:r>
    </w:p>
    <w:p>
      <w:pPr>
        <w:spacing w:line="316" w:lineRule="auto" w:before="76"/>
        <w:ind w:left="1225" w:right="-19" w:firstLine="0"/>
        <w:jc w:val="left"/>
        <w:rPr>
          <w:rFonts w:ascii="宋体" w:hAnsi="宋体" w:cs="宋体" w:eastAsia="宋体" w:hint="default"/>
          <w:sz w:val="18"/>
          <w:szCs w:val="18"/>
        </w:rPr>
      </w:pPr>
      <w:r>
        <w:rPr>
          <w:rFonts w:ascii="宋体" w:hAnsi="宋体" w:cs="宋体" w:eastAsia="宋体" w:hint="default"/>
          <w:sz w:val="18"/>
          <w:szCs w:val="18"/>
        </w:rPr>
        <w:t>防止或发现并纠正财务报告中虽不构成重 大错报但仍应引起管理层重视的错报：</w:t>
      </w:r>
    </w:p>
    <w:p>
      <w:pPr>
        <w:spacing w:line="310" w:lineRule="atLeast" w:before="26"/>
        <w:ind w:left="43" w:right="1129"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光负面新闻，且未能及时消除影响，导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致公司生产经营、企业形象受损；（</w:t>
      </w:r>
      <w:r>
        <w:rPr>
          <w:rFonts w:ascii="宋体" w:hAnsi="宋体" w:cs="宋体" w:eastAsia="宋体" w:hint="default"/>
          <w:spacing w:val="-4"/>
          <w:sz w:val="18"/>
          <w:szCs w:val="18"/>
        </w:rPr>
        <w:t>c</w:t>
      </w:r>
      <w:r>
        <w:rPr>
          <w:rFonts w:ascii="宋体" w:hAnsi="宋体" w:cs="宋体" w:eastAsia="宋体" w:hint="default"/>
          <w:spacing w:val="-4"/>
          <w:sz w:val="18"/>
          <w:szCs w:val="18"/>
        </w:rPr>
        <w:t>）</w:t>
      </w:r>
      <w:r>
        <w:rPr>
          <w:rFonts w:ascii="宋体" w:hAnsi="宋体" w:cs="宋体" w:eastAsia="宋体" w:hint="default"/>
          <w:spacing w:val="-83"/>
          <w:sz w:val="18"/>
          <w:szCs w:val="18"/>
        </w:rPr>
        <w:t> </w:t>
      </w:r>
      <w:r>
        <w:rPr>
          <w:rFonts w:ascii="宋体" w:hAnsi="宋体" w:cs="宋体" w:eastAsia="宋体" w:hint="default"/>
          <w:spacing w:val="-4"/>
          <w:sz w:val="18"/>
          <w:szCs w:val="18"/>
        </w:rPr>
        <w:t>出现安全生产、环境保护和质量方面的</w:t>
      </w:r>
    </w:p>
    <w:p>
      <w:pPr>
        <w:spacing w:after="0" w:line="310" w:lineRule="atLeast"/>
        <w:jc w:val="left"/>
        <w:rPr>
          <w:rFonts w:ascii="宋体" w:hAnsi="宋体" w:cs="宋体" w:eastAsia="宋体" w:hint="default"/>
          <w:sz w:val="18"/>
          <w:szCs w:val="18"/>
        </w:rPr>
        <w:sectPr>
          <w:type w:val="continuous"/>
          <w:pgSz w:w="11910" w:h="16840"/>
          <w:pgMar w:top="1040" w:bottom="1180" w:left="0" w:right="0"/>
          <w:cols w:num="3" w:equalWidth="0">
            <w:col w:w="3091" w:space="40"/>
            <w:col w:w="4467" w:space="40"/>
            <w:col w:w="4272"/>
          </w:cols>
        </w:sectPr>
      </w:pPr>
    </w:p>
    <w:p>
      <w:pPr>
        <w:spacing w:line="116" w:lineRule="exact" w:before="0"/>
        <w:ind w:left="136"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w:t>
      </w:r>
      <w:r>
        <w:rPr>
          <w:rFonts w:ascii="宋体" w:hAnsi="宋体" w:cs="宋体" w:eastAsia="宋体" w:hint="default"/>
          <w:sz w:val="18"/>
          <w:szCs w:val="18"/>
        </w:rPr>
        <w:t>）财务报告内控缺陷整改情况不理想；</w:t>
      </w:r>
    </w:p>
    <w:p>
      <w:pPr>
        <w:spacing w:line="172" w:lineRule="exact" w:before="0"/>
        <w:ind w:left="7679" w:right="1121" w:firstLine="0"/>
        <w:jc w:val="left"/>
        <w:rPr>
          <w:rFonts w:ascii="宋体" w:hAnsi="宋体" w:cs="宋体" w:eastAsia="宋体" w:hint="default"/>
          <w:sz w:val="18"/>
          <w:szCs w:val="18"/>
        </w:rPr>
      </w:pPr>
      <w:r>
        <w:rPr>
          <w:rFonts w:ascii="宋体" w:hAnsi="宋体" w:cs="宋体" w:eastAsia="宋体" w:hint="default"/>
          <w:sz w:val="18"/>
          <w:szCs w:val="18"/>
        </w:rPr>
        <w:t>重大事故，导致严重后果；</w:t>
      </w:r>
      <w:r>
        <w:rPr>
          <w:rFonts w:ascii="宋体" w:hAnsi="宋体" w:cs="宋体" w:eastAsia="宋体" w:hint="default"/>
          <w:spacing w:val="-48"/>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d</w:t>
      </w:r>
      <w:r>
        <w:rPr>
          <w:rFonts w:ascii="宋体" w:hAnsi="宋体" w:cs="宋体" w:eastAsia="宋体" w:hint="default"/>
          <w:spacing w:val="-4"/>
          <w:sz w:val="18"/>
          <w:szCs w:val="18"/>
        </w:rPr>
        <w:t>）高风</w:t>
      </w:r>
    </w:p>
    <w:p>
      <w:pPr>
        <w:spacing w:after="0" w:line="172" w:lineRule="exact"/>
        <w:jc w:val="left"/>
        <w:rPr>
          <w:rFonts w:ascii="宋体" w:hAnsi="宋体" w:cs="宋体" w:eastAsia="宋体" w:hint="default"/>
          <w:sz w:val="18"/>
          <w:szCs w:val="18"/>
        </w:rPr>
        <w:sectPr>
          <w:type w:val="continuous"/>
          <w:pgSz w:w="11910" w:h="16840"/>
          <w:pgMar w:top="1040" w:bottom="1180" w:left="0" w:right="0"/>
        </w:sectPr>
      </w:pPr>
    </w:p>
    <w:p>
      <w:pPr>
        <w:spacing w:line="180" w:lineRule="exact" w:before="0"/>
        <w:ind w:left="4356" w:right="-6"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b</w:t>
      </w:r>
      <w:r>
        <w:rPr>
          <w:rFonts w:ascii="宋体" w:hAnsi="宋体" w:cs="宋体" w:eastAsia="宋体" w:hint="default"/>
          <w:spacing w:val="-4"/>
          <w:sz w:val="18"/>
          <w:szCs w:val="18"/>
        </w:rPr>
        <w:t>）集团内就同一交易、事项的会计政策</w:t>
      </w:r>
    </w:p>
    <w:p>
      <w:pPr>
        <w:spacing w:before="76"/>
        <w:ind w:left="4356" w:right="-6" w:firstLine="0"/>
        <w:jc w:val="left"/>
        <w:rPr>
          <w:rFonts w:ascii="宋体" w:hAnsi="宋体" w:cs="宋体" w:eastAsia="宋体" w:hint="default"/>
          <w:sz w:val="18"/>
          <w:szCs w:val="18"/>
        </w:rPr>
      </w:pPr>
      <w:r>
        <w:rPr>
          <w:rFonts w:ascii="宋体" w:hAnsi="宋体" w:cs="宋体" w:eastAsia="宋体" w:hint="default"/>
          <w:sz w:val="18"/>
          <w:szCs w:val="18"/>
        </w:rPr>
        <w:t>不统一； （</w:t>
      </w:r>
      <w:r>
        <w:rPr>
          <w:rFonts w:ascii="宋体" w:hAnsi="宋体" w:cs="宋体" w:eastAsia="宋体" w:hint="default"/>
          <w:sz w:val="18"/>
          <w:szCs w:val="18"/>
        </w:rPr>
        <w:t>c</w:t>
      </w:r>
      <w:r>
        <w:rPr>
          <w:rFonts w:ascii="宋体" w:hAnsi="宋体" w:cs="宋体" w:eastAsia="宋体" w:hint="default"/>
          <w:sz w:val="18"/>
          <w:szCs w:val="18"/>
        </w:rPr>
        <w:t>）会计政策的制定未结合公</w:t>
      </w:r>
    </w:p>
    <w:p>
      <w:pPr>
        <w:spacing w:line="310" w:lineRule="atLeast" w:before="26"/>
        <w:ind w:left="15" w:right="1212"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险业务未有相关制度规范，重要业务缺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乏制度控制；</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z w:val="18"/>
          <w:szCs w:val="18"/>
        </w:rPr>
        <w:t>e</w:t>
      </w:r>
      <w:r>
        <w:rPr>
          <w:rFonts w:ascii="宋体" w:hAnsi="宋体" w:cs="宋体" w:eastAsia="宋体" w:hint="default"/>
          <w:sz w:val="18"/>
          <w:szCs w:val="18"/>
        </w:rPr>
        <w:t>）对已经发现并报告</w:t>
      </w:r>
    </w:p>
    <w:p>
      <w:pPr>
        <w:spacing w:after="0" w:line="310" w:lineRule="atLeast"/>
        <w:jc w:val="left"/>
        <w:rPr>
          <w:rFonts w:ascii="宋体" w:hAnsi="宋体" w:cs="宋体" w:eastAsia="宋体" w:hint="default"/>
          <w:sz w:val="18"/>
          <w:szCs w:val="18"/>
        </w:rPr>
        <w:sectPr>
          <w:type w:val="continuous"/>
          <w:pgSz w:w="11910" w:h="16840"/>
          <w:pgMar w:top="1040" w:bottom="1180" w:left="0" w:right="0"/>
          <w:cols w:num="2" w:equalWidth="0">
            <w:col w:w="7625" w:space="40"/>
            <w:col w:w="4245"/>
          </w:cols>
        </w:sectPr>
      </w:pPr>
    </w:p>
    <w:p>
      <w:pPr>
        <w:spacing w:line="116" w:lineRule="exact" w:before="0"/>
        <w:ind w:left="136" w:right="0" w:firstLine="0"/>
        <w:jc w:val="center"/>
        <w:rPr>
          <w:rFonts w:ascii="宋体" w:hAnsi="宋体" w:cs="宋体" w:eastAsia="宋体" w:hint="default"/>
          <w:sz w:val="18"/>
          <w:szCs w:val="18"/>
        </w:rPr>
      </w:pPr>
      <w:r>
        <w:rPr>
          <w:rFonts w:ascii="宋体" w:hAnsi="宋体" w:cs="宋体" w:eastAsia="宋体" w:hint="default"/>
          <w:sz w:val="18"/>
          <w:szCs w:val="18"/>
        </w:rPr>
        <w:t>司实际情况，直接照搬准则（上市公司</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172" w:lineRule="exact" w:before="0"/>
        <w:ind w:left="7679" w:right="1121" w:firstLine="0"/>
        <w:jc w:val="left"/>
        <w:rPr>
          <w:rFonts w:ascii="宋体" w:hAnsi="宋体" w:cs="宋体" w:eastAsia="宋体" w:hint="default"/>
          <w:sz w:val="18"/>
          <w:szCs w:val="18"/>
        </w:rPr>
      </w:pPr>
      <w:r>
        <w:rPr>
          <w:rFonts w:ascii="宋体" w:hAnsi="宋体" w:cs="宋体" w:eastAsia="宋体" w:hint="default"/>
          <w:sz w:val="18"/>
          <w:szCs w:val="18"/>
        </w:rPr>
        <w:t>给管理层的重大或重要内部控制缺陷</w:t>
      </w:r>
    </w:p>
    <w:p>
      <w:pPr>
        <w:spacing w:after="0" w:line="172" w:lineRule="exact"/>
        <w:jc w:val="left"/>
        <w:rPr>
          <w:rFonts w:ascii="宋体" w:hAnsi="宋体" w:cs="宋体" w:eastAsia="宋体" w:hint="default"/>
          <w:sz w:val="18"/>
          <w:szCs w:val="18"/>
        </w:rPr>
        <w:sectPr>
          <w:type w:val="continuous"/>
          <w:pgSz w:w="11910" w:h="16840"/>
          <w:pgMar w:top="1040" w:bottom="1180" w:left="0" w:right="0"/>
        </w:sectPr>
      </w:pPr>
    </w:p>
    <w:p>
      <w:pPr>
        <w:spacing w:line="180" w:lineRule="exact" w:before="0"/>
        <w:ind w:left="4356" w:right="-20" w:firstLine="0"/>
        <w:jc w:val="left"/>
        <w:rPr>
          <w:rFonts w:ascii="宋体" w:hAnsi="宋体" w:cs="宋体" w:eastAsia="宋体" w:hint="default"/>
          <w:sz w:val="18"/>
          <w:szCs w:val="18"/>
        </w:rPr>
      </w:pPr>
      <w:r>
        <w:rPr>
          <w:rFonts w:ascii="宋体" w:hAnsi="宋体" w:cs="宋体" w:eastAsia="宋体" w:hint="default"/>
          <w:sz w:val="18"/>
          <w:szCs w:val="18"/>
        </w:rPr>
        <w:t>实际操作存在较大的人为因素； （</w:t>
      </w:r>
      <w:r>
        <w:rPr>
          <w:rFonts w:ascii="宋体" w:hAnsi="宋体" w:cs="宋体" w:eastAsia="宋体" w:hint="default"/>
          <w:sz w:val="18"/>
          <w:szCs w:val="18"/>
        </w:rPr>
        <w:t>d</w:t>
      </w:r>
      <w:r>
        <w:rPr>
          <w:rFonts w:ascii="宋体" w:hAnsi="宋体" w:cs="宋体" w:eastAsia="宋体" w:hint="default"/>
          <w:sz w:val="18"/>
          <w:szCs w:val="18"/>
        </w:rPr>
        <w:t>）对</w:t>
      </w:r>
    </w:p>
    <w:p>
      <w:pPr>
        <w:spacing w:line="210" w:lineRule="exact" w:before="102"/>
        <w:ind w:left="4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在经过合理的时间后，并未加以改正。</w:t>
      </w:r>
    </w:p>
    <w:p>
      <w:pPr>
        <w:spacing w:after="0" w:line="210" w:lineRule="exact"/>
        <w:jc w:val="left"/>
        <w:rPr>
          <w:rFonts w:ascii="宋体" w:hAnsi="宋体" w:cs="宋体" w:eastAsia="宋体" w:hint="default"/>
          <w:sz w:val="18"/>
          <w:szCs w:val="18"/>
        </w:rPr>
        <w:sectPr>
          <w:type w:val="continuous"/>
          <w:pgSz w:w="11910" w:h="16840"/>
          <w:pgMar w:top="1040" w:bottom="1180" w:left="0" w:right="0"/>
          <w:cols w:num="2" w:equalWidth="0">
            <w:col w:w="7597" w:space="40"/>
            <w:col w:w="4273"/>
          </w:cols>
        </w:sectPr>
      </w:pPr>
    </w:p>
    <w:p>
      <w:pPr>
        <w:spacing w:line="180" w:lineRule="exact" w:before="0"/>
        <w:ind w:left="162" w:right="0" w:firstLine="0"/>
        <w:jc w:val="center"/>
        <w:rPr>
          <w:rFonts w:ascii="宋体" w:hAnsi="宋体" w:cs="宋体" w:eastAsia="宋体" w:hint="default"/>
          <w:sz w:val="18"/>
          <w:szCs w:val="18"/>
        </w:rPr>
      </w:pPr>
      <w:r>
        <w:rPr>
          <w:rFonts w:ascii="宋体" w:hAnsi="宋体" w:cs="宋体" w:eastAsia="宋体" w:hint="default"/>
          <w:spacing w:val="-4"/>
          <w:sz w:val="18"/>
          <w:szCs w:val="18"/>
        </w:rPr>
        <w:t>非常规、特殊和复杂交易未给予足够重视，</w:t>
      </w:r>
    </w:p>
    <w:p>
      <w:pPr>
        <w:spacing w:line="319" w:lineRule="auto" w:before="76"/>
        <w:ind w:left="4356" w:right="4279" w:firstLine="0"/>
        <w:jc w:val="both"/>
        <w:rPr>
          <w:rFonts w:ascii="宋体" w:hAnsi="宋体" w:cs="宋体" w:eastAsia="宋体" w:hint="default"/>
          <w:sz w:val="18"/>
          <w:szCs w:val="18"/>
        </w:rPr>
      </w:pPr>
      <w:r>
        <w:rPr>
          <w:rFonts w:ascii="宋体" w:hAnsi="宋体" w:cs="宋体" w:eastAsia="宋体" w:hint="default"/>
          <w:sz w:val="18"/>
          <w:szCs w:val="18"/>
        </w:rPr>
        <w:t>影响实际的会计处理工作； （</w:t>
      </w:r>
      <w:r>
        <w:rPr>
          <w:rFonts w:ascii="宋体" w:hAnsi="宋体" w:cs="宋体" w:eastAsia="宋体" w:hint="default"/>
          <w:sz w:val="18"/>
          <w:szCs w:val="18"/>
        </w:rPr>
        <w:t>e</w:t>
      </w:r>
      <w:r>
        <w:rPr>
          <w:rFonts w:ascii="宋体" w:hAnsi="宋体" w:cs="宋体" w:eastAsia="宋体" w:hint="default"/>
          <w:sz w:val="18"/>
          <w:szCs w:val="18"/>
        </w:rPr>
        <w:t>）期末财 务报告的编制不规范。</w:t>
      </w:r>
      <w:r>
        <w:rPr>
          <w:rFonts w:ascii="宋体" w:hAnsi="宋体" w:cs="宋体" w:eastAsia="宋体" w:hint="default"/>
          <w:spacing w:val="-31"/>
          <w:sz w:val="18"/>
          <w:szCs w:val="18"/>
        </w:rPr>
        <w:t> </w:t>
      </w:r>
      <w:r>
        <w:rPr>
          <w:rFonts w:ascii="宋体" w:hAnsi="宋体" w:cs="宋体" w:eastAsia="宋体" w:hint="default"/>
          <w:spacing w:val="-4"/>
          <w:sz w:val="18"/>
          <w:szCs w:val="18"/>
        </w:rPr>
        <w:t>③一般缺陷：不构</w:t>
      </w:r>
      <w:r>
        <w:rPr>
          <w:rFonts w:ascii="宋体" w:hAnsi="宋体" w:cs="宋体" w:eastAsia="宋体" w:hint="default"/>
          <w:sz w:val="18"/>
          <w:szCs w:val="18"/>
        </w:rPr>
        <w:t> 成重大缺陷或重要缺陷的其他内部控制缺 陷。</w:t>
      </w:r>
    </w:p>
    <w:p>
      <w:pPr>
        <w:spacing w:after="0" w:line="319" w:lineRule="auto"/>
        <w:jc w:val="both"/>
        <w:rPr>
          <w:rFonts w:ascii="宋体" w:hAnsi="宋体" w:cs="宋体" w:eastAsia="宋体" w:hint="default"/>
          <w:sz w:val="18"/>
          <w:szCs w:val="18"/>
        </w:rPr>
        <w:sectPr>
          <w:type w:val="continuous"/>
          <w:pgSz w:w="11910" w:h="16840"/>
          <w:pgMar w:top="1040" w:bottom="1180" w:left="0" w:right="0"/>
        </w:sectPr>
      </w:pPr>
    </w:p>
    <w:p>
      <w:pPr>
        <w:spacing w:line="240" w:lineRule="auto" w:before="0"/>
        <w:rPr>
          <w:rFonts w:ascii="宋体" w:hAnsi="宋体" w:cs="宋体" w:eastAsia="宋体" w:hint="default"/>
          <w:sz w:val="18"/>
          <w:szCs w:val="18"/>
        </w:rPr>
      </w:pPr>
      <w:r>
        <w:rPr/>
        <w:pict>
          <v:group style="position:absolute;margin-left:55.919998pt;margin-top:71.249985pt;width:479.95pt;height:685.5pt;mso-position-horizontal-relative:page;mso-position-vertical-relative:page;z-index:-1094560" coordorigin="1118,1425" coordsize="9599,13710">
            <v:group style="position:absolute;left:1155;top:1470;width:2;height:352" coordorigin="1155,1470" coordsize="2,352">
              <v:shape style="position:absolute;left:1155;top:1470;width:2;height:352" coordorigin="1155,1470" coordsize="0,352" path="m1155,1470l1155,1822e" filled="false" stroked="true" strokeweight=".66pt" strokecolor="#d2d2d2">
                <v:path arrowok="t"/>
              </v:shape>
            </v:group>
            <v:group style="position:absolute;left:4311;top:1470;width:2;height:352" coordorigin="4311,1470" coordsize="2,352">
              <v:shape style="position:absolute;left:4311;top:1470;width:2;height:352" coordorigin="4311,1470" coordsize="0,352" path="m4311,1470l4311,1822e" filled="false" stroked="true" strokeweight="1.08pt" strokecolor="#d2d2d2">
                <v:path arrowok="t"/>
              </v:shape>
            </v:group>
            <v:group style="position:absolute;left:1162;top:1470;width:3139;height:352" coordorigin="1162,1470" coordsize="3139,352">
              <v:shape style="position:absolute;left:1162;top:1470;width:3139;height:352" coordorigin="1162,1470" coordsize="3139,352" path="m1162,1822l4300,1822,4300,1470,1162,1470,1162,1822xe" filled="true" fillcolor="#d2d2d2" stroked="false">
                <v:path arrowok="t"/>
                <v:fill type="solid"/>
              </v:shape>
            </v:group>
            <v:group style="position:absolute;left:1148;top:1455;width:3174;height:2" coordorigin="1148,1455" coordsize="3174,2">
              <v:shape style="position:absolute;left:1148;top:1455;width:3174;height:2" coordorigin="1148,1455" coordsize="3174,0" path="m1148,1455l4322,1455e" filled="false" stroked="true" strokeweight="1.5pt" strokecolor="#000000">
                <v:path arrowok="t"/>
              </v:shape>
            </v:group>
            <v:group style="position:absolute;left:4322;top:1455;width:30;height:2" coordorigin="4322,1455" coordsize="30,2">
              <v:shape style="position:absolute;left:4322;top:1455;width:30;height:2" coordorigin="4322,1455" coordsize="30,0" path="m4322,1455l4352,1455e" filled="false" stroked="true" strokeweight="1.5pt" strokecolor="#000000">
                <v:path arrowok="t"/>
              </v:shape>
            </v:group>
            <v:group style="position:absolute;left:4352;top:1455;width:6336;height:2" coordorigin="4352,1455" coordsize="6336,2">
              <v:shape style="position:absolute;left:4352;top:1455;width:6336;height:2" coordorigin="4352,1455" coordsize="6336,0" path="m4352,1455l10687,1455e" filled="false" stroked="true" strokeweight="1.5pt" strokecolor="#000000">
                <v:path arrowok="t"/>
              </v:shape>
            </v:group>
            <v:group style="position:absolute;left:1155;top:1837;width:2;height:704" coordorigin="1155,1837" coordsize="2,704">
              <v:shape style="position:absolute;left:1155;top:1837;width:2;height:704" coordorigin="1155,1837" coordsize="0,704" path="m1155,1837l1155,2540e" filled="false" stroked="true" strokeweight=".66pt" strokecolor="#d2d2d2">
                <v:path arrowok="t"/>
              </v:shape>
            </v:group>
            <v:group style="position:absolute;left:4311;top:1837;width:2;height:704" coordorigin="4311,1837" coordsize="2,704">
              <v:shape style="position:absolute;left:4311;top:1837;width:2;height:704" coordorigin="4311,1837" coordsize="0,704" path="m4311,1837l4311,2540e" filled="false" stroked="true" strokeweight="1.08pt" strokecolor="#d2d2d2">
                <v:path arrowok="t"/>
              </v:shape>
            </v:group>
            <v:group style="position:absolute;left:1162;top:1837;width:3139;height:352" coordorigin="1162,1837" coordsize="3139,352">
              <v:shape style="position:absolute;left:1162;top:1837;width:3139;height:352" coordorigin="1162,1837" coordsize="3139,352" path="m1162,2189l4300,2189,4300,1837,1162,1837,1162,2189xe" filled="true" fillcolor="#d2d2d2" stroked="false">
                <v:path arrowok="t"/>
                <v:fill type="solid"/>
              </v:shape>
            </v:group>
            <v:group style="position:absolute;left:1162;top:2189;width:3139;height:352" coordorigin="1162,2189" coordsize="3139,352">
              <v:shape style="position:absolute;left:1162;top:2189;width:3139;height:352" coordorigin="1162,2189" coordsize="3139,352" path="m1162,2540l4300,2540,4300,2189,1162,2189,1162,2540xe" filled="true" fillcolor="#d2d2d2" stroked="false">
                <v:path arrowok="t"/>
                <v:fill type="solid"/>
              </v:shape>
            </v:group>
            <v:group style="position:absolute;left:1148;top:1829;width:3174;height:2" coordorigin="1148,1829" coordsize="3174,2">
              <v:shape style="position:absolute;left:1148;top:1829;width:3174;height:2" coordorigin="1148,1829" coordsize="3174,0" path="m1148,1829l4322,1829e" filled="false" stroked="true" strokeweight=".72pt" strokecolor="#000000">
                <v:path arrowok="t"/>
              </v:shape>
            </v:group>
            <v:group style="position:absolute;left:1148;top:1837;width:3174;height:2" coordorigin="1148,1837" coordsize="3174,2">
              <v:shape style="position:absolute;left:1148;top:1837;width:3174;height:2" coordorigin="1148,1837" coordsize="3174,0" path="m1148,1837l4322,1837e" filled="false" stroked="true" strokeweight=".06pt" strokecolor="#d2d2d2">
                <v:path arrowok="t"/>
              </v:shape>
            </v:group>
            <v:group style="position:absolute;left:4336;top:1829;width:6352;height:2" coordorigin="4336,1829" coordsize="6352,2">
              <v:shape style="position:absolute;left:4336;top:1829;width:6352;height:2" coordorigin="4336,1829" coordsize="6352,0" path="m4336,1829l10687,1829e" filled="false" stroked="true" strokeweight=".72pt" strokecolor="#000000">
                <v:path arrowok="t"/>
              </v:shape>
            </v:group>
            <v:group style="position:absolute;left:4329;top:1470;width:2;height:1085" coordorigin="4329,1470" coordsize="2,1085">
              <v:shape style="position:absolute;left:4329;top:1470;width:2;height:1085" coordorigin="4329,1470" coordsize="0,1085" path="m4329,1470l4329,2555e" filled="false" stroked="true" strokeweight=".72pt" strokecolor="#000000">
                <v:path arrowok="t"/>
              </v:shape>
            </v:group>
            <v:group style="position:absolute;left:1155;top:2556;width:2;height:393" coordorigin="1155,2556" coordsize="2,393">
              <v:shape style="position:absolute;left:1155;top:2556;width:2;height:393" coordorigin="1155,2556" coordsize="0,393" path="m1155,2556l1155,2949e" filled="false" stroked="true" strokeweight=".66pt" strokecolor="#d2d2d2">
                <v:path arrowok="t"/>
              </v:shape>
            </v:group>
            <v:group style="position:absolute;left:10682;top:2556;width:2;height:393" coordorigin="10682,2556" coordsize="2,393">
              <v:shape style="position:absolute;left:10682;top:2556;width:2;height:393" coordorigin="10682,2556" coordsize="0,393" path="m10682,2556l10682,2949e" filled="false" stroked="true" strokeweight=".66pt" strokecolor="#d2d2d2">
                <v:path arrowok="t"/>
              </v:shape>
            </v:group>
            <v:group style="position:absolute;left:1162;top:2556;width:9514;height:393" coordorigin="1162,2556" coordsize="9514,393">
              <v:shape style="position:absolute;left:1162;top:2556;width:9514;height:393" coordorigin="1162,2556" coordsize="9514,393" path="m1162,2949l10675,2949,10675,2556,1162,2556,1162,2949xe" filled="true" fillcolor="#d2d2d2" stroked="false">
                <v:path arrowok="t"/>
                <v:fill type="solid"/>
              </v:shape>
            </v:group>
            <v:group style="position:absolute;left:1148;top:2548;width:3174;height:2" coordorigin="1148,2548" coordsize="3174,2">
              <v:shape style="position:absolute;left:1148;top:2548;width:3174;height:2" coordorigin="1148,2548" coordsize="3174,0" path="m1148,2548l4322,2548e" filled="false" stroked="true" strokeweight=".72pt" strokecolor="#000000">
                <v:path arrowok="t"/>
              </v:shape>
            </v:group>
            <v:group style="position:absolute;left:1148;top:2555;width:3174;height:2" coordorigin="1148,2555" coordsize="3174,2">
              <v:shape style="position:absolute;left:1148;top:2555;width:3174;height:2" coordorigin="1148,2555" coordsize="3174,0" path="m1148,2555l4322,2555e" filled="false" stroked="true" strokeweight=".06pt" strokecolor="#d2d2d2">
                <v:path arrowok="t"/>
              </v:shape>
            </v:group>
            <v:group style="position:absolute;left:4322;top:2555;width:15;height:2" coordorigin="4322,2555" coordsize="15,2">
              <v:shape style="position:absolute;left:4322;top:2555;width:15;height:2" coordorigin="4322,2555" coordsize="15,0" path="m4322,2555l4336,2555e" filled="false" stroked="true" strokeweight=".06pt" strokecolor="#d2d2d2">
                <v:path arrowok="t"/>
              </v:shape>
            </v:group>
            <v:group style="position:absolute;left:4336;top:2548;width:6352;height:2" coordorigin="4336,2548" coordsize="6352,2">
              <v:shape style="position:absolute;left:4336;top:2548;width:6352;height:2" coordorigin="4336,2548" coordsize="6352,0" path="m4336,2548l10687,2548e" filled="false" stroked="true" strokeweight=".72pt" strokecolor="#000000">
                <v:path arrowok="t"/>
              </v:shape>
            </v:group>
            <v:group style="position:absolute;left:4336;top:2555;width:6352;height:2" coordorigin="4336,2555" coordsize="6352,2">
              <v:shape style="position:absolute;left:4336;top:2555;width:6352;height:2" coordorigin="4336,2555" coordsize="6352,0" path="m4336,2555l10687,2555e" filled="false" stroked="true" strokeweight=".06pt" strokecolor="#d2d2d2">
                <v:path arrowok="t"/>
              </v:shape>
            </v:group>
            <v:group style="position:absolute;left:1155;top:2963;width:2;height:393" coordorigin="1155,2963" coordsize="2,393">
              <v:shape style="position:absolute;left:1155;top:2963;width:2;height:393" coordorigin="1155,2963" coordsize="0,393" path="m1155,2963l1155,3356e" filled="false" stroked="true" strokeweight=".66pt" strokecolor="#d2d2d2">
                <v:path arrowok="t"/>
              </v:shape>
            </v:group>
            <v:group style="position:absolute;left:4311;top:2963;width:2;height:393" coordorigin="4311,2963" coordsize="2,393">
              <v:shape style="position:absolute;left:4311;top:2963;width:2;height:393" coordorigin="4311,2963" coordsize="0,393" path="m4311,2963l4311,3356e" filled="false" stroked="true" strokeweight="1.08pt" strokecolor="#d2d2d2">
                <v:path arrowok="t"/>
              </v:shape>
            </v:group>
            <v:group style="position:absolute;left:1162;top:2963;width:3139;height:393" coordorigin="1162,2963" coordsize="3139,393">
              <v:shape style="position:absolute;left:1162;top:2963;width:3139;height:393" coordorigin="1162,2963" coordsize="3139,393" path="m1162,3356l4300,3356,4300,2963,1162,2963,1162,3356xe" filled="true" fillcolor="#d2d2d2" stroked="false">
                <v:path arrowok="t"/>
                <v:fill type="solid"/>
              </v:shape>
            </v:group>
            <v:group style="position:absolute;left:4346;top:2963;width:2;height:393" coordorigin="4346,2963" coordsize="2,393">
              <v:shape style="position:absolute;left:4346;top:2963;width:2;height:393" coordorigin="4346,2963" coordsize="0,393" path="m4346,2963l4346,3356e" filled="false" stroked="true" strokeweight="1.02pt" strokecolor="#d2d2d2">
                <v:path arrowok="t"/>
              </v:shape>
            </v:group>
            <v:group style="position:absolute;left:7635;top:2963;width:2;height:393" coordorigin="7635,2963" coordsize="2,393">
              <v:shape style="position:absolute;left:7635;top:2963;width:2;height:393" coordorigin="7635,2963" coordsize="0,393" path="m7635,2963l7635,3356e" filled="false" stroked="true" strokeweight="1.02pt" strokecolor="#d2d2d2">
                <v:path arrowok="t"/>
              </v:shape>
            </v:group>
            <v:group style="position:absolute;left:4356;top:2963;width:3268;height:393" coordorigin="4356,2963" coordsize="3268,393">
              <v:shape style="position:absolute;left:4356;top:2963;width:3268;height:393" coordorigin="4356,2963" coordsize="3268,393" path="m4356,3356l7624,3356,7624,2963,4356,2963,4356,3356xe" filled="true" fillcolor="#d2d2d2" stroked="false">
                <v:path arrowok="t"/>
                <v:fill type="solid"/>
              </v:shape>
            </v:group>
            <v:group style="position:absolute;left:7669;top:2963;width:2;height:393" coordorigin="7669,2963" coordsize="2,393">
              <v:shape style="position:absolute;left:7669;top:2963;width:2;height:393" coordorigin="7669,2963" coordsize="0,393" path="m7669,2963l7669,3356e" filled="false" stroked="true" strokeweight="1.02pt" strokecolor="#d2d2d2">
                <v:path arrowok="t"/>
              </v:shape>
            </v:group>
            <v:group style="position:absolute;left:10682;top:2963;width:2;height:393" coordorigin="10682,2963" coordsize="2,393">
              <v:shape style="position:absolute;left:10682;top:2963;width:2;height:393" coordorigin="10682,2963" coordsize="0,393" path="m10682,2963l10682,3356e" filled="false" stroked="true" strokeweight=".66pt" strokecolor="#d2d2d2">
                <v:path arrowok="t"/>
              </v:shape>
            </v:group>
            <v:group style="position:absolute;left:7680;top:2963;width:2996;height:393" coordorigin="7680,2963" coordsize="2996,393">
              <v:shape style="position:absolute;left:7680;top:2963;width:2996;height:393" coordorigin="7680,2963" coordsize="2996,393" path="m7680,3356l10675,3356,10675,2963,7680,2963,7680,3356xe" filled="true" fillcolor="#d2d2d2" stroked="false">
                <v:path arrowok="t"/>
                <v:fill type="solid"/>
              </v:shape>
            </v:group>
            <v:group style="position:absolute;left:1148;top:2956;width:3174;height:2" coordorigin="1148,2956" coordsize="3174,2">
              <v:shape style="position:absolute;left:1148;top:2956;width:3174;height:2" coordorigin="1148,2956" coordsize="3174,0" path="m1148,2956l4322,2956e" filled="false" stroked="true" strokeweight=".72pt" strokecolor="#000000">
                <v:path arrowok="t"/>
              </v:shape>
            </v:group>
            <v:group style="position:absolute;left:1148;top:2964;width:3174;height:2" coordorigin="1148,2964" coordsize="3174,2">
              <v:shape style="position:absolute;left:1148;top:2964;width:3174;height:2" coordorigin="1148,2964" coordsize="3174,0" path="m1148,2964l4322,2964e" filled="false" stroked="true" strokeweight=".06pt" strokecolor="#d2d2d2">
                <v:path arrowok="t"/>
              </v:shape>
            </v:group>
            <v:group style="position:absolute;left:4336;top:2956;width:3309;height:2" coordorigin="4336,2956" coordsize="3309,2">
              <v:shape style="position:absolute;left:4336;top:2956;width:3309;height:2" coordorigin="4336,2956" coordsize="3309,0" path="m4336,2956l7645,2956e" filled="false" stroked="true" strokeweight=".72pt" strokecolor="#000000">
                <v:path arrowok="t"/>
              </v:shape>
            </v:group>
            <v:group style="position:absolute;left:4336;top:2964;width:3309;height:2" coordorigin="4336,2964" coordsize="3309,2">
              <v:shape style="position:absolute;left:4336;top:2964;width:3309;height:2" coordorigin="4336,2964" coordsize="3309,0" path="m4336,2964l7645,2964e" filled="false" stroked="true" strokeweight=".06pt" strokecolor="#d2d2d2">
                <v:path arrowok="t"/>
              </v:shape>
            </v:group>
            <v:group style="position:absolute;left:7659;top:2956;width:3028;height:2" coordorigin="7659,2956" coordsize="3028,2">
              <v:shape style="position:absolute;left:7659;top:2956;width:3028;height:2" coordorigin="7659,2956" coordsize="3028,0" path="m7659,2956l10687,2956e" filled="false" stroked="true" strokeweight=".72pt" strokecolor="#000000">
                <v:path arrowok="t"/>
              </v:shape>
            </v:group>
            <v:group style="position:absolute;left:7659;top:2964;width:3028;height:2" coordorigin="7659,2964" coordsize="3028,2">
              <v:shape style="position:absolute;left:7659;top:2964;width:3028;height:2" coordorigin="7659,2964" coordsize="3028,0" path="m7659,2964l10687,2964e" filled="false" stroked="true" strokeweight=".06pt" strokecolor="#d2d2d2">
                <v:path arrowok="t"/>
              </v:shape>
            </v:group>
            <v:group style="position:absolute;left:1148;top:3370;width:3174;height:3120" coordorigin="1148,3370" coordsize="3174,3120">
              <v:shape style="position:absolute;left:1148;top:3370;width:3174;height:3120" coordorigin="1148,3370" coordsize="3174,3120" path="m1148,6490l4322,6490,4322,3370,1148,3370,1148,6490xe" filled="true" fillcolor="#d2d2d2" stroked="false">
                <v:path arrowok="t"/>
                <v:fill type="solid"/>
              </v:shape>
            </v:group>
            <v:group style="position:absolute;left:1155;top:6490;width:2;height:393" coordorigin="1155,6490" coordsize="2,393">
              <v:shape style="position:absolute;left:1155;top:6490;width:2;height:393" coordorigin="1155,6490" coordsize="0,393" path="m1155,6490l1155,6882e" filled="false" stroked="true" strokeweight=".66pt" strokecolor="#d2d2d2">
                <v:path arrowok="t"/>
              </v:shape>
            </v:group>
            <v:group style="position:absolute;left:4311;top:6490;width:2;height:393" coordorigin="4311,6490" coordsize="2,393">
              <v:shape style="position:absolute;left:4311;top:6490;width:2;height:393" coordorigin="4311,6490" coordsize="0,393" path="m4311,6490l4311,6882e" filled="false" stroked="true" strokeweight="1.08pt" strokecolor="#d2d2d2">
                <v:path arrowok="t"/>
              </v:shape>
            </v:group>
            <v:group style="position:absolute;left:1148;top:6882;width:3174;height:3121" coordorigin="1148,6882" coordsize="3174,3121">
              <v:shape style="position:absolute;left:1148;top:6882;width:3174;height:3121" coordorigin="1148,6882" coordsize="3174,3121" path="m1148,10003l4322,10003,4322,6882,1148,6882,1148,10003xe" filled="true" fillcolor="#d2d2d2" stroked="false">
                <v:path arrowok="t"/>
                <v:fill type="solid"/>
              </v:shape>
            </v:group>
            <v:group style="position:absolute;left:1162;top:6490;width:3139;height:393" coordorigin="1162,6490" coordsize="3139,393">
              <v:shape style="position:absolute;left:1162;top:6490;width:3139;height:393" coordorigin="1162,6490" coordsize="3139,393" path="m1162,6882l4300,6882,4300,6490,1162,6490,1162,6882xe" filled="true" fillcolor="#d2d2d2" stroked="false">
                <v:path arrowok="t"/>
                <v:fill type="solid"/>
              </v:shape>
            </v:group>
            <v:group style="position:absolute;left:7659;top:3370;width:3030;height:1404" coordorigin="7659,3370" coordsize="3030,1404">
              <v:shape style="position:absolute;left:7659;top:3370;width:3030;height:1404" coordorigin="7659,3370" coordsize="3030,1404" path="m7659,4774l10688,4774,10688,3370,7659,3370,7659,4774xe" filled="true" fillcolor="#ffffff" stroked="false">
                <v:path arrowok="t"/>
                <v:fill type="solid"/>
              </v:shape>
            </v:group>
            <v:group style="position:absolute;left:7669;top:4774;width:2;height:3825" coordorigin="7669,4774" coordsize="2,3825">
              <v:shape style="position:absolute;left:7669;top:4774;width:2;height:3825" coordorigin="7669,4774" coordsize="0,3825" path="m7669,4774l7669,8599e" filled="false" stroked="true" strokeweight="1.02pt" strokecolor="#ffffff">
                <v:path arrowok="t"/>
              </v:shape>
            </v:group>
            <v:group style="position:absolute;left:7659;top:8599;width:3030;height:1404" coordorigin="7659,8599" coordsize="3030,1404">
              <v:shape style="position:absolute;left:7659;top:8599;width:3030;height:1404" coordorigin="7659,8599" coordsize="3030,1404" path="m7659,10003l10688,10003,10688,8599,7659,8599,7659,10003xe" filled="true" fillcolor="#ffffff" stroked="false">
                <v:path arrowok="t"/>
                <v:fill type="solid"/>
              </v:shape>
            </v:group>
            <v:group style="position:absolute;left:7680;top:5439;width:2996;height:312" coordorigin="7680,5439" coordsize="2996,312">
              <v:shape style="position:absolute;left:7680;top:5439;width:2996;height:312" coordorigin="7680,5439" coordsize="2996,312" path="m7680,5751l10675,5751,10675,5439,7680,5439,7680,5751xe" filled="true" fillcolor="#ffffff" stroked="false">
                <v:path arrowok="t"/>
                <v:fill type="solid"/>
              </v:shape>
            </v:group>
            <v:group style="position:absolute;left:7680;top:5751;width:2996;height:312" coordorigin="7680,5751" coordsize="2996,312">
              <v:shape style="position:absolute;left:7680;top:5751;width:2996;height:312" coordorigin="7680,5751" coordsize="2996,312" path="m7680,6063l10675,6063,10675,5751,7680,5751,7680,6063xe" filled="true" fillcolor="#ffffff" stroked="false">
                <v:path arrowok="t"/>
                <v:fill type="solid"/>
              </v:shape>
            </v:group>
            <v:group style="position:absolute;left:7680;top:8247;width:2996;height:352" coordorigin="7680,8247" coordsize="2996,352">
              <v:shape style="position:absolute;left:7680;top:8247;width:2996;height:352" coordorigin="7680,8247" coordsize="2996,352" path="m7680,8599l10675,8599,10675,8247,7680,8247,7680,8599xe" filled="true" fillcolor="#ffffff" stroked="false">
                <v:path arrowok="t"/>
                <v:fill type="solid"/>
              </v:shape>
            </v:group>
            <v:group style="position:absolute;left:1148;top:3363;width:3174;height:2" coordorigin="1148,3363" coordsize="3174,2">
              <v:shape style="position:absolute;left:1148;top:3363;width:3174;height:2" coordorigin="1148,3363" coordsize="3174,0" path="m1148,3363l4322,3363e" filled="false" stroked="true" strokeweight=".72pt" strokecolor="#000000">
                <v:path arrowok="t"/>
              </v:shape>
            </v:group>
            <v:group style="position:absolute;left:1148;top:3371;width:3174;height:2" coordorigin="1148,3371" coordsize="3174,2">
              <v:shape style="position:absolute;left:1148;top:3371;width:3174;height:2" coordorigin="1148,3371" coordsize="3174,0" path="m1148,3371l4322,3371e" filled="false" stroked="true" strokeweight=".06pt" strokecolor="#d2d2d2">
                <v:path arrowok="t"/>
              </v:shape>
            </v:group>
            <v:group style="position:absolute;left:4336;top:3363;width:3309;height:2" coordorigin="4336,3363" coordsize="3309,2">
              <v:shape style="position:absolute;left:4336;top:3363;width:3309;height:2" coordorigin="4336,3363" coordsize="3309,0" path="m4336,3363l7645,3363e" filled="false" stroked="true" strokeweight=".72pt" strokecolor="#000000">
                <v:path arrowok="t"/>
              </v:shape>
            </v:group>
            <v:group style="position:absolute;left:7659;top:3363;width:3028;height:2" coordorigin="7659,3363" coordsize="3028,2">
              <v:shape style="position:absolute;left:7659;top:3363;width:3028;height:2" coordorigin="7659,3363" coordsize="3028,0" path="m7659,3363l10687,3363e" filled="false" stroked="true" strokeweight=".72pt" strokecolor="#000000">
                <v:path arrowok="t"/>
              </v:shape>
            </v:group>
            <v:group style="position:absolute;left:1148;top:10017;width:3174;height:2340" coordorigin="1148,10017" coordsize="3174,2340">
              <v:shape style="position:absolute;left:1148;top:10017;width:3174;height:2340" coordorigin="1148,10017" coordsize="3174,2340" path="m1148,12357l4322,12357,4322,10017,1148,10017,1148,12357xe" filled="true" fillcolor="#d2d2d2" stroked="false">
                <v:path arrowok="t"/>
                <v:fill type="solid"/>
              </v:shape>
            </v:group>
            <v:group style="position:absolute;left:1155;top:12357;width:2;height:393" coordorigin="1155,12357" coordsize="2,393">
              <v:shape style="position:absolute;left:1155;top:12357;width:2;height:393" coordorigin="1155,12357" coordsize="0,393" path="m1155,12357l1155,12750e" filled="false" stroked="true" strokeweight=".66pt" strokecolor="#d2d2d2">
                <v:path arrowok="t"/>
              </v:shape>
            </v:group>
            <v:group style="position:absolute;left:4311;top:12357;width:2;height:393" coordorigin="4311,12357" coordsize="2,393">
              <v:shape style="position:absolute;left:4311;top:12357;width:2;height:393" coordorigin="4311,12357" coordsize="0,393" path="m4311,12357l4311,12750e" filled="false" stroked="true" strokeweight="1.08pt" strokecolor="#d2d2d2">
                <v:path arrowok="t"/>
              </v:shape>
            </v:group>
            <v:group style="position:absolute;left:1148;top:12750;width:3174;height:2341" coordorigin="1148,12750" coordsize="3174,2341">
              <v:shape style="position:absolute;left:1148;top:12750;width:3174;height:2341" coordorigin="1148,12750" coordsize="3174,2341" path="m1148,15090l4322,15090,4322,12750,1148,12750,1148,15090xe" filled="true" fillcolor="#d2d2d2" stroked="false">
                <v:path arrowok="t"/>
                <v:fill type="solid"/>
              </v:shape>
            </v:group>
            <v:group style="position:absolute;left:1162;top:12357;width:3139;height:393" coordorigin="1162,12357" coordsize="3139,393">
              <v:shape style="position:absolute;left:1162;top:12357;width:3139;height:393" coordorigin="1162,12357" coordsize="3139,393" path="m1162,12750l4300,12750,4300,12357,1162,12357,1162,12750xe" filled="true" fillcolor="#d2d2d2" stroked="false">
                <v:path arrowok="t"/>
                <v:fill type="solid"/>
              </v:shape>
            </v:group>
            <v:group style="position:absolute;left:7659;top:10017;width:3030;height:2184" coordorigin="7659,10017" coordsize="3030,2184">
              <v:shape style="position:absolute;left:7659;top:10017;width:3030;height:2184" coordorigin="7659,10017" coordsize="3030,2184" path="m7659,12201l10688,12201,10688,10017,7659,10017,7659,12201xe" filled="true" fillcolor="#ffffff" stroked="false">
                <v:path arrowok="t"/>
                <v:fill type="solid"/>
              </v:shape>
            </v:group>
            <v:group style="position:absolute;left:1148;top:10010;width:3174;height:2" coordorigin="1148,10010" coordsize="3174,2">
              <v:shape style="position:absolute;left:1148;top:10010;width:3174;height:2" coordorigin="1148,10010" coordsize="3174,0" path="m1148,10010l4322,10010e" filled="false" stroked="true" strokeweight=".72pt" strokecolor="#000000">
                <v:path arrowok="t"/>
              </v:shape>
            </v:group>
            <v:group style="position:absolute;left:1148;top:10018;width:3174;height:2" coordorigin="1148,10018" coordsize="3174,2">
              <v:shape style="position:absolute;left:1148;top:10018;width:3174;height:2" coordorigin="1148,10018" coordsize="3174,0" path="m1148,10018l4322,10018e" filled="false" stroked="true" strokeweight=".06pt" strokecolor="#d2d2d2">
                <v:path arrowok="t"/>
              </v:shape>
            </v:group>
            <v:group style="position:absolute;left:4336;top:10010;width:3309;height:2" coordorigin="4336,10010" coordsize="3309,2">
              <v:shape style="position:absolute;left:4336;top:10010;width:3309;height:2" coordorigin="4336,10010" coordsize="3309,0" path="m4336,10010l7645,10010e" filled="false" stroked="true" strokeweight=".72pt" strokecolor="#000000">
                <v:path arrowok="t"/>
              </v:shape>
            </v:group>
            <v:group style="position:absolute;left:7659;top:10010;width:3028;height:2" coordorigin="7659,10010" coordsize="3028,2">
              <v:shape style="position:absolute;left:7659;top:10010;width:3028;height:2" coordorigin="7659,10010" coordsize="3028,0" path="m7659,10010l10687,10010e" filled="false" stroked="true" strokeweight=".72pt" strokecolor="#000000">
                <v:path arrowok="t"/>
              </v:shape>
            </v:group>
            <v:group style="position:absolute;left:1133;top:1440;width:2;height:13680" coordorigin="1133,1440" coordsize="2,13680">
              <v:shape style="position:absolute;left:1133;top:1440;width:2;height:13680" coordorigin="1133,1440" coordsize="0,13680" path="m1133,1440l1133,15120e" filled="false" stroked="true" strokeweight="1.5pt" strokecolor="#000000">
                <v:path arrowok="t"/>
              </v:shape>
            </v:group>
            <v:group style="position:absolute;left:1148;top:15105;width:3174;height:2" coordorigin="1148,15105" coordsize="3174,2">
              <v:shape style="position:absolute;left:1148;top:15105;width:3174;height:2" coordorigin="1148,15105" coordsize="3174,0" path="m1148,15105l4322,15105e" filled="false" stroked="true" strokeweight="1.5pt" strokecolor="#000000">
                <v:path arrowok="t"/>
              </v:shape>
            </v:group>
            <v:group style="position:absolute;left:4329;top:2949;width:2;height:12142" coordorigin="4329,2949" coordsize="2,12142">
              <v:shape style="position:absolute;left:4329;top:2949;width:2;height:12142" coordorigin="4329,2949" coordsize="0,12142" path="m4329,2949l4329,15090e" filled="false" stroked="true" strokeweight=".72pt" strokecolor="#000000">
                <v:path arrowok="t"/>
              </v:shape>
            </v:group>
            <v:group style="position:absolute;left:4322;top:15105;width:30;height:2" coordorigin="4322,15105" coordsize="30,2">
              <v:shape style="position:absolute;left:4322;top:15105;width:30;height:2" coordorigin="4322,15105" coordsize="30,0" path="m4322,15105l4352,15105e" filled="false" stroked="true" strokeweight="1.5pt" strokecolor="#000000">
                <v:path arrowok="t"/>
              </v:shape>
            </v:group>
            <v:group style="position:absolute;left:4352;top:15105;width:3294;height:2" coordorigin="4352,15105" coordsize="3294,2">
              <v:shape style="position:absolute;left:4352;top:15105;width:3294;height:2" coordorigin="4352,15105" coordsize="3294,0" path="m4352,15105l7645,15105e" filled="false" stroked="true" strokeweight="1.5pt" strokecolor="#000000">
                <v:path arrowok="t"/>
              </v:shape>
            </v:group>
            <v:group style="position:absolute;left:7652;top:2949;width:2;height:12142" coordorigin="7652,2949" coordsize="2,12142">
              <v:shape style="position:absolute;left:7652;top:2949;width:2;height:12142" coordorigin="7652,2949" coordsize="0,12142" path="m7652,2949l7652,15090e" filled="false" stroked="true" strokeweight=".72pt" strokecolor="#000000">
                <v:path arrowok="t"/>
              </v:shape>
            </v:group>
            <v:group style="position:absolute;left:7645;top:15105;width:30;height:2" coordorigin="7645,15105" coordsize="30,2">
              <v:shape style="position:absolute;left:7645;top:15105;width:30;height:2" coordorigin="7645,15105" coordsize="30,0" path="m7645,15105l7675,15105e" filled="false" stroked="true" strokeweight="1.5pt" strokecolor="#000000">
                <v:path arrowok="t"/>
              </v:shape>
            </v:group>
            <v:group style="position:absolute;left:7675;top:15105;width:3013;height:2" coordorigin="7675,15105" coordsize="3013,2">
              <v:shape style="position:absolute;left:7675;top:15105;width:3013;height:2" coordorigin="7675,15105" coordsize="3013,0" path="m7675,15105l10687,15105e" filled="false" stroked="true" strokeweight="1.5pt" strokecolor="#000000">
                <v:path arrowok="t"/>
              </v:shape>
            </v:group>
            <v:group style="position:absolute;left:10702;top:1440;width:2;height:13680" coordorigin="10702,1440" coordsize="2,13680">
              <v:shape style="position:absolute;left:10702;top:1440;width:2;height:13680" coordorigin="10702,1440" coordsize="0,13680" path="m10702,1440l10702,15120e" filled="false" stroked="true" strokeweight="1.5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定量标准</w:t>
      </w:r>
    </w:p>
    <w:p>
      <w:pPr>
        <w:spacing w:line="316" w:lineRule="auto" w:before="110"/>
        <w:ind w:left="1225" w:right="4191" w:firstLine="0"/>
        <w:jc w:val="both"/>
        <w:rPr>
          <w:rFonts w:ascii="宋体" w:hAnsi="宋体" w:cs="宋体" w:eastAsia="宋体" w:hint="default"/>
          <w:sz w:val="18"/>
          <w:szCs w:val="18"/>
        </w:rPr>
      </w:pPr>
      <w:r>
        <w:rPr/>
        <w:br w:type="column"/>
      </w:r>
      <w:r>
        <w:rPr>
          <w:rFonts w:ascii="宋体" w:hAnsi="宋体" w:cs="宋体" w:eastAsia="宋体" w:hint="default"/>
          <w:sz w:val="18"/>
          <w:szCs w:val="18"/>
        </w:rPr>
        <w:t>以利润总额和总资产孰低的原则确定重要 性水平。①内部控制缺陷可能导致或导致 的损失与利润表相关的，以利润总额作为 指标衡量。如果该缺陷单独或连同其他缺 陷可能导致的财务报告错报金额小于利润 总额的</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z w:val="18"/>
          <w:szCs w:val="18"/>
        </w:rPr>
        <w:t>，认定为一般缺陷；如果超过利 润总额</w:t>
      </w:r>
      <w:r>
        <w:rPr>
          <w:rFonts w:ascii="宋体" w:hAnsi="宋体" w:cs="宋体" w:eastAsia="宋体" w:hint="default"/>
          <w:spacing w:val="-38"/>
          <w:sz w:val="18"/>
          <w:szCs w:val="18"/>
        </w:rPr>
        <w:t> </w:t>
      </w:r>
      <w:r>
        <w:rPr>
          <w:rFonts w:ascii="宋体" w:hAnsi="宋体" w:cs="宋体" w:eastAsia="宋体" w:hint="default"/>
          <w:spacing w:val="-17"/>
          <w:sz w:val="18"/>
          <w:szCs w:val="18"/>
        </w:rPr>
        <w:t>1%</w:t>
      </w:r>
      <w:r>
        <w:rPr>
          <w:rFonts w:ascii="宋体" w:hAnsi="宋体" w:cs="宋体" w:eastAsia="宋体" w:hint="default"/>
          <w:spacing w:val="-17"/>
          <w:sz w:val="18"/>
          <w:szCs w:val="18"/>
        </w:rPr>
        <w:t>、不足</w:t>
      </w:r>
      <w:r>
        <w:rPr>
          <w:rFonts w:ascii="宋体" w:hAnsi="宋体" w:cs="宋体" w:eastAsia="宋体" w:hint="default"/>
          <w:spacing w:val="-38"/>
          <w:sz w:val="18"/>
          <w:szCs w:val="18"/>
        </w:rPr>
        <w:t> </w:t>
      </w:r>
      <w:r>
        <w:rPr>
          <w:rFonts w:ascii="宋体" w:hAnsi="宋体" w:cs="宋体" w:eastAsia="宋体" w:hint="default"/>
          <w:spacing w:val="-19"/>
          <w:sz w:val="18"/>
          <w:szCs w:val="18"/>
        </w:rPr>
        <w:t>5%</w:t>
      </w:r>
      <w:r>
        <w:rPr>
          <w:rFonts w:ascii="宋体" w:hAnsi="宋体" w:cs="宋体" w:eastAsia="宋体" w:hint="default"/>
          <w:spacing w:val="-19"/>
          <w:sz w:val="18"/>
          <w:szCs w:val="18"/>
        </w:rPr>
        <w:t>（超过、不足均含本数），</w:t>
      </w:r>
    </w:p>
    <w:p>
      <w:pPr>
        <w:spacing w:line="316" w:lineRule="auto" w:before="19"/>
        <w:ind w:left="1225" w:right="1329" w:firstLine="0"/>
        <w:jc w:val="left"/>
        <w:rPr>
          <w:rFonts w:ascii="宋体" w:hAnsi="宋体" w:cs="宋体" w:eastAsia="宋体" w:hint="default"/>
          <w:sz w:val="18"/>
          <w:szCs w:val="18"/>
        </w:rPr>
      </w:pPr>
      <w:r>
        <w:rPr>
          <w:rFonts w:ascii="宋体" w:hAnsi="宋体" w:cs="宋体" w:eastAsia="宋体" w:hint="default"/>
          <w:sz w:val="18"/>
          <w:szCs w:val="18"/>
        </w:rPr>
        <w:t>认定为重要缺陷；如果大于利润总额</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参照财务报告内部控制缺陷的定量评</w:t>
      </w:r>
      <w:r>
        <w:rPr>
          <w:rFonts w:ascii="宋体" w:hAnsi="宋体" w:cs="宋体" w:eastAsia="宋体" w:hint="default"/>
          <w:sz w:val="18"/>
          <w:szCs w:val="18"/>
        </w:rPr>
        <w:t> 认定为重大缺陷。②内部控制缺陷可能导</w:t>
      </w:r>
      <w:r>
        <w:rPr>
          <w:rFonts w:ascii="宋体" w:hAnsi="宋体" w:cs="宋体" w:eastAsia="宋体" w:hint="default"/>
          <w:spacing w:val="-8"/>
          <w:sz w:val="18"/>
          <w:szCs w:val="18"/>
        </w:rPr>
        <w:t> </w:t>
      </w:r>
      <w:r>
        <w:rPr>
          <w:rFonts w:ascii="宋体" w:hAnsi="宋体" w:cs="宋体" w:eastAsia="宋体" w:hint="default"/>
          <w:sz w:val="18"/>
          <w:szCs w:val="18"/>
        </w:rPr>
        <w:t>价标准执行。</w:t>
      </w:r>
      <w:r>
        <w:rPr>
          <w:rFonts w:ascii="宋体" w:hAnsi="宋体" w:cs="宋体" w:eastAsia="宋体" w:hint="default"/>
          <w:sz w:val="18"/>
          <w:szCs w:val="18"/>
        </w:rPr>
        <w:t> 致或导致的损失与资产管理相关的，以总 资产作为指标衡量。如果该缺陷单独或连 同其他缺陷可能导致的财务报告错报金额</w:t>
      </w:r>
    </w:p>
    <w:p>
      <w:pPr>
        <w:spacing w:line="319" w:lineRule="auto" w:before="19"/>
        <w:ind w:left="1225" w:right="4280" w:firstLine="0"/>
        <w:jc w:val="both"/>
        <w:rPr>
          <w:rFonts w:ascii="宋体" w:hAnsi="宋体" w:cs="宋体" w:eastAsia="宋体" w:hint="default"/>
          <w:sz w:val="18"/>
          <w:szCs w:val="18"/>
        </w:rPr>
      </w:pPr>
      <w:r>
        <w:rPr>
          <w:rFonts w:ascii="宋体" w:hAnsi="宋体" w:cs="宋体" w:eastAsia="宋体" w:hint="default"/>
          <w:sz w:val="18"/>
          <w:szCs w:val="18"/>
        </w:rPr>
        <w:t>小于总资产的</w:t>
      </w:r>
      <w:r>
        <w:rPr>
          <w:rFonts w:ascii="宋体" w:hAnsi="宋体" w:cs="宋体" w:eastAsia="宋体" w:hint="default"/>
          <w:spacing w:val="-62"/>
          <w:sz w:val="18"/>
          <w:szCs w:val="18"/>
        </w:rPr>
        <w:t> </w:t>
      </w:r>
      <w:r>
        <w:rPr>
          <w:rFonts w:ascii="宋体" w:hAnsi="宋体" w:cs="宋体" w:eastAsia="宋体" w:hint="default"/>
          <w:sz w:val="18"/>
          <w:szCs w:val="18"/>
        </w:rPr>
        <w:t>0.5%</w:t>
      </w:r>
      <w:r>
        <w:rPr>
          <w:rFonts w:ascii="宋体" w:hAnsi="宋体" w:cs="宋体" w:eastAsia="宋体" w:hint="default"/>
          <w:sz w:val="18"/>
          <w:szCs w:val="18"/>
        </w:rPr>
        <w:t>，认定为一般缺陷；如 果超过资产总额</w:t>
      </w:r>
      <w:r>
        <w:rPr>
          <w:rFonts w:ascii="宋体" w:hAnsi="宋体" w:cs="宋体" w:eastAsia="宋体" w:hint="default"/>
          <w:spacing w:val="-41"/>
          <w:sz w:val="18"/>
          <w:szCs w:val="18"/>
        </w:rPr>
        <w:t> </w:t>
      </w:r>
      <w:r>
        <w:rPr>
          <w:rFonts w:ascii="宋体" w:hAnsi="宋体" w:cs="宋体" w:eastAsia="宋体" w:hint="default"/>
          <w:spacing w:val="-4"/>
          <w:sz w:val="18"/>
          <w:szCs w:val="18"/>
        </w:rPr>
        <w:t>0.5%</w:t>
      </w:r>
      <w:r>
        <w:rPr>
          <w:rFonts w:ascii="宋体" w:hAnsi="宋体" w:cs="宋体" w:eastAsia="宋体" w:hint="default"/>
          <w:spacing w:val="-4"/>
          <w:sz w:val="18"/>
          <w:szCs w:val="18"/>
        </w:rPr>
        <w:t>、不足</w:t>
      </w:r>
      <w:r>
        <w:rPr>
          <w:rFonts w:ascii="宋体" w:hAnsi="宋体" w:cs="宋体" w:eastAsia="宋体" w:hint="default"/>
          <w:spacing w:val="-40"/>
          <w:sz w:val="18"/>
          <w:szCs w:val="18"/>
        </w:rPr>
        <w:t> </w:t>
      </w:r>
      <w:r>
        <w:rPr>
          <w:rFonts w:ascii="宋体" w:hAnsi="宋体" w:cs="宋体" w:eastAsia="宋体" w:hint="default"/>
          <w:spacing w:val="-7"/>
          <w:sz w:val="18"/>
          <w:szCs w:val="18"/>
        </w:rPr>
        <w:t>1%</w:t>
      </w:r>
      <w:r>
        <w:rPr>
          <w:rFonts w:ascii="宋体" w:hAnsi="宋体" w:cs="宋体" w:eastAsia="宋体" w:hint="default"/>
          <w:spacing w:val="-7"/>
          <w:sz w:val="18"/>
          <w:szCs w:val="18"/>
        </w:rPr>
        <w:t>（超过、不</w:t>
      </w:r>
      <w:r>
        <w:rPr>
          <w:rFonts w:ascii="宋体" w:hAnsi="宋体" w:cs="宋体" w:eastAsia="宋体" w:hint="default"/>
          <w:sz w:val="18"/>
          <w:szCs w:val="18"/>
        </w:rPr>
        <w:t> </w:t>
      </w:r>
      <w:r>
        <w:rPr>
          <w:rFonts w:ascii="宋体" w:hAnsi="宋体" w:cs="宋体" w:eastAsia="宋体" w:hint="default"/>
          <w:spacing w:val="-9"/>
          <w:sz w:val="18"/>
          <w:szCs w:val="18"/>
        </w:rPr>
        <w:t>足均含本数），认定为重要缺陷；如果大于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总资产</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，认定为重大缺陷。</w:t>
      </w:r>
    </w:p>
    <w:p>
      <w:pPr>
        <w:spacing w:after="0" w:line="319" w:lineRule="auto"/>
        <w:jc w:val="both"/>
        <w:rPr>
          <w:rFonts w:ascii="宋体" w:hAnsi="宋体" w:cs="宋体" w:eastAsia="宋体" w:hint="default"/>
          <w:sz w:val="18"/>
          <w:szCs w:val="18"/>
        </w:rPr>
        <w:sectPr>
          <w:type w:val="continuous"/>
          <w:pgSz w:w="11910" w:h="16840"/>
          <w:pgMar w:top="1040" w:bottom="1180" w:left="0" w:right="0"/>
          <w:cols w:num="2" w:equalWidth="0">
            <w:col w:w="3091" w:space="40"/>
            <w:col w:w="8779"/>
          </w:cols>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95"/>
        <w:gridCol w:w="6373"/>
      </w:tblGrid>
      <w:tr>
        <w:trPr>
          <w:trHeight w:val="415" w:hRule="exact"/>
        </w:trPr>
        <w:tc>
          <w:tcPr>
            <w:tcW w:w="31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7" w:hRule="exact"/>
        </w:trPr>
        <w:tc>
          <w:tcPr>
            <w:tcW w:w="31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07" w:hRule="exact"/>
        </w:trPr>
        <w:tc>
          <w:tcPr>
            <w:tcW w:w="31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r>
        <w:trPr>
          <w:trHeight w:val="415" w:hRule="exact"/>
        </w:trPr>
        <w:tc>
          <w:tcPr>
            <w:tcW w:w="31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13"/>
          <w:szCs w:val="13"/>
        </w:rPr>
      </w:pPr>
    </w:p>
    <w:p>
      <w:pPr>
        <w:pStyle w:val="Heading2"/>
        <w:spacing w:line="240" w:lineRule="auto" w:before="26"/>
        <w:ind w:right="1121"/>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pStyle w:val="BodyText"/>
        <w:spacing w:line="240" w:lineRule="auto" w:before="177"/>
        <w:ind w:right="1121"/>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before="0"/>
        <w:ind w:right="0"/>
        <w:jc w:val="center"/>
        <w:rPr>
          <w:b w:val="0"/>
          <w:bCs w:val="0"/>
        </w:rPr>
      </w:pPr>
      <w:bookmarkStart w:name="第十节 公司债券相关情况" w:id="149"/>
      <w:bookmarkEnd w:id="149"/>
      <w:r>
        <w:rPr>
          <w:b w:val="0"/>
          <w:bCs w:val="0"/>
        </w:rPr>
      </w:r>
      <w:bookmarkStart w:name="_bookmark9"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6"/>
          <w:szCs w:val="46"/>
        </w:rPr>
      </w:pPr>
    </w:p>
    <w:p>
      <w:pPr>
        <w:pStyle w:val="BodyText"/>
        <w:spacing w:line="408" w:lineRule="auto" w:before="0"/>
        <w:ind w:right="1121"/>
        <w:jc w:val="left"/>
      </w:pPr>
      <w:r>
        <w:rPr>
          <w:spacing w:val="-1"/>
        </w:rPr>
        <w:t>公司是否存在公开发行并在证券交易所上市，且在年度报告批准报出日未到期或到期未能全额兑付的公司</w:t>
      </w:r>
      <w:r>
        <w:rPr>
          <w:spacing w:val="-81"/>
        </w:rPr>
        <w:t> </w:t>
      </w:r>
      <w:r>
        <w:rPr>
          <w:spacing w:val="-81"/>
        </w:rPr>
      </w:r>
      <w:r>
        <w:rPr/>
        <w:t>债券</w:t>
      </w:r>
    </w:p>
    <w:p>
      <w:pPr>
        <w:pStyle w:val="BodyText"/>
        <w:spacing w:line="240" w:lineRule="auto"/>
        <w:ind w:left="1134" w:right="1121"/>
        <w:jc w:val="left"/>
      </w:pPr>
      <w:r>
        <w:rPr/>
        <w:t>□ 是 √ 否</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0"/>
        <w:jc w:val="center"/>
        <w:rPr>
          <w:b w:val="0"/>
          <w:bCs w:val="0"/>
        </w:rPr>
      </w:pPr>
      <w:bookmarkStart w:name="第十一节 财务报告" w:id="151"/>
      <w:bookmarkEnd w:id="151"/>
      <w:r>
        <w:rPr>
          <w:b w:val="0"/>
          <w:bCs w:val="0"/>
        </w:rPr>
      </w:r>
      <w:bookmarkStart w:name="_bookmark10"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1121"/>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4774"/>
        <w:gridCol w:w="4795"/>
      </w:tblGrid>
      <w:tr>
        <w:trPr>
          <w:trHeight w:val="415" w:hRule="exact"/>
        </w:trPr>
        <w:tc>
          <w:tcPr>
            <w:tcW w:w="477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5"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7" w:hRule="exact"/>
        </w:trPr>
        <w:tc>
          <w:tcPr>
            <w:tcW w:w="47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47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7" w:hRule="exact"/>
        </w:trPr>
        <w:tc>
          <w:tcPr>
            <w:tcW w:w="47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5"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众会字 </w:t>
            </w:r>
            <w:r>
              <w:rPr>
                <w:rFonts w:ascii="宋体" w:hAnsi="宋体" w:cs="宋体" w:eastAsia="宋体"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0562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5" w:hRule="exact"/>
        </w:trPr>
        <w:tc>
          <w:tcPr>
            <w:tcW w:w="477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5"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文爱凤、陈芝莲</w:t>
            </w:r>
          </w:p>
        </w:tc>
      </w:tr>
    </w:tbl>
    <w:p>
      <w:pPr>
        <w:spacing w:line="240" w:lineRule="auto" w:before="1"/>
        <w:rPr>
          <w:rFonts w:ascii="宋体" w:hAnsi="宋体" w:cs="宋体" w:eastAsia="宋体" w:hint="default"/>
          <w:b/>
          <w:bCs/>
          <w:sz w:val="14"/>
          <w:szCs w:val="14"/>
        </w:rPr>
      </w:pPr>
    </w:p>
    <w:p>
      <w:pPr>
        <w:pStyle w:val="BodyText"/>
        <w:spacing w:line="240" w:lineRule="auto" w:before="35"/>
        <w:ind w:left="1" w:right="0"/>
        <w:jc w:val="center"/>
      </w:pPr>
      <w:r>
        <w:rPr/>
        <w:t>审计报告正文</w:t>
      </w:r>
    </w:p>
    <w:p>
      <w:pPr>
        <w:spacing w:line="240" w:lineRule="auto" w:before="1"/>
        <w:rPr>
          <w:rFonts w:ascii="宋体" w:hAnsi="宋体" w:cs="宋体" w:eastAsia="宋体" w:hint="default"/>
          <w:sz w:val="12"/>
          <w:szCs w:val="12"/>
        </w:rPr>
      </w:pPr>
    </w:p>
    <w:p>
      <w:pPr>
        <w:pStyle w:val="Heading4"/>
        <w:spacing w:line="240" w:lineRule="auto" w:before="35"/>
        <w:ind w:left="1133" w:right="0"/>
        <w:jc w:val="both"/>
        <w:rPr>
          <w:b w:val="0"/>
          <w:bCs w:val="0"/>
        </w:rPr>
      </w:pPr>
      <w:r>
        <w:rPr/>
        <w:t>光一科技股份有限公司全体股东：</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53" w:right="1121" w:firstLine="2"/>
        <w:jc w:val="left"/>
      </w:pPr>
      <w:r>
        <w:rPr>
          <w:rFonts w:ascii="宋体" w:hAnsi="宋体" w:cs="宋体" w:eastAsia="宋体" w:hint="default"/>
          <w:b/>
          <w:bCs/>
        </w:rPr>
        <w:t>（一）审计意见</w:t>
      </w:r>
      <w:r>
        <w:rPr>
          <w:rFonts w:ascii="宋体" w:hAnsi="宋体" w:cs="宋体" w:eastAsia="宋体" w:hint="default"/>
          <w:b/>
          <w:bCs/>
          <w:w w:val="99"/>
        </w:rPr>
        <w:t> </w:t>
      </w:r>
      <w:r>
        <w:rPr>
          <w:spacing w:val="-1"/>
        </w:rPr>
        <w:t>我们审计了光一科技股份有限公司（以下简称光一科技）财务报表，包括</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日的合并及公</w:t>
      </w:r>
    </w:p>
    <w:p>
      <w:pPr>
        <w:pStyle w:val="BodyText"/>
        <w:spacing w:line="408" w:lineRule="auto"/>
        <w:ind w:right="1131"/>
        <w:jc w:val="both"/>
      </w:pPr>
      <w:r>
        <w:rPr>
          <w:spacing w:val="-1"/>
        </w:rPr>
        <w:t>司资产负债表，</w:t>
      </w:r>
      <w:r>
        <w:rPr>
          <w:rFonts w:ascii="宋体" w:hAnsi="宋体" w:cs="宋体" w:eastAsia="宋体" w:hint="default"/>
          <w:spacing w:val="-1"/>
        </w:rPr>
        <w:t>2017</w:t>
      </w:r>
      <w:r>
        <w:rPr>
          <w:spacing w:val="-1"/>
        </w:rPr>
        <w:t>年度的合并及公司利润表、合并及公司现金流量表、合并及公司所有者权益变动表以</w:t>
      </w:r>
      <w:r>
        <w:rPr>
          <w:spacing w:val="-81"/>
        </w:rPr>
        <w:t> </w:t>
      </w:r>
      <w:r>
        <w:rPr>
          <w:spacing w:val="-81"/>
        </w:rPr>
      </w:r>
      <w:r>
        <w:rPr/>
        <w:t>及相关财务报表附注。</w:t>
      </w:r>
    </w:p>
    <w:p>
      <w:pPr>
        <w:pStyle w:val="BodyText"/>
        <w:spacing w:line="408" w:lineRule="auto"/>
        <w:ind w:right="1121" w:firstLine="420"/>
        <w:jc w:val="left"/>
      </w:pPr>
      <w:r>
        <w:rPr>
          <w:spacing w:val="-1"/>
        </w:rPr>
        <w:t>我们认为，后附的财务报表在所有重大方面按照企业会计准则的规定编制，公允反映了光一科技</w:t>
      </w:r>
      <w:r>
        <w:rPr>
          <w:rFonts w:ascii="宋体" w:hAnsi="宋体" w:cs="宋体" w:eastAsia="宋体" w:hint="default"/>
          <w:spacing w:val="-1"/>
        </w:rPr>
        <w:t>2017</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2017</w:t>
      </w:r>
      <w:r>
        <w:rPr/>
        <w:t>年度的合并及公司经营成果和现金流量。</w:t>
      </w:r>
    </w:p>
    <w:p>
      <w:pPr>
        <w:spacing w:line="408" w:lineRule="auto" w:before="46"/>
        <w:ind w:left="1553" w:right="1121"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1"/>
          <w:sz w:val="21"/>
          <w:szCs w:val="21"/>
        </w:rPr>
        <w:t>我们按照中国注册会计师审计准则的规定执行了审计工作。审计报告的“注册会计师对财务报表审计</w:t>
      </w:r>
    </w:p>
    <w:p>
      <w:pPr>
        <w:pStyle w:val="BodyText"/>
        <w:spacing w:line="408" w:lineRule="auto"/>
        <w:ind w:right="1131"/>
        <w:jc w:val="both"/>
      </w:pPr>
      <w:r>
        <w:rPr>
          <w:spacing w:val="-1"/>
        </w:rPr>
        <w:t>的责任”部分进一步阐述了我们在这些准则下的责任。按照中国注册会计师职业道德守则，我们独立于光</w:t>
      </w:r>
      <w:r>
        <w:rPr>
          <w:spacing w:val="-82"/>
        </w:rPr>
        <w:t> </w:t>
      </w:r>
      <w:r>
        <w:rPr>
          <w:spacing w:val="-82"/>
        </w:rPr>
      </w:r>
      <w:r>
        <w:rPr>
          <w:spacing w:val="-1"/>
        </w:rPr>
        <w:t>一科技，并履行了职业道德方面的其他责任。我们相信，我们获取的审计证据是充分、适当的，为发表审</w:t>
      </w:r>
      <w:r>
        <w:rPr>
          <w:spacing w:val="-83"/>
        </w:rPr>
        <w:t> </w:t>
      </w:r>
      <w:r>
        <w:rPr>
          <w:spacing w:val="-83"/>
        </w:rPr>
      </w:r>
      <w:r>
        <w:rPr/>
        <w:t>计意见提供了基础。</w:t>
      </w:r>
    </w:p>
    <w:p>
      <w:pPr>
        <w:pStyle w:val="BodyText"/>
        <w:spacing w:line="408" w:lineRule="auto"/>
        <w:ind w:left="1554" w:right="1121" w:firstLine="2"/>
        <w:jc w:val="left"/>
      </w:pP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 </w:t>
      </w:r>
      <w:r>
        <w:rPr>
          <w:rFonts w:ascii="宋体" w:hAnsi="宋体" w:cs="宋体" w:eastAsia="宋体" w:hint="default"/>
          <w:b/>
          <w:bCs/>
        </w:rPr>
        <w:t>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BodyText"/>
        <w:spacing w:line="240" w:lineRule="auto"/>
        <w:ind w:left="1134" w:right="0"/>
        <w:jc w:val="both"/>
      </w:pPr>
      <w:r>
        <w:rPr/>
        <w:t>财务报表整体进行审计并形成审计意见为背景，我们不对这些事项单独发表意见。</w:t>
      </w:r>
    </w:p>
    <w:p>
      <w:pPr>
        <w:spacing w:line="240" w:lineRule="auto" w:before="10"/>
        <w:rPr>
          <w:rFonts w:ascii="宋体" w:hAnsi="宋体" w:cs="宋体" w:eastAsia="宋体" w:hint="default"/>
          <w:sz w:val="14"/>
          <w:szCs w:val="14"/>
        </w:rPr>
      </w:pPr>
    </w:p>
    <w:p>
      <w:pPr>
        <w:pStyle w:val="BodyText"/>
        <w:spacing w:line="408" w:lineRule="auto" w:before="0"/>
        <w:ind w:left="1553" w:right="8758"/>
        <w:jc w:val="left"/>
      </w:pPr>
      <w:r>
        <w:rPr/>
        <w:t>（</w:t>
      </w:r>
      <w:r>
        <w:rPr>
          <w:rFonts w:ascii="宋体" w:hAnsi="宋体" w:cs="宋体" w:eastAsia="宋体" w:hint="default"/>
        </w:rPr>
        <w:t>1</w:t>
      </w:r>
      <w:r>
        <w:rPr/>
        <w:t>）收入确认 </w:t>
      </w:r>
      <w:r>
        <w:rPr>
          <w:rFonts w:ascii="宋体" w:hAnsi="宋体" w:cs="宋体" w:eastAsia="宋体" w:hint="default"/>
        </w:rPr>
        <w:t>1</w:t>
      </w:r>
      <w:r>
        <w:rPr/>
        <w:t>、关键审计事项</w:t>
      </w:r>
    </w:p>
    <w:p>
      <w:pPr>
        <w:pStyle w:val="BodyText"/>
        <w:spacing w:line="408" w:lineRule="auto"/>
        <w:ind w:right="1097" w:firstLine="420"/>
        <w:jc w:val="left"/>
      </w:pPr>
      <w:r>
        <w:rPr/>
        <w:t>如财务报表附注</w:t>
      </w:r>
      <w:r>
        <w:rPr>
          <w:spacing w:val="-4"/>
        </w:rPr>
        <w:t> </w:t>
      </w:r>
      <w:r>
        <w:rPr>
          <w:rFonts w:ascii="宋体" w:hAnsi="宋体" w:cs="宋体" w:eastAsia="宋体" w:hint="default"/>
        </w:rPr>
        <w:t>5.35</w:t>
      </w:r>
      <w:r>
        <w:rPr/>
        <w:t>所示，光一科技</w:t>
      </w:r>
      <w:r>
        <w:rPr>
          <w:rFonts w:ascii="宋体" w:hAnsi="宋体" w:cs="宋体" w:eastAsia="宋体" w:hint="default"/>
        </w:rPr>
        <w:t>2017</w:t>
      </w:r>
      <w:r>
        <w:rPr/>
        <w:t>年度实现营业收入</w:t>
      </w:r>
      <w:r>
        <w:rPr>
          <w:rFonts w:ascii="宋体" w:hAnsi="宋体" w:cs="宋体" w:eastAsia="宋体" w:hint="default"/>
        </w:rPr>
        <w:t>54,022.42</w:t>
      </w:r>
      <w:r>
        <w:rPr/>
        <w:t>万元，主要为低压集抄系统、 </w:t>
      </w:r>
      <w:r>
        <w:rPr>
          <w:spacing w:val="-1"/>
        </w:rPr>
        <w:t>专变采集终端、电能计量表箱、高低压成套等电力相关产品销售收入。受近年来电力行业及全国各地供电</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1"/>
        <w:jc w:val="both"/>
      </w:pPr>
      <w:r>
        <w:rPr>
          <w:spacing w:val="-1"/>
        </w:rPr>
        <w:t>公司招标规模下降的影响，</w:t>
      </w:r>
      <w:r>
        <w:rPr>
          <w:rFonts w:ascii="宋体" w:hAnsi="宋体" w:cs="宋体" w:eastAsia="宋体" w:hint="default"/>
          <w:spacing w:val="-1"/>
        </w:rPr>
        <w:t>2017</w:t>
      </w:r>
      <w:r>
        <w:rPr>
          <w:spacing w:val="-1"/>
        </w:rPr>
        <w:t>年公司营业收入下滑幅度较大。如附注</w:t>
      </w:r>
      <w:r>
        <w:rPr>
          <w:rFonts w:ascii="宋体" w:hAnsi="宋体" w:cs="宋体" w:eastAsia="宋体" w:hint="default"/>
          <w:spacing w:val="-1"/>
        </w:rPr>
        <w:t>3.25</w:t>
      </w:r>
      <w:r>
        <w:rPr>
          <w:spacing w:val="-1"/>
        </w:rPr>
        <w:t>所述的会计政策，产品销售收</w:t>
      </w:r>
      <w:r>
        <w:rPr>
          <w:spacing w:val="-80"/>
        </w:rPr>
        <w:t> </w:t>
      </w:r>
      <w:r>
        <w:rPr>
          <w:spacing w:val="-80"/>
        </w:rPr>
      </w:r>
      <w:r>
        <w:rPr>
          <w:spacing w:val="-1"/>
        </w:rPr>
        <w:t>入一般在按合同生产、发货，并经客户验收时确认收入。由于收入是贵公司的关键业绩指标之一，从而存</w:t>
      </w:r>
      <w:r>
        <w:rPr>
          <w:spacing w:val="-86"/>
        </w:rPr>
        <w:t> </w:t>
      </w:r>
      <w:r>
        <w:rPr>
          <w:spacing w:val="-86"/>
        </w:rPr>
      </w:r>
      <w:r>
        <w:rPr>
          <w:spacing w:val="-1"/>
        </w:rPr>
        <w:t>在管理层为了达到特定目标或期望而操纵收入确认的固有风险，我们将贵公司收入确认识别为关键审计事</w:t>
      </w:r>
      <w:r>
        <w:rPr>
          <w:spacing w:val="-81"/>
        </w:rPr>
        <w:t> </w:t>
      </w:r>
      <w:r>
        <w:rPr>
          <w:spacing w:val="-81"/>
        </w:rPr>
      </w:r>
      <w:r>
        <w:rPr/>
        <w:t>项。</w:t>
      </w:r>
    </w:p>
    <w:p>
      <w:pPr>
        <w:pStyle w:val="BodyText"/>
        <w:spacing w:line="408" w:lineRule="auto"/>
        <w:ind w:left="1554" w:right="4242"/>
        <w:jc w:val="left"/>
      </w:pPr>
      <w:r>
        <w:rPr>
          <w:rFonts w:ascii="宋体" w:hAnsi="宋体" w:cs="宋体" w:eastAsia="宋体" w:hint="default"/>
        </w:rPr>
        <w:t>2</w:t>
      </w:r>
      <w:r>
        <w:rPr/>
        <w:t>、审计中的应对 我们针对收入确认相关的上述关键审计事项执行的主要程序包括：</w:t>
      </w:r>
    </w:p>
    <w:p>
      <w:pPr>
        <w:pStyle w:val="BodyText"/>
        <w:spacing w:line="408" w:lineRule="auto"/>
        <w:ind w:right="1131" w:firstLine="420"/>
        <w:jc w:val="both"/>
      </w:pPr>
      <w:r>
        <w:rPr>
          <w:spacing w:val="-1"/>
        </w:rPr>
        <w:t>①我们通过审阅销售合同、对管理层进行访谈了解和评估管理层做出的收入确认政策是否符合企业会</w:t>
      </w:r>
      <w:r>
        <w:rPr/>
        <w:t> 计准则的规定；</w:t>
      </w:r>
    </w:p>
    <w:p>
      <w:pPr>
        <w:pStyle w:val="BodyText"/>
        <w:spacing w:line="408" w:lineRule="auto"/>
        <w:ind w:right="1133" w:firstLine="420"/>
        <w:jc w:val="both"/>
      </w:pPr>
      <w:r>
        <w:rPr>
          <w:spacing w:val="-1"/>
        </w:rPr>
        <w:t>②对本年记录的收入交易选取样本，核对销售合同、发票、验收单等，评价相关收入确认是否符合贵</w:t>
      </w:r>
      <w:r>
        <w:rPr/>
        <w:t> 公司收入确认的会计政策；</w:t>
      </w:r>
    </w:p>
    <w:p>
      <w:pPr>
        <w:pStyle w:val="BodyText"/>
        <w:spacing w:line="240" w:lineRule="auto"/>
        <w:ind w:left="1553" w:right="1121"/>
        <w:jc w:val="left"/>
      </w:pPr>
      <w:r>
        <w:rPr/>
        <w:t>③了解并测试与收入确认相关的内部控制，确认其是否值得依赖；</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spacing w:val="-1"/>
        </w:rPr>
        <w:t>④就资产负债表日前后记录的收入交易，选取样本，核对验收单及其他支持性文件，以评价收入是否</w:t>
      </w:r>
      <w:r>
        <w:rPr/>
        <w:t> 被记录于恰当的会计期间；</w:t>
      </w:r>
    </w:p>
    <w:p>
      <w:pPr>
        <w:pStyle w:val="BodyText"/>
        <w:spacing w:line="240" w:lineRule="auto"/>
        <w:ind w:left="1553" w:right="1121"/>
        <w:jc w:val="left"/>
      </w:pPr>
      <w:r>
        <w:rPr/>
        <w:t>⑤挑选重要客户执行函证程序以确认应收账款余额和销售收入金额。</w:t>
      </w:r>
    </w:p>
    <w:p>
      <w:pPr>
        <w:spacing w:line="240" w:lineRule="auto" w:before="10"/>
        <w:rPr>
          <w:rFonts w:ascii="宋体" w:hAnsi="宋体" w:cs="宋体" w:eastAsia="宋体" w:hint="default"/>
          <w:sz w:val="14"/>
          <w:szCs w:val="14"/>
        </w:rPr>
      </w:pPr>
    </w:p>
    <w:p>
      <w:pPr>
        <w:pStyle w:val="BodyText"/>
        <w:spacing w:line="408" w:lineRule="auto" w:before="0"/>
        <w:ind w:left="1553" w:right="8758"/>
        <w:jc w:val="left"/>
      </w:pPr>
      <w:r>
        <w:rPr/>
        <w:t>（</w:t>
      </w:r>
      <w:r>
        <w:rPr>
          <w:rFonts w:ascii="宋体" w:hAnsi="宋体" w:cs="宋体" w:eastAsia="宋体" w:hint="default"/>
        </w:rPr>
        <w:t>2</w:t>
      </w:r>
      <w:r>
        <w:rPr/>
        <w:t>）商誉减值 </w:t>
      </w:r>
      <w:r>
        <w:rPr>
          <w:rFonts w:ascii="宋体" w:hAnsi="宋体" w:cs="宋体" w:eastAsia="宋体" w:hint="default"/>
        </w:rPr>
        <w:t>1</w:t>
      </w:r>
      <w:r>
        <w:rPr/>
        <w:t>、关键审计事项</w:t>
      </w:r>
    </w:p>
    <w:p>
      <w:pPr>
        <w:pStyle w:val="BodyText"/>
        <w:spacing w:line="408" w:lineRule="auto"/>
        <w:ind w:left="1134" w:right="1131" w:firstLine="420"/>
        <w:jc w:val="both"/>
      </w:pPr>
      <w:r>
        <w:rPr/>
        <w:t>如财务报表附注</w:t>
      </w:r>
      <w:r>
        <w:rPr>
          <w:spacing w:val="-27"/>
        </w:rPr>
        <w:t> </w:t>
      </w:r>
      <w:r>
        <w:rPr>
          <w:rFonts w:ascii="宋体" w:hAnsi="宋体" w:cs="宋体" w:eastAsia="宋体" w:hint="default"/>
        </w:rPr>
        <w:t>5.15</w:t>
      </w:r>
      <w:r>
        <w:rPr/>
        <w:t>所示，截至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日，光一科技商誉账面原值为</w:t>
      </w:r>
      <w:r>
        <w:rPr>
          <w:rFonts w:ascii="宋体" w:hAnsi="宋体" w:cs="宋体" w:eastAsia="宋体" w:hint="default"/>
        </w:rPr>
        <w:t>35,634.86</w:t>
      </w:r>
      <w:r>
        <w:rPr/>
        <w:t>万元，商誉减 值准备</w:t>
      </w:r>
      <w:r>
        <w:rPr>
          <w:rFonts w:ascii="宋体" w:hAnsi="宋体" w:cs="宋体" w:eastAsia="宋体" w:hint="default"/>
        </w:rPr>
        <w:t>35,291.05</w:t>
      </w:r>
      <w:r>
        <w:rPr/>
        <w:t>万元。光一科技每年期末均对商誉通过专门的方法进行减值测试，其中涉及到多项需由</w:t>
      </w:r>
      <w:r>
        <w:rPr>
          <w:spacing w:val="-37"/>
        </w:rPr>
        <w:t> </w:t>
      </w:r>
      <w:r>
        <w:rPr>
          <w:spacing w:val="-37"/>
        </w:rPr>
      </w:r>
      <w:r>
        <w:rPr>
          <w:spacing w:val="-1"/>
        </w:rPr>
        <w:t>光一科技管理层判断和估计的指标，主要包括未来收入增长率、未来经营利润率及适用的折现率。由于商</w:t>
      </w:r>
      <w:r>
        <w:rPr>
          <w:spacing w:val="-83"/>
        </w:rPr>
        <w:t> </w:t>
      </w:r>
      <w:r>
        <w:rPr>
          <w:spacing w:val="-83"/>
        </w:rPr>
      </w:r>
      <w:r>
        <w:rPr>
          <w:spacing w:val="-1"/>
        </w:rPr>
        <w:t>誉减值测试固有的复杂程度，以及管理层在对上述关键指标判断时可能的主观影响，因此我们确定该事项</w:t>
      </w:r>
      <w:r>
        <w:rPr>
          <w:spacing w:val="-81"/>
        </w:rPr>
        <w:t> </w:t>
      </w:r>
      <w:r>
        <w:rPr>
          <w:spacing w:val="-81"/>
        </w:rPr>
      </w:r>
      <w:r>
        <w:rPr/>
        <w:t>为关键审计事项。</w:t>
      </w:r>
    </w:p>
    <w:p>
      <w:pPr>
        <w:pStyle w:val="BodyText"/>
        <w:spacing w:line="408" w:lineRule="auto"/>
        <w:ind w:left="1554" w:right="4242"/>
        <w:jc w:val="left"/>
      </w:pPr>
      <w:r>
        <w:rPr>
          <w:rFonts w:ascii="宋体" w:hAnsi="宋体" w:cs="宋体" w:eastAsia="宋体" w:hint="default"/>
        </w:rPr>
        <w:t>2</w:t>
      </w:r>
      <w:r>
        <w:rPr/>
        <w:t>、审计中的应对 我们针对商誉减值相关的上述关键审计事项执行的主要程序包括：</w:t>
      </w:r>
    </w:p>
    <w:p>
      <w:pPr>
        <w:pStyle w:val="BodyText"/>
        <w:spacing w:line="408" w:lineRule="auto"/>
        <w:ind w:right="1131" w:firstLine="420"/>
        <w:jc w:val="both"/>
      </w:pPr>
      <w:r>
        <w:rPr>
          <w:spacing w:val="-1"/>
        </w:rPr>
        <w:t>①我们与管理层讨论商誉减值评估的方法，包括每个组成部分的预测未来收入、现金流折现率等假设</w:t>
      </w:r>
      <w:r>
        <w:rPr/>
        <w:t> 的合理性及每个组成部分盈利状况的判断和评估。</w:t>
      </w:r>
    </w:p>
    <w:p>
      <w:pPr>
        <w:pStyle w:val="BodyText"/>
        <w:spacing w:line="408" w:lineRule="auto"/>
        <w:ind w:left="1134" w:right="1132" w:firstLine="420"/>
        <w:jc w:val="both"/>
      </w:pPr>
      <w:r>
        <w:rPr>
          <w:spacing w:val="-1"/>
        </w:rPr>
        <w:t>②我们结合资产组及资产组组合的实际经营以及对于市场的分析复核了公司的商誉减值评估，将商誉</w:t>
      </w:r>
      <w:r>
        <w:rPr/>
        <w:t> 减值测试报告中关键输入信息与外部信息和历史信息进行比对。</w:t>
      </w:r>
    </w:p>
    <w:p>
      <w:pPr>
        <w:pStyle w:val="BodyText"/>
        <w:spacing w:line="408" w:lineRule="auto"/>
        <w:ind w:right="1131" w:firstLine="420"/>
        <w:jc w:val="both"/>
      </w:pPr>
      <w:r>
        <w:rPr>
          <w:spacing w:val="-1"/>
        </w:rPr>
        <w:t>③针对金额较大的商誉管理层委聘外部估值专家出具了评估报告，我们评估了该报告中所涉及的评估</w:t>
      </w:r>
      <w:r>
        <w:rPr/>
        <w:t> </w:t>
      </w:r>
      <w:r>
        <w:rPr>
          <w:spacing w:val="-1"/>
        </w:rPr>
        <w:t>减值测试模型是否适当；评价管理层委聘的外部估值专家的胜任能力、专业素质和客观性；并执行前述②</w:t>
      </w:r>
      <w:r>
        <w:rPr>
          <w:spacing w:val="-83"/>
        </w:rPr>
        <w:t> </w:t>
      </w:r>
      <w:r>
        <w:rPr>
          <w:spacing w:val="-83"/>
        </w:rPr>
      </w:r>
      <w:r>
        <w:rPr/>
        <w:t>复核程序。</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569" w:right="1123"/>
        <w:jc w:val="left"/>
      </w:pPr>
      <w:r>
        <w:rPr>
          <w:rFonts w:ascii="宋体" w:hAnsi="宋体" w:cs="宋体" w:eastAsia="宋体" w:hint="default"/>
          <w:b/>
          <w:bCs/>
        </w:rPr>
        <w:t>(</w:t>
      </w:r>
      <w:r>
        <w:rPr>
          <w:rFonts w:ascii="宋体" w:hAnsi="宋体" w:cs="宋体" w:eastAsia="宋体" w:hint="default"/>
          <w:b/>
          <w:bCs/>
        </w:rPr>
        <w:t>四</w:t>
      </w:r>
      <w:r>
        <w:rPr>
          <w:rFonts w:ascii="宋体" w:hAnsi="宋体" w:cs="宋体" w:eastAsia="宋体" w:hint="default"/>
          <w:b/>
          <w:bCs/>
        </w:rPr>
        <w:t>) </w:t>
      </w:r>
      <w:r>
        <w:rPr>
          <w:rFonts w:ascii="宋体" w:hAnsi="宋体" w:cs="宋体" w:eastAsia="宋体" w:hint="default"/>
          <w:b/>
          <w:bCs/>
        </w:rPr>
        <w:t>其他信息</w:t>
      </w:r>
      <w:r>
        <w:rPr>
          <w:rFonts w:ascii="宋体" w:hAnsi="宋体" w:cs="宋体" w:eastAsia="宋体" w:hint="default"/>
          <w:b/>
          <w:bCs/>
          <w:w w:val="99"/>
        </w:rPr>
        <w:t> </w:t>
      </w:r>
      <w:r>
        <w:rPr>
          <w:spacing w:val="-1"/>
        </w:rPr>
        <w:t>光一科技管理层（以下简称管理层）对其他信息负责。其他信息包括光一科技</w:t>
      </w:r>
      <w:r>
        <w:rPr>
          <w:rFonts w:ascii="宋体" w:hAnsi="宋体" w:cs="宋体" w:eastAsia="宋体" w:hint="default"/>
          <w:spacing w:val="-1"/>
        </w:rPr>
        <w:t>2017</w:t>
      </w:r>
      <w:r>
        <w:rPr>
          <w:spacing w:val="-1"/>
        </w:rPr>
        <w:t>年年度报告中涵盖</w:t>
      </w:r>
    </w:p>
    <w:p>
      <w:pPr>
        <w:pStyle w:val="BodyText"/>
        <w:spacing w:line="408" w:lineRule="auto"/>
        <w:ind w:left="1569" w:right="1121" w:hanging="436"/>
        <w:jc w:val="left"/>
      </w:pPr>
      <w:r>
        <w:rPr/>
        <w:t>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408" w:lineRule="auto"/>
        <w:ind w:left="1569" w:right="1121" w:hanging="436"/>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40" w:lineRule="auto"/>
        <w:ind w:left="1134" w:right="1121"/>
        <w:jc w:val="left"/>
      </w:pPr>
      <w:r>
        <w:rPr/>
        <w:t>们无任何事项需要报告。</w:t>
      </w:r>
    </w:p>
    <w:p>
      <w:pPr>
        <w:spacing w:line="240" w:lineRule="auto" w:before="10"/>
        <w:rPr>
          <w:rFonts w:ascii="宋体" w:hAnsi="宋体" w:cs="宋体" w:eastAsia="宋体" w:hint="default"/>
          <w:sz w:val="14"/>
          <w:szCs w:val="14"/>
        </w:rPr>
      </w:pPr>
    </w:p>
    <w:p>
      <w:pPr>
        <w:spacing w:line="408" w:lineRule="auto" w:before="0"/>
        <w:ind w:left="1569" w:right="1121" w:firstLine="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1"/>
          <w:sz w:val="21"/>
          <w:szCs w:val="21"/>
        </w:rPr>
        <w:t>管理层负责按照企业会计准则的规定编制财务报表，使其实现公允反映，并设计、执行和维护必要的</w:t>
      </w:r>
    </w:p>
    <w:p>
      <w:pPr>
        <w:pStyle w:val="BodyText"/>
        <w:spacing w:line="408" w:lineRule="auto"/>
        <w:ind w:left="1569" w:right="1121" w:hanging="436"/>
        <w:jc w:val="left"/>
      </w:pPr>
      <w:r>
        <w:rPr/>
        <w:t>内部控制，以使财务报表不存在由于舞弊或错误导致的重大错报。 </w:t>
      </w:r>
      <w:r>
        <w:rPr>
          <w:spacing w:val="-1"/>
        </w:rPr>
        <w:t>在编制财务报表时，管理层负责评估光一科技的持续经营能力，披露与持续经营相关的事项，并运用</w:t>
      </w:r>
    </w:p>
    <w:p>
      <w:pPr>
        <w:pStyle w:val="BodyText"/>
        <w:spacing w:line="408" w:lineRule="auto"/>
        <w:ind w:left="1569" w:right="3193" w:hanging="436"/>
        <w:jc w:val="left"/>
      </w:pPr>
      <w:r>
        <w:rPr/>
        <w:t>持续经营假设，除非管理层计划清算光一科技、终止运营或别无其他现实的选择。 治理层负责监督光一科技的财务报告过程。</w:t>
      </w:r>
    </w:p>
    <w:p>
      <w:pPr>
        <w:spacing w:line="408" w:lineRule="auto" w:before="46"/>
        <w:ind w:left="1569" w:right="1121" w:firstLine="107"/>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我们的目标是对财务报表整体是否不存在由于舞弊或错误导致的重大错报获取合理保证，并出具包含</w:t>
      </w:r>
    </w:p>
    <w:p>
      <w:pPr>
        <w:pStyle w:val="BodyText"/>
        <w:spacing w:line="408" w:lineRule="auto"/>
        <w:ind w:right="1130"/>
        <w:jc w:val="both"/>
      </w:pPr>
      <w:r>
        <w:rPr>
          <w:spacing w:val="-1"/>
        </w:rPr>
        <w:t>审计意见的审计报告。合理保证是高水平的保证，但并不能保证按照审计准则执行的审计在某一重大错报</w:t>
      </w:r>
      <w:r>
        <w:rPr>
          <w:spacing w:val="-80"/>
        </w:rPr>
        <w:t> </w:t>
      </w:r>
      <w:r>
        <w:rPr>
          <w:spacing w:val="-80"/>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8" w:lineRule="auto"/>
        <w:ind w:left="1134" w:right="1121" w:firstLine="435"/>
        <w:jc w:val="left"/>
      </w:pPr>
      <w:r>
        <w:rPr>
          <w:spacing w:val="-1"/>
        </w:rPr>
        <w:t>在按照审计准则执行审计工作的过程中，我们运用职业判断，并保持职业怀疑。同时，我们也执行以</w:t>
      </w:r>
      <w:r>
        <w:rPr/>
        <w:t> 下工作：</w:t>
      </w:r>
    </w:p>
    <w:p>
      <w:pPr>
        <w:pStyle w:val="BodyText"/>
        <w:spacing w:line="408" w:lineRule="auto"/>
        <w:ind w:left="1134" w:right="1023" w:firstLine="435"/>
        <w:jc w:val="left"/>
      </w:pPr>
      <w:r>
        <w:rPr/>
        <w:t>（</w:t>
      </w:r>
      <w:r>
        <w:rPr>
          <w:rFonts w:ascii="宋体" w:hAnsi="宋体" w:cs="宋体" w:eastAsia="宋体"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ind w:left="1569" w:right="1121"/>
        <w:jc w:val="left"/>
      </w:pPr>
      <w:r>
        <w:rPr/>
        <w:t>（</w:t>
      </w:r>
      <w:r>
        <w:rPr>
          <w:rFonts w:ascii="宋体" w:hAnsi="宋体" w:cs="宋体" w:eastAsia="宋体" w:hint="default"/>
        </w:rPr>
        <w:t>2</w:t>
      </w:r>
      <w:r>
        <w:rPr/>
        <w:t>）了解与审计相关的内部控制，以设计恰当的审计程序，但目的并非对内部控制的有效性发表意</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见。</w:t>
      </w:r>
    </w:p>
    <w:p>
      <w:pPr>
        <w:spacing w:line="240" w:lineRule="auto" w:before="10"/>
        <w:rPr>
          <w:rFonts w:ascii="宋体" w:hAnsi="宋体" w:cs="宋体" w:eastAsia="宋体" w:hint="default"/>
          <w:sz w:val="14"/>
          <w:szCs w:val="14"/>
        </w:rPr>
      </w:pPr>
    </w:p>
    <w:p>
      <w:pPr>
        <w:pStyle w:val="BodyText"/>
        <w:spacing w:line="240" w:lineRule="auto" w:before="0"/>
        <w:ind w:left="1533" w:right="1121"/>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4"/>
          <w:szCs w:val="14"/>
        </w:rPr>
      </w:pPr>
    </w:p>
    <w:p>
      <w:pPr>
        <w:pStyle w:val="BodyText"/>
        <w:spacing w:line="408" w:lineRule="auto" w:before="0"/>
        <w:ind w:left="1134" w:right="1121" w:firstLine="399"/>
        <w:jc w:val="left"/>
      </w:pPr>
      <w:r>
        <w:rPr/>
        <w:t>（</w:t>
      </w:r>
      <w:r>
        <w:rPr>
          <w:rFonts w:ascii="宋体" w:hAnsi="宋体" w:cs="宋体" w:eastAsia="宋体" w:hint="default"/>
        </w:rPr>
        <w:t>4</w:t>
      </w:r>
      <w:r>
        <w:rPr/>
        <w:t>）对管理层使用持续经营假设的恰当性得出结论。同时，根据获取的审计证据，就可能导致对光 </w:t>
      </w:r>
      <w:r>
        <w:rPr>
          <w:spacing w:val="-1"/>
        </w:rPr>
        <w:t>一科技持续经营能力产生重大疑虑的事项或情况是否存在重大不确定性得出结论。如果我们得出结论认为</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1"/>
        <w:jc w:val="both"/>
      </w:pP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5"/>
        </w:rPr>
        <w:t> </w:t>
      </w:r>
      <w:r>
        <w:rPr>
          <w:spacing w:val="-85"/>
        </w:rPr>
      </w:r>
      <w:r>
        <w:rPr/>
        <w:t>项或情况可能导致光一科技不能持续经营。</w:t>
      </w:r>
    </w:p>
    <w:p>
      <w:pPr>
        <w:pStyle w:val="BodyText"/>
        <w:spacing w:line="408" w:lineRule="auto"/>
        <w:ind w:right="1144" w:firstLine="399"/>
        <w:jc w:val="both"/>
      </w:pPr>
      <w:r>
        <w:rPr/>
        <w:t>（</w:t>
      </w:r>
      <w:r>
        <w:rPr>
          <w:rFonts w:ascii="宋体" w:hAnsi="宋体" w:cs="宋体" w:eastAsia="宋体" w:hint="default"/>
        </w:rPr>
        <w:t>5</w:t>
      </w:r>
      <w:r>
        <w:rPr/>
        <w:t>）评价财务报表的总体列报、结构和内容（包括披露），并评价财务报表是否公允反映相关交易 和事项。</w:t>
      </w:r>
    </w:p>
    <w:p>
      <w:pPr>
        <w:pStyle w:val="BodyText"/>
        <w:spacing w:line="408" w:lineRule="auto"/>
        <w:ind w:right="1144" w:firstLine="399"/>
        <w:jc w:val="both"/>
      </w:pPr>
      <w:r>
        <w:rPr/>
        <w:t>（</w:t>
      </w:r>
      <w:r>
        <w:rPr>
          <w:rFonts w:ascii="宋体" w:hAnsi="宋体" w:cs="宋体" w:eastAsia="宋体" w:hint="default"/>
        </w:rPr>
        <w:t>6</w:t>
      </w:r>
      <w:r>
        <w:rPr/>
        <w:t>）就光一科技中实体或业务活动的财务信息获取充分、适当的审计证据，以对财务报表发表审计 意见。我们负责指导、监督和执行集团审计，并对审计意见承担全部责任。</w:t>
      </w:r>
    </w:p>
    <w:p>
      <w:pPr>
        <w:pStyle w:val="BodyText"/>
        <w:spacing w:line="408" w:lineRule="auto"/>
        <w:ind w:right="1133" w:firstLine="399"/>
        <w:jc w:val="both"/>
      </w:pPr>
      <w:r>
        <w:rPr/>
        <w:t>我们与治理层就计划的审计范围、时间安排和重大审计发现等事项进行沟通，包括沟通我们在审计中 识别出的值得关注的内部控制缺陷。</w:t>
      </w:r>
    </w:p>
    <w:p>
      <w:pPr>
        <w:pStyle w:val="BodyText"/>
        <w:spacing w:line="408" w:lineRule="auto"/>
        <w:ind w:right="1132" w:firstLine="399"/>
        <w:jc w:val="both"/>
      </w:pPr>
      <w:r>
        <w:rPr/>
        <w:t>我们还就已遵守与独立性相关的职业道德要求向治理层提供声明，并与治理层沟通可能被合理认为影 响我们独立性的所有关系和其他事项，以及相关的防范措施。</w:t>
      </w:r>
    </w:p>
    <w:p>
      <w:pPr>
        <w:pStyle w:val="BodyText"/>
        <w:spacing w:line="408" w:lineRule="auto"/>
        <w:ind w:right="1132" w:firstLine="399"/>
        <w:jc w:val="both"/>
      </w:pPr>
      <w:r>
        <w:rPr/>
        <w:t>从与治理层沟通过的事项中，我们确定哪些事项对本期财务报表审计最为重要，因而构成关键审计事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7" w:footer="1000" w:top="1040" w:bottom="1180" w:left="0" w:right="0"/>
        </w:sectPr>
      </w:pPr>
    </w:p>
    <w:p>
      <w:pPr>
        <w:pStyle w:val="BodyText"/>
        <w:spacing w:line="240" w:lineRule="auto" w:before="35"/>
        <w:ind w:right="-19"/>
        <w:jc w:val="left"/>
      </w:pPr>
      <w:r>
        <w:rPr/>
        <w:t>众华会计师事务所（特殊普通合伙）</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544" w:lineRule="auto" w:before="0"/>
        <w:ind w:right="2459"/>
        <w:jc w:val="left"/>
      </w:pPr>
      <w:r>
        <w:rPr/>
        <w:t>中国注册会计师：文爱凤 中国注册会计师：陈芝莲</w:t>
      </w:r>
    </w:p>
    <w:p>
      <w:pPr>
        <w:spacing w:after="0" w:line="544" w:lineRule="auto"/>
        <w:jc w:val="left"/>
        <w:sectPr>
          <w:type w:val="continuous"/>
          <w:pgSz w:w="11910" w:h="16840"/>
          <w:pgMar w:top="1040" w:bottom="1180" w:left="0" w:right="0"/>
          <w:cols w:num="2" w:equalWidth="0">
            <w:col w:w="4495" w:space="1489"/>
            <w:col w:w="5926"/>
          </w:cols>
        </w:sectPr>
      </w:pPr>
    </w:p>
    <w:p>
      <w:pPr>
        <w:pStyle w:val="BodyText"/>
        <w:tabs>
          <w:tab w:pos="7746" w:val="left" w:leader="none"/>
        </w:tabs>
        <w:spacing w:line="240" w:lineRule="auto" w:before="82"/>
        <w:ind w:right="1121"/>
        <w:jc w:val="left"/>
      </w:pPr>
      <w:r>
        <w:rPr/>
        <w:t>中国，上海</w:t>
        <w:tab/>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w:t>
      </w:r>
    </w:p>
    <w:p>
      <w:pPr>
        <w:spacing w:line="240" w:lineRule="auto" w:before="12"/>
        <w:rPr>
          <w:rFonts w:ascii="宋体" w:hAnsi="宋体" w:cs="宋体" w:eastAsia="宋体" w:hint="default"/>
          <w:sz w:val="23"/>
          <w:szCs w:val="23"/>
        </w:rPr>
      </w:pPr>
    </w:p>
    <w:p>
      <w:pPr>
        <w:spacing w:line="458" w:lineRule="auto" w:before="0"/>
        <w:ind w:left="1133" w:right="7393" w:firstLine="0"/>
        <w:jc w:val="left"/>
        <w:rPr>
          <w:rFonts w:ascii="宋体" w:hAnsi="宋体" w:cs="宋体" w:eastAsia="宋体" w:hint="default"/>
          <w:sz w:val="21"/>
          <w:szCs w:val="21"/>
        </w:rPr>
      </w:pPr>
      <w:bookmarkStart w:name="二、财务报表" w:id="154"/>
      <w:bookmarkEnd w:id="154"/>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1"/>
          <w:szCs w:val="21"/>
        </w:rPr>
        <w:t>财务附注中报表的单位为：人民币元 </w:t>
      </w:r>
      <w:bookmarkStart w:name="1、合并资产负债表" w:id="155"/>
      <w:bookmarkEnd w:id="155"/>
      <w:r>
        <w:rPr>
          <w:rFonts w:ascii="宋体" w:hAnsi="宋体" w:cs="宋体" w:eastAsia="宋体" w:hint="default"/>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458" w:lineRule="auto"/>
        <w:jc w:val="left"/>
        <w:rPr>
          <w:rFonts w:ascii="宋体" w:hAnsi="宋体" w:cs="宋体" w:eastAsia="宋体" w:hint="default"/>
          <w:sz w:val="21"/>
          <w:szCs w:val="21"/>
        </w:rPr>
        <w:sectPr>
          <w:type w:val="continuous"/>
          <w:pgSz w:w="11910" w:h="16840"/>
          <w:pgMar w:top="1040" w:bottom="1180" w:left="0" w:right="0"/>
        </w:sectPr>
      </w:pPr>
    </w:p>
    <w:p>
      <w:pPr>
        <w:pStyle w:val="BodyText"/>
        <w:spacing w:line="240" w:lineRule="auto" w:before="2"/>
        <w:ind w:right="-19"/>
        <w:jc w:val="left"/>
      </w:pPr>
      <w:r>
        <w:rPr/>
        <w:t>编制单位：光一科技股份有限公司</w:t>
      </w:r>
    </w:p>
    <w:p>
      <w:pPr>
        <w:spacing w:line="240" w:lineRule="auto" w:before="13"/>
        <w:rPr>
          <w:rFonts w:ascii="宋体" w:hAnsi="宋体" w:cs="宋体" w:eastAsia="宋体" w:hint="default"/>
          <w:sz w:val="29"/>
          <w:szCs w:val="29"/>
        </w:rPr>
      </w:pPr>
      <w:r>
        <w:rPr/>
        <w:br w:type="column"/>
      </w:r>
      <w:r>
        <w:rPr>
          <w:rFonts w:ascii="宋体"/>
          <w:sz w:val="29"/>
        </w:rPr>
      </w:r>
    </w:p>
    <w:p>
      <w:pPr>
        <w:pStyle w:val="BodyText"/>
        <w:spacing w:line="240" w:lineRule="auto" w:before="0"/>
        <w:ind w:left="763" w:right="-13"/>
        <w:jc w:val="left"/>
      </w:pP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3" w:equalWidth="0">
            <w:col w:w="4285" w:space="40"/>
            <w:col w:w="2497" w:space="2099"/>
            <w:col w:w="2989"/>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4"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1290" w:right="0"/>
              <w:jc w:val="left"/>
              <w:rPr>
                <w:rFonts w:ascii="宋体" w:hAnsi="宋体" w:cs="宋体" w:eastAsia="宋体" w:hint="default"/>
                <w:sz w:val="18"/>
                <w:szCs w:val="18"/>
              </w:rPr>
            </w:pPr>
            <w:r>
              <w:rPr>
                <w:rFonts w:ascii="宋体"/>
                <w:sz w:val="18"/>
              </w:rPr>
              <w:t>200,655,286.23</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291" w:right="0"/>
              <w:jc w:val="left"/>
              <w:rPr>
                <w:rFonts w:ascii="宋体" w:hAnsi="宋体" w:cs="宋体" w:eastAsia="宋体" w:hint="default"/>
                <w:sz w:val="18"/>
                <w:szCs w:val="18"/>
              </w:rPr>
            </w:pPr>
            <w:r>
              <w:rPr>
                <w:rFonts w:ascii="宋体"/>
                <w:sz w:val="18"/>
              </w:rPr>
              <w:t>298,370,565.67</w:t>
            </w: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97" w:type="dxa"/>
            <w:tcBorders>
              <w:top w:val="single" w:sz="6" w:space="0" w:color="000000"/>
              <w:left w:val="single" w:sz="14" w:space="0" w:color="D2D2D2"/>
              <w:bottom w:val="single" w:sz="12" w:space="0" w:color="000000"/>
              <w:right w:val="single" w:sz="6" w:space="0" w:color="000000"/>
            </w:tcBorders>
          </w:tcPr>
          <w:p>
            <w:pPr/>
          </w:p>
        </w:tc>
        <w:tc>
          <w:tcPr>
            <w:tcW w:w="2586"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40,183,047.38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43,433,574.99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589,216,788.68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746,446,065.94</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23,019,594.39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12,269,176.05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3,283.52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323,371.63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21,967,886.12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17,048,372.31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107,405,499.65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97,017,490.63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12,505,089.47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32,163,904.29</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994,956,475.44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1,247,072,521.51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81,300,000.00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22,300,000.00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133,108,525.69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42,365,046.86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4,595,302.30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9,529,616.31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440,198,059.54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210,338,730.25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81,041,968.94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229,009,050.68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68,169,382.39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128,023,022.46</w:t>
            </w: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97" w:type="dxa"/>
            <w:tcBorders>
              <w:top w:val="single" w:sz="6" w:space="0" w:color="000000"/>
              <w:left w:val="single" w:sz="14" w:space="0" w:color="D2D2D2"/>
              <w:bottom w:val="single" w:sz="12" w:space="0" w:color="000000"/>
              <w:right w:val="single" w:sz="6" w:space="0" w:color="000000"/>
            </w:tcBorders>
          </w:tcPr>
          <w:p>
            <w:pPr/>
          </w:p>
        </w:tc>
        <w:tc>
          <w:tcPr>
            <w:tcW w:w="258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3,438,138.12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347,568,412.97</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9,037,334.21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9,585,265.19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18,174,164.24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21,012,462.03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839,062,875.43</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1,019,731,606.75</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1,834,019,350.87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2,266,804,128.26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120,003,850.00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76,000,000.00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4,957,831.68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10,252,810.41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204,817,574.35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350,887,716.67</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87,459,444.01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6,091,197.68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11,507,301.06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12,608,746.25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10,350,610.15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17,866,834.85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171,055.56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5,277,031.00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5,277,031.00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60,706,828.25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127,650,582.45</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172,113,648.60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63,003,420.51</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677,194,119.10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669,809,395.38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9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100,407,029.20</w:t>
            </w:r>
          </w:p>
        </w:tc>
        <w:tc>
          <w:tcPr>
            <w:tcW w:w="25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62,155,336.29</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0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12,659,418.89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16,406,925.79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3,702,565.47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5,683,597.63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116,769,013.56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84,245,859.71</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793,963,132.66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754,055,255.09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414,849,620.00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166,121,848.00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0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769,199,153.53</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1,036,932,346.20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54,115,440.00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95,452,000.00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21,281,039.35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21,281,039.35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-116,859,807.86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280,439,222.81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1,034,354,565.02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1,409,322,456.36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5,701,653.19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103,426,416.81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1,040,056,218.21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1,512,748,873.17</w:t>
            </w: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9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1,834,019,350.87</w:t>
            </w:r>
          </w:p>
        </w:tc>
        <w:tc>
          <w:tcPr>
            <w:tcW w:w="25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2,266,804,128.26</w:t>
            </w:r>
          </w:p>
        </w:tc>
      </w:tr>
    </w:tbl>
    <w:p>
      <w:pPr>
        <w:spacing w:line="240" w:lineRule="auto" w:before="3"/>
        <w:rPr>
          <w:rFonts w:ascii="Times New Roman" w:hAnsi="Times New Roman" w:cs="Times New Roman" w:eastAsia="Times New Roman" w:hint="default"/>
          <w:sz w:val="23"/>
          <w:szCs w:val="23"/>
        </w:rPr>
      </w:pPr>
    </w:p>
    <w:p>
      <w:pPr>
        <w:tabs>
          <w:tab w:pos="4554" w:val="left" w:leader="none"/>
          <w:tab w:pos="8695" w:val="left" w:leader="none"/>
        </w:tabs>
        <w:spacing w:before="44"/>
        <w:ind w:left="1134" w:right="1121"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主管会计工作负责人：周振娟</w:t>
        <w:tab/>
        <w:t>会计机构负责人：李琬玉</w:t>
      </w:r>
    </w:p>
    <w:p>
      <w:pPr>
        <w:spacing w:after="0"/>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4"/>
        <w:spacing w:line="240" w:lineRule="auto" w:before="35"/>
        <w:ind w:left="1133" w:right="1121"/>
        <w:jc w:val="left"/>
        <w:rPr>
          <w:b w:val="0"/>
          <w:bCs w:val="0"/>
        </w:rPr>
      </w:pPr>
      <w:bookmarkStart w:name="2、母公司资产负债表" w:id="156"/>
      <w:bookmarkEnd w:id="156"/>
      <w:r>
        <w:rPr>
          <w:b w:val="0"/>
          <w:bCs w:val="0"/>
        </w:rPr>
      </w:r>
      <w:r>
        <w:rPr>
          <w:rFonts w:ascii="宋体" w:hAnsi="宋体" w:cs="宋体" w:eastAsia="宋体" w:hint="default"/>
        </w:rPr>
        <w:t>2</w:t>
      </w:r>
      <w:r>
        <w:rPr/>
        <w:t>、母公司资产负债表</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6"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115,960,663.41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133,178,307.83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3,405,328.00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5,234,564.44</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176,729,591.48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209,308,904.33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12,314,203.16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3,339,529.76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3,283.52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323,371.63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24,820,063.70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51,013,876.20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57,084,637.36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35,935,767.76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1,434,411.77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54,238.88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391,752,182.40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438,388,560.83</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77,300,000.00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22,300,000.00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802,853,714.11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833,759,194.78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5,922,935.92</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299,294,465.93</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83,882,850.98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23,644,238.23</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172,769,953.10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26,127,343.17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26,870,659.33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97" w:type="dxa"/>
            <w:tcBorders>
              <w:top w:val="single" w:sz="6" w:space="0" w:color="000000"/>
              <w:left w:val="single" w:sz="14" w:space="0" w:color="D2D2D2"/>
              <w:bottom w:val="single" w:sz="12" w:space="0" w:color="000000"/>
              <w:right w:val="single" w:sz="6" w:space="0" w:color="000000"/>
            </w:tcBorders>
          </w:tcPr>
          <w:p>
            <w:pPr/>
          </w:p>
        </w:tc>
        <w:tc>
          <w:tcPr>
            <w:tcW w:w="258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3,495,758.74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4,501,163.16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10,812,139.24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312,278.58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1,243,527,659.42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1,150,319,035.85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1,635,279,841.82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1,588,707,596.68</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85,003,850.00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28,500,000.00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9,957,831.68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10,252,810.41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95,921,485.02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71,778,931.37</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828,488.29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4,220,458.08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3,543,557.86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4,412,779.11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3,330,293.42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6,152,020.33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162,528,700.50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137,114,861.13</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157,113,648.60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52,003,420.51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518,227,855.37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314,435,280.94</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100,407,029.20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44,155,336.29</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0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10,866,597.36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14,406,925.79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97" w:type="dxa"/>
            <w:tcBorders>
              <w:top w:val="single" w:sz="6" w:space="0" w:color="000000"/>
              <w:left w:val="single" w:sz="14" w:space="0" w:color="D2D2D2"/>
              <w:bottom w:val="single" w:sz="12" w:space="0" w:color="000000"/>
              <w:right w:val="single" w:sz="6" w:space="0" w:color="000000"/>
            </w:tcBorders>
          </w:tcPr>
          <w:p>
            <w:pPr/>
          </w:p>
        </w:tc>
        <w:tc>
          <w:tcPr>
            <w:tcW w:w="258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111,273,626.56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58,562,262.08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629,501,481.93</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372,997,543.02</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414,849,620.00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166,121,848.00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0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789,626,643.62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1,019,461,467.55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54,115,440.00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95,452,000.00</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21,281,039.35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21,281,039.35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-165,863,503.08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104,297,698.76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1,005,778,359.89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1,215,710,053.66</w:t>
            </w: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9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1,635,279,841.82</w:t>
            </w:r>
          </w:p>
        </w:tc>
        <w:tc>
          <w:tcPr>
            <w:tcW w:w="25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1,588,707,596.68</w:t>
            </w:r>
          </w:p>
        </w:tc>
      </w:tr>
    </w:tbl>
    <w:p>
      <w:pPr>
        <w:spacing w:line="240" w:lineRule="auto" w:before="9"/>
        <w:rPr>
          <w:rFonts w:ascii="Times New Roman" w:hAnsi="Times New Roman" w:cs="Times New Roman" w:eastAsia="Times New Roman" w:hint="default"/>
          <w:sz w:val="21"/>
          <w:szCs w:val="21"/>
        </w:rPr>
      </w:pPr>
    </w:p>
    <w:p>
      <w:pPr>
        <w:pStyle w:val="Heading4"/>
        <w:spacing w:line="240" w:lineRule="auto" w:before="35"/>
        <w:ind w:right="1121"/>
        <w:jc w:val="left"/>
        <w:rPr>
          <w:b w:val="0"/>
          <w:bCs w:val="0"/>
        </w:rPr>
      </w:pPr>
      <w:bookmarkStart w:name="3、合并利润表" w:id="157"/>
      <w:bookmarkEnd w:id="157"/>
      <w:r>
        <w:rPr>
          <w:b w:val="0"/>
          <w:bCs w:val="0"/>
        </w:rPr>
      </w:r>
      <w:r>
        <w:rPr>
          <w:rFonts w:ascii="宋体" w:hAnsi="宋体" w:cs="宋体" w:eastAsia="宋体" w:hint="default"/>
        </w:rPr>
        <w:t>3</w:t>
      </w:r>
      <w:r>
        <w:rPr/>
        <w:t>、合并利润表</w:t>
      </w:r>
      <w:r>
        <w:rPr>
          <w:b w:val="0"/>
          <w:bCs w:val="0"/>
        </w:rPr>
      </w:r>
    </w:p>
    <w:p>
      <w:pPr>
        <w:spacing w:line="240" w:lineRule="auto" w:before="9"/>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540,224,208.56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814,298,079.17</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540,224,208.56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814,298,079.17</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941,968,806.87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741,581,310.88</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377,480,811.27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563,940,792.22</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97" w:type="dxa"/>
            <w:tcBorders>
              <w:top w:val="single" w:sz="6" w:space="0" w:color="000000"/>
              <w:left w:val="single" w:sz="14" w:space="0" w:color="D2D2D2"/>
              <w:bottom w:val="single" w:sz="12" w:space="0" w:color="000000"/>
              <w:right w:val="single" w:sz="6" w:space="0" w:color="000000"/>
            </w:tcBorders>
          </w:tcPr>
          <w:p>
            <w:pPr/>
          </w:p>
        </w:tc>
        <w:tc>
          <w:tcPr>
            <w:tcW w:w="258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5,371,901.61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5,403,438.29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45,571,542.04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43,936,648.62</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104,271,668.24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111,651,304.64</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9,234,340.30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5,929,493.24</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400,038,543.41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10,719,633.87</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-1,509,764.86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-2,588,527.97</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-3,009,764.86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-2,588,527.97</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9,701.31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125,938.73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11,730,503.17</w:t>
            </w: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-391,514,158.69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70,254,179.05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697,535.14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25,328,991.45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186,294.11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835,087.99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-391,002,917.66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94,748,082.51</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4,762,475.21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14,125,229.72</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-395,765,392.87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80,622,852.79</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28"/>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-395,765,392.87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80,622,852.79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8"/>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-392,404,175.23</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63,786,713.83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-3,361,217.64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16,836,138.96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28"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 的其他综合收益中享有的份额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2"/>
              <w:ind w:left="6" w:right="28"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 益的其他综合收益中享有的份额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597" w:type="dxa"/>
            <w:tcBorders>
              <w:top w:val="single" w:sz="6" w:space="0" w:color="000000"/>
              <w:left w:val="single" w:sz="14" w:space="0" w:color="D2D2D2"/>
              <w:bottom w:val="single" w:sz="12" w:space="0" w:color="000000"/>
              <w:right w:val="single" w:sz="6" w:space="0" w:color="000000"/>
            </w:tcBorders>
          </w:tcPr>
          <w:p>
            <w:pPr/>
          </w:p>
        </w:tc>
        <w:tc>
          <w:tcPr>
            <w:tcW w:w="258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-395,765,392.87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80,622,852.79</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-392,404,175.23</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63,786,713.83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-3,361,217.64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16,836,138.96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-0.9619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0.1555</w:t>
            </w: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9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-0.9619</w:t>
            </w:r>
          </w:p>
        </w:tc>
        <w:tc>
          <w:tcPr>
            <w:tcW w:w="25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0.1555</w:t>
            </w:r>
          </w:p>
        </w:tc>
      </w:tr>
    </w:tbl>
    <w:p>
      <w:pPr>
        <w:spacing w:line="240" w:lineRule="auto" w:before="3"/>
        <w:rPr>
          <w:rFonts w:ascii="Times New Roman" w:hAnsi="Times New Roman" w:cs="Times New Roman" w:eastAsia="Times New Roman" w:hint="default"/>
          <w:sz w:val="23"/>
          <w:szCs w:val="23"/>
        </w:rPr>
      </w:pPr>
    </w:p>
    <w:p>
      <w:pPr>
        <w:tabs>
          <w:tab w:pos="4554" w:val="left" w:leader="none"/>
          <w:tab w:pos="8695" w:val="left" w:leader="none"/>
        </w:tabs>
        <w:spacing w:before="44"/>
        <w:ind w:left="1134" w:right="1121"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主管会计工作负责人：周振娟</w:t>
        <w:tab/>
        <w:t>会计机构负责人：李琬玉</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1000" w:top="1040" w:bottom="1180" w:left="0" w:right="0"/>
        </w:sectPr>
      </w:pPr>
    </w:p>
    <w:p>
      <w:pPr>
        <w:pStyle w:val="Heading4"/>
        <w:spacing w:line="240" w:lineRule="auto" w:before="35"/>
        <w:ind w:left="1133" w:right="-20"/>
        <w:jc w:val="left"/>
        <w:rPr>
          <w:b w:val="0"/>
          <w:bCs w:val="0"/>
        </w:rPr>
      </w:pPr>
      <w:bookmarkStart w:name="4、母公司利润表" w:id="158"/>
      <w:bookmarkEnd w:id="158"/>
      <w:r>
        <w:rPr>
          <w:b w:val="0"/>
          <w:bCs w:val="0"/>
        </w:rPr>
      </w:r>
      <w:r>
        <w:rPr>
          <w:rFonts w:ascii="宋体" w:hAnsi="宋体" w:cs="宋体" w:eastAsia="宋体" w:hint="default"/>
        </w:rPr>
        <w:t>4</w:t>
      </w:r>
      <w:r>
        <w:rPr/>
        <w:t>、母公司利润表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716" w:space="6204"/>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173,106,554.68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217,370,709.55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140,804,285.98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180,739,538.96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1,202,644.88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1,343,862.17</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11,280,986.98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8,577,728.03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43,863,944.56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47,693,218.04</w:t>
            </w: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7,999,136.29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4,063,196.35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254,344,336.81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12,185,061.66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10,567,627.00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22,247,277.03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-3,009,764.86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-2,588,527.97</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3,381,555.35</w:t>
            </w: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8,282,321.58</w:t>
            </w: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-264,157,276.89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-14,984,618.63</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3,252.61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22,626,986.37</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106,917.70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782,559.89</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-264,260,941.98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6,859,807.85</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1,005,404.42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-1,716,318.61</w:t>
            </w:r>
          </w:p>
        </w:tc>
      </w:tr>
      <w:tr>
        <w:trPr>
          <w:trHeight w:val="415"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59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-265,266,346.40</w:t>
            </w:r>
          </w:p>
        </w:tc>
        <w:tc>
          <w:tcPr>
            <w:tcW w:w="25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8,576,126.46</w:t>
            </w:r>
          </w:p>
        </w:tc>
      </w:tr>
    </w:tbl>
    <w:p>
      <w:pPr>
        <w:spacing w:after="0" w:line="240" w:lineRule="auto"/>
        <w:jc w:val="right"/>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4380"/>
        <w:gridCol w:w="2597"/>
        <w:gridCol w:w="2586"/>
      </w:tblGrid>
      <w:tr>
        <w:trPr>
          <w:trHeight w:val="415" w:hRule="exact"/>
        </w:trPr>
        <w:tc>
          <w:tcPr>
            <w:tcW w:w="43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8"/>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-265,266,346.40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8,576,126.46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8"/>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28"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 的其他综合收益中享有的份额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29"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 益的其他综合收益中享有的份额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90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9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-265,266,346.40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8,576,126.46</w:t>
            </w: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3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97"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3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97" w:type="dxa"/>
            <w:tcBorders>
              <w:top w:val="single" w:sz="6" w:space="0" w:color="000000"/>
              <w:left w:val="single" w:sz="14" w:space="0" w:color="D2D2D2"/>
              <w:bottom w:val="single" w:sz="12" w:space="0" w:color="000000"/>
              <w:right w:val="single" w:sz="6" w:space="0" w:color="000000"/>
            </w:tcBorders>
          </w:tcPr>
          <w:p>
            <w:pPr/>
          </w:p>
        </w:tc>
        <w:tc>
          <w:tcPr>
            <w:tcW w:w="25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5、合并现金流量表" w:id="159"/>
      <w:bookmarkEnd w:id="159"/>
      <w:r>
        <w:rPr>
          <w:b w:val="0"/>
          <w:bCs w:val="0"/>
        </w:rPr>
      </w:r>
      <w:r>
        <w:rPr>
          <w:rFonts w:ascii="宋体" w:hAnsi="宋体" w:cs="宋体" w:eastAsia="宋体" w:hint="default"/>
          <w:w w:val="95"/>
        </w:rPr>
        <w:t>5</w:t>
      </w:r>
      <w:r>
        <w:rPr>
          <w:w w:val="95"/>
        </w:rPr>
        <w:t>、合并现金流量表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927" w:space="5993"/>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4521"/>
        <w:gridCol w:w="2456"/>
        <w:gridCol w:w="2586"/>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left="1149" w:right="0"/>
              <w:jc w:val="left"/>
              <w:rPr>
                <w:rFonts w:ascii="宋体" w:hAnsi="宋体" w:cs="宋体" w:eastAsia="宋体" w:hint="default"/>
                <w:sz w:val="18"/>
                <w:szCs w:val="18"/>
              </w:rPr>
            </w:pPr>
            <w:r>
              <w:rPr>
                <w:rFonts w:ascii="宋体"/>
                <w:sz w:val="18"/>
              </w:rPr>
              <w:t>653,223,813.00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1291" w:right="0"/>
              <w:jc w:val="left"/>
              <w:rPr>
                <w:rFonts w:ascii="宋体" w:hAnsi="宋体" w:cs="宋体" w:eastAsia="宋体" w:hint="default"/>
                <w:sz w:val="18"/>
                <w:szCs w:val="18"/>
              </w:rPr>
            </w:pPr>
            <w:r>
              <w:rPr>
                <w:rFonts w:ascii="宋体"/>
                <w:sz w:val="18"/>
              </w:rPr>
              <w:t>755,802,924.33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1"/>
              <w:ind w:left="366"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w:t>
            </w:r>
          </w:p>
        </w:tc>
        <w:tc>
          <w:tcPr>
            <w:tcW w:w="2456" w:type="dxa"/>
            <w:tcBorders>
              <w:top w:val="single" w:sz="6" w:space="0" w:color="000000"/>
              <w:left w:val="single" w:sz="14" w:space="0" w:color="D2D2D2"/>
              <w:bottom w:val="single" w:sz="12" w:space="0" w:color="000000"/>
              <w:right w:val="single" w:sz="6" w:space="0" w:color="000000"/>
            </w:tcBorders>
          </w:tcPr>
          <w:p>
            <w:pPr/>
          </w:p>
        </w:tc>
        <w:tc>
          <w:tcPr>
            <w:tcW w:w="2586"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521"/>
        <w:gridCol w:w="2456"/>
        <w:gridCol w:w="2586"/>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6"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6" w:right="0"/>
              <w:jc w:val="left"/>
              <w:rPr>
                <w:rFonts w:ascii="宋体" w:hAnsi="宋体" w:cs="宋体" w:eastAsia="宋体" w:hint="default"/>
                <w:sz w:val="18"/>
                <w:szCs w:val="18"/>
              </w:rPr>
            </w:pPr>
            <w:r>
              <w:rPr>
                <w:rFonts w:ascii="宋体" w:hAnsi="宋体" w:cs="宋体" w:eastAsia="宋体" w:hint="default"/>
                <w:sz w:val="18"/>
                <w:szCs w:val="18"/>
              </w:rPr>
              <w:t>资产净增加额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3,786,917.75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1,278,081.90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78,961,149.52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150,837,250.49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735,971,880.27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907,918,256.72</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465,745,392.44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509,310,759.75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89,956,615.10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91,982,103.70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52,225,766.49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45,861,531.55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138,655,035.92</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105,542,642.19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746,582,809.95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752,697,037.19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-10,610,929.68</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155,221,219.53</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10,000,000.00</w:t>
            </w: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10" w:firstLine="36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r>
              <w:rPr>
                <w:rFonts w:ascii="宋体" w:hAnsi="宋体" w:cs="宋体" w:eastAsia="宋体" w:hint="default"/>
                <w:sz w:val="18"/>
                <w:szCs w:val="18"/>
              </w:rPr>
              <w:t> 净额</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88,955,133.56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198,810.00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98,955,133.56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198,810.00</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90,127,736.61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59,292,661.57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134,166,666.00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48,000,000.00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5,000,000.00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224,294,402.61</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112,292,661.57</w:t>
            </w:r>
          </w:p>
        </w:tc>
      </w:tr>
      <w:tr>
        <w:trPr>
          <w:trHeight w:val="415"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5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-125,339,269.05</w:t>
            </w:r>
          </w:p>
        </w:tc>
        <w:tc>
          <w:tcPr>
            <w:tcW w:w="25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-112,093,851.57</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5" w:type="dxa"/>
        <w:tblLayout w:type="fixed"/>
        <w:tblCellMar>
          <w:top w:w="0" w:type="dxa"/>
          <w:left w:w="0" w:type="dxa"/>
          <w:bottom w:w="0" w:type="dxa"/>
          <w:right w:w="0" w:type="dxa"/>
        </w:tblCellMar>
        <w:tblLook w:val="01E0"/>
      </w:tblPr>
      <w:tblGrid>
        <w:gridCol w:w="4521"/>
        <w:gridCol w:w="2456"/>
        <w:gridCol w:w="2586"/>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86"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95,452,000.00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09"/>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412,363,850.00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166,383,368.00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1,034,111.60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1,000,111.22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413,397,961.60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262,835,479.22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220,998,079.00</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190,802,297.67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21,123,327.45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16,310,324.66</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09"/>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2,429,908.14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4,444,795.00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136,611,278.39</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1,110,287.65</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378,732,684.84</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208,222,909.98</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34,665,276.76</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54,612,569.24</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56" w:type="dxa"/>
            <w:tcBorders>
              <w:top w:val="single" w:sz="6" w:space="0" w:color="000000"/>
              <w:left w:val="single" w:sz="14" w:space="0" w:color="D2D2D2"/>
              <w:bottom w:val="single" w:sz="6" w:space="0" w:color="000000"/>
              <w:right w:val="single" w:sz="6" w:space="0" w:color="000000"/>
            </w:tcBorders>
          </w:tcPr>
          <w:p>
            <w:pPr/>
          </w:p>
        </w:tc>
        <w:tc>
          <w:tcPr>
            <w:tcW w:w="25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-101,284,921.97</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97,739,937.20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5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290,575,198.65</w:t>
            </w:r>
          </w:p>
        </w:tc>
        <w:tc>
          <w:tcPr>
            <w:tcW w:w="25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192,835,261.45</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5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189,290,276.68</w:t>
            </w:r>
          </w:p>
        </w:tc>
        <w:tc>
          <w:tcPr>
            <w:tcW w:w="25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290,575,198.65</w:t>
            </w:r>
          </w:p>
        </w:tc>
      </w:tr>
    </w:tbl>
    <w:p>
      <w:pPr>
        <w:spacing w:line="240" w:lineRule="auto" w:before="8"/>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747" w:footer="1000" w:top="1040" w:bottom="1180" w:left="0" w:right="0"/>
        </w:sectPr>
      </w:pPr>
    </w:p>
    <w:p>
      <w:pPr>
        <w:pStyle w:val="Heading4"/>
        <w:spacing w:line="240" w:lineRule="auto" w:before="35"/>
        <w:ind w:right="-21"/>
        <w:jc w:val="left"/>
        <w:rPr>
          <w:b w:val="0"/>
          <w:bCs w:val="0"/>
        </w:rPr>
      </w:pPr>
      <w:bookmarkStart w:name="6、母公司现金流量表" w:id="160"/>
      <w:bookmarkEnd w:id="160"/>
      <w:r>
        <w:rPr>
          <w:b w:val="0"/>
          <w:bCs w:val="0"/>
        </w:rPr>
      </w:r>
      <w:r>
        <w:rPr>
          <w:rFonts w:ascii="宋体" w:hAnsi="宋体" w:cs="宋体" w:eastAsia="宋体" w:hint="default"/>
        </w:rPr>
        <w:t>6</w:t>
      </w:r>
      <w:r>
        <w:rPr/>
        <w:t>、母公司现金流量表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138" w:space="5782"/>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4521"/>
        <w:gridCol w:w="2527"/>
        <w:gridCol w:w="2515"/>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5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1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226,516,954.18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220,227,611.35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305,236,490.14</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200,573,067.87</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531,753,444.32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420,800,679.22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158,650,965.05</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162,794,179.30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27,411,237.48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27,911,366.90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6,559,531.38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3,468,825.29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260,127,575.06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180,113,309.62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452,749,308.97</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374,287,681.11</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79,004,135.35</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46,512,998.11</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27" w:type="dxa"/>
            <w:tcBorders>
              <w:top w:val="single" w:sz="6" w:space="0" w:color="000000"/>
              <w:left w:val="single" w:sz="6" w:space="0" w:color="000000"/>
              <w:bottom w:val="single" w:sz="12" w:space="0" w:color="000000"/>
              <w:right w:val="single" w:sz="6" w:space="0" w:color="000000"/>
            </w:tcBorders>
            <w:shd w:val="clear" w:color="auto" w:fill="D2D2D2"/>
          </w:tcPr>
          <w:p>
            <w:pPr/>
          </w:p>
        </w:tc>
        <w:tc>
          <w:tcPr>
            <w:tcW w:w="2515" w:type="dxa"/>
            <w:tcBorders>
              <w:top w:val="single" w:sz="6" w:space="0" w:color="000000"/>
              <w:left w:val="single" w:sz="6" w:space="0" w:color="000000"/>
              <w:bottom w:val="single" w:sz="12" w:space="0" w:color="000000"/>
              <w:right w:val="single" w:sz="12" w:space="0" w:color="000000"/>
            </w:tcBorders>
            <w:shd w:val="clear" w:color="auto" w:fill="D2D2D2"/>
          </w:tcPr>
          <w:p>
            <w:pPr/>
          </w:p>
        </w:tc>
      </w:tr>
    </w:tbl>
    <w:p>
      <w:pPr>
        <w:spacing w:after="0"/>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4521"/>
        <w:gridCol w:w="2527"/>
        <w:gridCol w:w="2515"/>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27" w:type="dxa"/>
            <w:tcBorders>
              <w:top w:val="single" w:sz="12"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28,000,000.00</w:t>
            </w:r>
          </w:p>
        </w:tc>
        <w:tc>
          <w:tcPr>
            <w:tcW w:w="2515"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13,577,391.86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24,835,805.00</w:t>
            </w:r>
          </w:p>
        </w:tc>
      </w:tr>
      <w:tr>
        <w:trPr>
          <w:trHeight w:val="719"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10" w:firstLine="36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r>
              <w:rPr>
                <w:rFonts w:ascii="宋体" w:hAnsi="宋体" w:cs="宋体" w:eastAsia="宋体" w:hint="default"/>
                <w:sz w:val="18"/>
                <w:szCs w:val="18"/>
              </w:rPr>
              <w:t> 净额</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64,508.11</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11,310.00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418,721.80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580,507.50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42,060,621.77</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25,427,622.50</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70,958,296.57</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39,855,258.97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270,796,666.00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23,900,000.00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341,754,962.57</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63,755,258.97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-299,694,340.80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-38,327,636.47</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515"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95,452,000.00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357,363,850.00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92,883,368.00</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1,034,111.60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1,000,111.22</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358,397,961.60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189,335,479.22</w:t>
            </w: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139,498,079.00</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165,802,297.67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13,273,825.21</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9,608,836.39</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4,812,496.98</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1,110,287.65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157,584,401.19</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176,521,421.71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200,813,560.41</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12,814,057.51</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-19,876,645.04</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20,999,419.15</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130,449,059.12</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109,449,639.97</w:t>
            </w: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110,572,414.08</w:t>
            </w:r>
          </w:p>
        </w:tc>
        <w:tc>
          <w:tcPr>
            <w:tcW w:w="25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130,449,059.12</w:t>
            </w:r>
          </w:p>
        </w:tc>
      </w:tr>
    </w:tbl>
    <w:p>
      <w:pPr>
        <w:spacing w:line="240" w:lineRule="auto" w:before="1"/>
        <w:rPr>
          <w:rFonts w:ascii="宋体" w:hAnsi="宋体" w:cs="宋体" w:eastAsia="宋体" w:hint="default"/>
          <w:sz w:val="19"/>
          <w:szCs w:val="19"/>
        </w:rPr>
      </w:pPr>
    </w:p>
    <w:p>
      <w:pPr>
        <w:pStyle w:val="Heading4"/>
        <w:spacing w:line="240" w:lineRule="auto" w:before="35"/>
        <w:ind w:right="1121"/>
        <w:jc w:val="left"/>
        <w:rPr>
          <w:b w:val="0"/>
          <w:bCs w:val="0"/>
        </w:rPr>
      </w:pPr>
      <w:bookmarkStart w:name="7、合并所有者权益变动表" w:id="161"/>
      <w:bookmarkEnd w:id="161"/>
      <w:r>
        <w:rPr>
          <w:b w:val="0"/>
          <w:bCs w:val="0"/>
        </w:rPr>
      </w:r>
      <w:r>
        <w:rPr>
          <w:rFonts w:ascii="宋体" w:hAnsi="宋体" w:cs="宋体" w:eastAsia="宋体" w:hint="default"/>
        </w:rPr>
        <w:t>7</w:t>
      </w:r>
      <w:r>
        <w:rPr/>
        <w:t>、合并所有者权益变动表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0"/>
        <w:ind w:left="1134" w:right="1121"/>
        <w:jc w:val="left"/>
      </w:pPr>
      <w:r>
        <w:rPr/>
        <w:t>本期金额</w:t>
      </w:r>
    </w:p>
    <w:p>
      <w:pPr>
        <w:spacing w:line="240" w:lineRule="auto" w:before="7"/>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357" w:type="dxa"/>
        <w:tblLayout w:type="fixed"/>
        <w:tblCellMar>
          <w:top w:w="0" w:type="dxa"/>
          <w:left w:w="0" w:type="dxa"/>
          <w:bottom w:w="0" w:type="dxa"/>
          <w:right w:w="0" w:type="dxa"/>
        </w:tblCellMar>
        <w:tblLook w:val="01E0"/>
      </w:tblPr>
      <w:tblGrid>
        <w:gridCol w:w="524"/>
        <w:gridCol w:w="1240"/>
        <w:gridCol w:w="284"/>
        <w:gridCol w:w="283"/>
        <w:gridCol w:w="283"/>
        <w:gridCol w:w="1324"/>
        <w:gridCol w:w="1134"/>
        <w:gridCol w:w="425"/>
        <w:gridCol w:w="284"/>
        <w:gridCol w:w="1134"/>
        <w:gridCol w:w="425"/>
        <w:gridCol w:w="1276"/>
        <w:gridCol w:w="1276"/>
        <w:gridCol w:w="1275"/>
      </w:tblGrid>
      <w:tr>
        <w:trPr>
          <w:trHeight w:val="335" w:hRule="exact"/>
        </w:trPr>
        <w:tc>
          <w:tcPr>
            <w:tcW w:w="524" w:type="dxa"/>
            <w:vMerge w:val="restart"/>
            <w:tcBorders>
              <w:top w:val="single" w:sz="12" w:space="0" w:color="000000"/>
              <w:left w:val="single" w:sz="12" w:space="0" w:color="000000"/>
              <w:right w:val="single" w:sz="6" w:space="0" w:color="000000"/>
            </w:tcBorders>
            <w:shd w:val="clear" w:color="auto" w:fill="D2D2D2"/>
          </w:tcPr>
          <w:p>
            <w:pPr/>
          </w:p>
        </w:tc>
        <w:tc>
          <w:tcPr>
            <w:tcW w:w="10644"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6"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6" w:hRule="exact"/>
        </w:trPr>
        <w:tc>
          <w:tcPr>
            <w:tcW w:w="524" w:type="dxa"/>
            <w:vMerge/>
            <w:tcBorders>
              <w:left w:val="single" w:sz="12" w:space="0" w:color="000000"/>
              <w:right w:val="single" w:sz="6" w:space="0" w:color="000000"/>
            </w:tcBorders>
            <w:shd w:val="clear" w:color="auto" w:fill="D2D2D2"/>
          </w:tcPr>
          <w:p>
            <w:pPr/>
          </w:p>
        </w:tc>
        <w:tc>
          <w:tcPr>
            <w:tcW w:w="8093"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5" w:type="dxa"/>
            <w:vMerge w:val="restart"/>
            <w:tcBorders>
              <w:top w:val="single" w:sz="6" w:space="0" w:color="000000"/>
              <w:left w:val="single" w:sz="6" w:space="0" w:color="000000"/>
              <w:right w:val="single" w:sz="12" w:space="0" w:color="000000"/>
            </w:tcBorders>
            <w:shd w:val="clear" w:color="auto" w:fill="D2D2D2"/>
          </w:tcPr>
          <w:p>
            <w:pPr/>
          </w:p>
        </w:tc>
      </w:tr>
      <w:tr>
        <w:trPr>
          <w:trHeight w:val="171" w:hRule="exact"/>
        </w:trPr>
        <w:tc>
          <w:tcPr>
            <w:tcW w:w="524" w:type="dxa"/>
            <w:vMerge/>
            <w:tcBorders>
              <w:left w:val="single" w:sz="12" w:space="0" w:color="000000"/>
              <w:right w:val="single" w:sz="6" w:space="0" w:color="000000"/>
            </w:tcBorders>
            <w:shd w:val="clear" w:color="auto" w:fill="D2D2D2"/>
          </w:tcPr>
          <w:p>
            <w:pPr/>
          </w:p>
        </w:tc>
        <w:tc>
          <w:tcPr>
            <w:tcW w:w="1240" w:type="dxa"/>
            <w:vMerge w:val="restart"/>
            <w:tcBorders>
              <w:top w:val="single" w:sz="6" w:space="0" w:color="000000"/>
              <w:left w:val="single" w:sz="6" w:space="0" w:color="000000"/>
              <w:right w:val="single" w:sz="6" w:space="0" w:color="000000"/>
            </w:tcBorders>
            <w:shd w:val="clear" w:color="auto" w:fill="D2D2D2"/>
          </w:tcPr>
          <w:p>
            <w:pPr/>
          </w:p>
        </w:tc>
        <w:tc>
          <w:tcPr>
            <w:tcW w:w="85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267" w:right="116" w:hanging="150"/>
              <w:jc w:val="left"/>
              <w:rPr>
                <w:rFonts w:ascii="宋体" w:hAnsi="宋体" w:cs="宋体" w:eastAsia="宋体" w:hint="default"/>
                <w:sz w:val="15"/>
                <w:szCs w:val="15"/>
              </w:rPr>
            </w:pPr>
            <w:r>
              <w:rPr>
                <w:rFonts w:ascii="宋体" w:hAnsi="宋体" w:cs="宋体" w:eastAsia="宋体" w:hint="default"/>
                <w:sz w:val="15"/>
                <w:szCs w:val="15"/>
              </w:rPr>
              <w:t>其他权益 工具</w:t>
            </w:r>
          </w:p>
        </w:tc>
        <w:tc>
          <w:tcPr>
            <w:tcW w:w="1324"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28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49" w:hRule="exact"/>
        </w:trPr>
        <w:tc>
          <w:tcPr>
            <w:tcW w:w="524" w:type="dxa"/>
            <w:vMerge/>
            <w:tcBorders>
              <w:left w:val="single" w:sz="12" w:space="0" w:color="000000"/>
              <w:bottom w:val="nil" w:sz="6" w:space="0" w:color="auto"/>
              <w:right w:val="single" w:sz="6" w:space="0" w:color="000000"/>
            </w:tcBorders>
            <w:shd w:val="clear" w:color="auto" w:fill="D2D2D2"/>
          </w:tcPr>
          <w:p>
            <w:pPr/>
          </w:p>
        </w:tc>
        <w:tc>
          <w:tcPr>
            <w:tcW w:w="1240"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284"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3"/>
              <w:ind w:left="58" w:right="59"/>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52" w:hRule="exact"/>
        </w:trPr>
        <w:tc>
          <w:tcPr>
            <w:tcW w:w="524"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6"/>
              <w:ind w:left="9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240"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3" w:right="54"/>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3" w:right="54"/>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524" w:type="dxa"/>
            <w:vMerge/>
            <w:tcBorders>
              <w:left w:val="single" w:sz="12" w:space="0" w:color="000000"/>
              <w:bottom w:val="nil" w:sz="6" w:space="0" w:color="auto"/>
              <w:right w:val="single" w:sz="6" w:space="0" w:color="000000"/>
            </w:tcBorders>
            <w:shd w:val="clear" w:color="auto" w:fill="D2D2D2"/>
          </w:tcPr>
          <w:p>
            <w:pPr/>
          </w:p>
        </w:tc>
        <w:tc>
          <w:tcPr>
            <w:tcW w:w="1240" w:type="dxa"/>
            <w:vMerge/>
            <w:tcBorders>
              <w:left w:val="single" w:sz="6" w:space="0" w:color="000000"/>
              <w:bottom w:val="nil" w:sz="6" w:space="0" w:color="auto"/>
              <w:right w:val="single" w:sz="6" w:space="0" w:color="000000"/>
            </w:tcBorders>
            <w:shd w:val="clear" w:color="auto" w:fill="D2D2D2"/>
          </w:tcPr>
          <w:p>
            <w:pPr/>
          </w:p>
        </w:tc>
        <w:tc>
          <w:tcPr>
            <w:tcW w:w="851" w:type="dxa"/>
            <w:gridSpan w:val="3"/>
            <w:vMerge/>
            <w:tcBorders>
              <w:left w:val="single" w:sz="6" w:space="0" w:color="000000"/>
              <w:bottom w:val="single" w:sz="6" w:space="0" w:color="000000"/>
              <w:right w:val="single" w:sz="6" w:space="0" w:color="000000"/>
            </w:tcBorders>
            <w:shd w:val="clear" w:color="auto" w:fill="D2D2D2"/>
          </w:tcPr>
          <w:p>
            <w:pPr/>
          </w:p>
        </w:tc>
        <w:tc>
          <w:tcPr>
            <w:tcW w:w="132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79"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6" w:hRule="exact"/>
        </w:trPr>
        <w:tc>
          <w:tcPr>
            <w:tcW w:w="524" w:type="dxa"/>
            <w:vMerge w:val="restart"/>
            <w:tcBorders>
              <w:top w:val="nil" w:sz="6" w:space="0" w:color="auto"/>
              <w:left w:val="single" w:sz="12" w:space="0" w:color="000000"/>
              <w:right w:val="single" w:sz="6" w:space="0" w:color="000000"/>
            </w:tcBorders>
            <w:shd w:val="clear" w:color="auto" w:fill="D2D2D2"/>
          </w:tcPr>
          <w:p>
            <w:pPr/>
          </w:p>
        </w:tc>
        <w:tc>
          <w:tcPr>
            <w:tcW w:w="124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8"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9"/>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3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35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5"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6" w:type="dxa"/>
            <w:vMerge/>
            <w:tcBorders>
              <w:left w:val="single" w:sz="6" w:space="0" w:color="000000"/>
              <w:bottom w:val="nil" w:sz="6" w:space="0" w:color="auto"/>
              <w:right w:val="single" w:sz="6" w:space="0" w:color="000000"/>
            </w:tcBorders>
            <w:shd w:val="clear" w:color="auto" w:fill="D2D2D2"/>
          </w:tcPr>
          <w:p>
            <w:pP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524" w:type="dxa"/>
            <w:vMerge/>
            <w:tcBorders>
              <w:left w:val="single" w:sz="12" w:space="0" w:color="000000"/>
              <w:right w:val="single" w:sz="6" w:space="0" w:color="000000"/>
            </w:tcBorders>
            <w:shd w:val="clear" w:color="auto" w:fill="D2D2D2"/>
          </w:tcPr>
          <w:p>
            <w:pPr/>
          </w:p>
        </w:tc>
        <w:tc>
          <w:tcPr>
            <w:tcW w:w="1240"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41"/>
              <w:ind w:left="58" w:right="59"/>
              <w:jc w:val="left"/>
              <w:rPr>
                <w:rFonts w:ascii="宋体" w:hAnsi="宋体" w:cs="宋体" w:eastAsia="宋体" w:hint="default"/>
                <w:sz w:val="15"/>
                <w:szCs w:val="15"/>
              </w:rPr>
            </w:pPr>
            <w:r>
              <w:rPr>
                <w:rFonts w:ascii="宋体" w:hAnsi="宋体" w:cs="宋体" w:eastAsia="宋体" w:hint="default"/>
                <w:sz w:val="15"/>
                <w:szCs w:val="15"/>
              </w:rPr>
              <w:t>其 他</w:t>
            </w:r>
          </w:p>
        </w:tc>
        <w:tc>
          <w:tcPr>
            <w:tcW w:w="132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5" w:type="dxa"/>
            <w:vMerge w:val="restart"/>
            <w:tcBorders>
              <w:top w:val="nil" w:sz="6" w:space="0" w:color="auto"/>
              <w:left w:val="single" w:sz="6" w:space="0" w:color="000000"/>
              <w:right w:val="single" w:sz="12" w:space="0" w:color="000000"/>
            </w:tcBorders>
            <w:shd w:val="clear" w:color="auto" w:fill="D2D2D2"/>
          </w:tcPr>
          <w:p>
            <w:pPr/>
          </w:p>
        </w:tc>
      </w:tr>
      <w:tr>
        <w:trPr>
          <w:trHeight w:val="312" w:hRule="exact"/>
        </w:trPr>
        <w:tc>
          <w:tcPr>
            <w:tcW w:w="524" w:type="dxa"/>
            <w:vMerge/>
            <w:tcBorders>
              <w:left w:val="single" w:sz="12" w:space="0" w:color="000000"/>
              <w:right w:val="single" w:sz="6" w:space="0" w:color="000000"/>
            </w:tcBorders>
            <w:shd w:val="clear" w:color="auto" w:fill="D2D2D2"/>
          </w:tcPr>
          <w:p>
            <w:pPr/>
          </w:p>
        </w:tc>
        <w:tc>
          <w:tcPr>
            <w:tcW w:w="1240"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324"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60" w:hRule="exact"/>
        </w:trPr>
        <w:tc>
          <w:tcPr>
            <w:tcW w:w="524" w:type="dxa"/>
            <w:vMerge/>
            <w:tcBorders>
              <w:left w:val="single" w:sz="12" w:space="0" w:color="000000"/>
              <w:right w:val="single" w:sz="6" w:space="0" w:color="000000"/>
            </w:tcBorders>
            <w:shd w:val="clear" w:color="auto" w:fill="D2D2D2"/>
          </w:tcPr>
          <w:p>
            <w:pPr/>
          </w:p>
        </w:tc>
        <w:tc>
          <w:tcPr>
            <w:tcW w:w="1240"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67" w:hRule="exact"/>
        </w:trPr>
        <w:tc>
          <w:tcPr>
            <w:tcW w:w="524" w:type="dxa"/>
            <w:vMerge/>
            <w:tcBorders>
              <w:left w:val="single" w:sz="12" w:space="0" w:color="000000"/>
              <w:bottom w:val="single" w:sz="6" w:space="0" w:color="000000"/>
              <w:right w:val="single" w:sz="6" w:space="0" w:color="000000"/>
            </w:tcBorders>
            <w:shd w:val="clear" w:color="auto" w:fill="D2D2D2"/>
          </w:tcPr>
          <w:p>
            <w:pPr/>
          </w:p>
        </w:tc>
        <w:tc>
          <w:tcPr>
            <w:tcW w:w="1240"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324"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28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12" w:space="0" w:color="000000"/>
            </w:tcBorders>
            <w:shd w:val="clear" w:color="auto" w:fill="D2D2D2"/>
          </w:tcPr>
          <w:p>
            <w:pPr/>
          </w:p>
        </w:tc>
      </w:tr>
      <w:tr>
        <w:trPr>
          <w:trHeight w:val="952"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43"/>
              <w:jc w:val="both"/>
              <w:rPr>
                <w:rFonts w:ascii="宋体" w:hAnsi="宋体" w:cs="宋体" w:eastAsia="宋体" w:hint="default"/>
                <w:sz w:val="15"/>
                <w:szCs w:val="15"/>
              </w:rPr>
            </w:pPr>
            <w:r>
              <w:rPr>
                <w:rFonts w:ascii="宋体" w:hAnsi="宋体" w:cs="宋体" w:eastAsia="宋体" w:hint="default"/>
                <w:sz w:val="15"/>
                <w:szCs w:val="15"/>
              </w:rPr>
              <w:t>一、上 年期末 余额</w:t>
            </w:r>
          </w:p>
        </w:tc>
        <w:tc>
          <w:tcPr>
            <w:tcW w:w="124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166,121,848.00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1,036,932,346.20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95,452,000.00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21,281,039.35</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280,439,222.81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103,426,416.81</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宋体" w:hAnsi="宋体" w:cs="宋体" w:eastAsia="宋体" w:hint="default"/>
                <w:sz w:val="15"/>
                <w:szCs w:val="15"/>
              </w:rPr>
            </w:pPr>
            <w:r>
              <w:rPr>
                <w:rFonts w:ascii="宋体"/>
                <w:spacing w:val="-1"/>
                <w:sz w:val="15"/>
              </w:rPr>
              <w:t>1,512,748,873.17</w:t>
            </w:r>
          </w:p>
        </w:tc>
      </w:tr>
      <w:tr>
        <w:trPr>
          <w:trHeight w:val="95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43" w:firstLine="150"/>
              <w:jc w:val="both"/>
              <w:rPr>
                <w:rFonts w:ascii="宋体" w:hAnsi="宋体" w:cs="宋体" w:eastAsia="宋体" w:hint="default"/>
                <w:sz w:val="15"/>
                <w:szCs w:val="15"/>
              </w:rPr>
            </w:pPr>
            <w:r>
              <w:rPr>
                <w:rFonts w:ascii="宋体" w:hAnsi="宋体" w:cs="宋体" w:eastAsia="宋体" w:hint="default"/>
                <w:sz w:val="15"/>
                <w:szCs w:val="15"/>
              </w:rPr>
              <w:t>加： 会计政 策变更</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43"/>
              <w:jc w:val="left"/>
              <w:rPr>
                <w:rFonts w:ascii="宋体" w:hAnsi="宋体" w:cs="宋体" w:eastAsia="宋体" w:hint="default"/>
                <w:sz w:val="15"/>
                <w:szCs w:val="15"/>
              </w:rPr>
            </w:pPr>
            <w:r>
              <w:rPr>
                <w:rFonts w:ascii="宋体" w:hAnsi="宋体" w:cs="宋体" w:eastAsia="宋体" w:hint="default"/>
                <w:sz w:val="15"/>
                <w:szCs w:val="15"/>
              </w:rPr>
              <w:t>前期差 错更正</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43"/>
              <w:jc w:val="both"/>
              <w:rPr>
                <w:rFonts w:ascii="宋体" w:hAnsi="宋体" w:cs="宋体" w:eastAsia="宋体" w:hint="default"/>
                <w:sz w:val="15"/>
                <w:szCs w:val="15"/>
              </w:rPr>
            </w:pPr>
            <w:r>
              <w:rPr>
                <w:rFonts w:ascii="宋体" w:hAnsi="宋体" w:cs="宋体" w:eastAsia="宋体" w:hint="default"/>
                <w:sz w:val="15"/>
                <w:szCs w:val="15"/>
              </w:rPr>
              <w:t>同一控 制下企 业合并</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15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951"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43"/>
              <w:jc w:val="both"/>
              <w:rPr>
                <w:rFonts w:ascii="宋体" w:hAnsi="宋体" w:cs="宋体" w:eastAsia="宋体" w:hint="default"/>
                <w:sz w:val="15"/>
                <w:szCs w:val="15"/>
              </w:rPr>
            </w:pPr>
            <w:r>
              <w:rPr>
                <w:rFonts w:ascii="宋体" w:hAnsi="宋体" w:cs="宋体" w:eastAsia="宋体" w:hint="default"/>
                <w:sz w:val="15"/>
                <w:szCs w:val="15"/>
              </w:rPr>
              <w:t>二、本 年期初 余额</w:t>
            </w:r>
          </w:p>
        </w:tc>
        <w:tc>
          <w:tcPr>
            <w:tcW w:w="124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166,121,848.00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1,036,932,346.20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95,452,000.00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21,281,039.35</w:t>
            </w: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280,439,222.81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103,426,416.81</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宋体" w:hAnsi="宋体" w:cs="宋体" w:eastAsia="宋体" w:hint="default"/>
                <w:sz w:val="15"/>
                <w:szCs w:val="15"/>
              </w:rPr>
            </w:pPr>
            <w:r>
              <w:rPr>
                <w:rFonts w:ascii="宋体"/>
                <w:spacing w:val="-1"/>
                <w:sz w:val="15"/>
              </w:rPr>
              <w:t>1,512,748,873.17</w:t>
            </w:r>
          </w:p>
        </w:tc>
      </w:tr>
      <w:tr>
        <w:trPr>
          <w:trHeight w:val="2512"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43"/>
              <w:jc w:val="left"/>
              <w:rPr>
                <w:rFonts w:ascii="宋体" w:hAnsi="宋体" w:cs="宋体" w:eastAsia="宋体" w:hint="default"/>
                <w:sz w:val="15"/>
                <w:szCs w:val="15"/>
              </w:rPr>
            </w:pPr>
            <w:r>
              <w:rPr>
                <w:rFonts w:ascii="宋体" w:hAnsi="宋体" w:cs="宋体" w:eastAsia="宋体" w:hint="default"/>
                <w:sz w:val="15"/>
                <w:szCs w:val="15"/>
              </w:rPr>
              <w:t>三、本 期增减 变动金 额（减 少以 “－” 号填 列）</w:t>
            </w:r>
          </w:p>
        </w:tc>
        <w:tc>
          <w:tcPr>
            <w:tcW w:w="124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248,727,772.00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-267,733,192.67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-41,336,560.00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-397,299,030.67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-97,724,763.62</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-472,692,654.96</w:t>
            </w:r>
          </w:p>
        </w:tc>
      </w:tr>
      <w:tr>
        <w:trPr>
          <w:trHeight w:val="95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43"/>
              <w:jc w:val="both"/>
              <w:rPr>
                <w:rFonts w:ascii="宋体" w:hAnsi="宋体" w:cs="宋体" w:eastAsia="宋体" w:hint="default"/>
                <w:sz w:val="15"/>
                <w:szCs w:val="15"/>
              </w:rPr>
            </w:pPr>
            <w:r>
              <w:rPr>
                <w:rFonts w:ascii="宋体" w:hAnsi="宋体" w:cs="宋体" w:eastAsia="宋体" w:hint="default"/>
                <w:sz w:val="15"/>
                <w:szCs w:val="15"/>
              </w:rPr>
              <w:t>（一） 综合收 益总额</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-392,404,175.23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-3,361,217.64</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-395,765,392.87</w:t>
            </w:r>
          </w:p>
        </w:tc>
      </w:tr>
      <w:tr>
        <w:trPr>
          <w:trHeight w:val="1576"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43"/>
              <w:jc w:val="both"/>
              <w:rPr>
                <w:rFonts w:ascii="宋体" w:hAnsi="宋体" w:cs="宋体" w:eastAsia="宋体" w:hint="default"/>
                <w:sz w:val="15"/>
                <w:szCs w:val="15"/>
              </w:rPr>
            </w:pPr>
            <w:r>
              <w:rPr>
                <w:rFonts w:ascii="宋体" w:hAnsi="宋体" w:cs="宋体" w:eastAsia="宋体" w:hint="default"/>
                <w:sz w:val="15"/>
                <w:szCs w:val="15"/>
              </w:rPr>
              <w:t>（二） 所有者 投入和 减少资 本</w:t>
            </w:r>
          </w:p>
        </w:tc>
        <w:tc>
          <w:tcPr>
            <w:tcW w:w="124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-455,000.00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-18,550,420.67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-41,336,560.00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-91,933,637.84</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-69,602,498.51</w:t>
            </w:r>
          </w:p>
        </w:tc>
      </w:tr>
      <w:tr>
        <w:trPr>
          <w:trHeight w:val="951"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
              <w:jc w:val="both"/>
              <w:rPr>
                <w:rFonts w:ascii="宋体" w:hAnsi="宋体" w:cs="宋体" w:eastAsia="宋体" w:hint="default"/>
                <w:sz w:val="15"/>
                <w:szCs w:val="15"/>
              </w:rPr>
            </w:pPr>
            <w:r>
              <w:rPr>
                <w:rFonts w:ascii="宋体" w:hAnsi="宋体" w:cs="宋体" w:eastAsia="宋体" w:hint="default"/>
                <w:spacing w:val="-10"/>
                <w:sz w:val="15"/>
                <w:szCs w:val="15"/>
              </w:rPr>
              <w:t>1</w:t>
            </w:r>
            <w:r>
              <w:rPr>
                <w:rFonts w:ascii="宋体" w:hAnsi="宋体" w:cs="宋体" w:eastAsia="宋体" w:hint="default"/>
                <w:spacing w:val="-10"/>
                <w:sz w:val="15"/>
                <w:szCs w:val="15"/>
              </w:rPr>
              <w:t>．股东</w:t>
            </w:r>
            <w:r>
              <w:rPr>
                <w:rFonts w:ascii="宋体" w:hAnsi="宋体" w:cs="宋体" w:eastAsia="宋体" w:hint="default"/>
                <w:sz w:val="15"/>
                <w:szCs w:val="15"/>
              </w:rPr>
              <w:t> 投入的 普通股</w:t>
            </w:r>
          </w:p>
        </w:tc>
        <w:tc>
          <w:tcPr>
            <w:tcW w:w="124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-455,000.00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-3,090,360.00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-3,545,360.00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647" w:hRule="exact"/>
        </w:trPr>
        <w:tc>
          <w:tcPr>
            <w:tcW w:w="52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35"/>
              <w:ind w:left="6" w:right="7"/>
              <w:jc w:val="left"/>
              <w:rPr>
                <w:rFonts w:ascii="宋体" w:hAnsi="宋体" w:cs="宋体" w:eastAsia="宋体" w:hint="default"/>
                <w:sz w:val="15"/>
                <w:szCs w:val="15"/>
              </w:rPr>
            </w:pPr>
            <w:r>
              <w:rPr>
                <w:rFonts w:ascii="宋体" w:hAnsi="宋体" w:cs="宋体" w:eastAsia="宋体" w:hint="default"/>
                <w:spacing w:val="-10"/>
                <w:sz w:val="15"/>
                <w:szCs w:val="15"/>
              </w:rPr>
              <w:t>2</w:t>
            </w:r>
            <w:r>
              <w:rPr>
                <w:rFonts w:ascii="宋体" w:hAnsi="宋体" w:cs="宋体" w:eastAsia="宋体" w:hint="default"/>
                <w:spacing w:val="-10"/>
                <w:sz w:val="15"/>
                <w:szCs w:val="15"/>
              </w:rPr>
              <w:t>．其他</w:t>
            </w:r>
            <w:r>
              <w:rPr>
                <w:rFonts w:ascii="宋体" w:hAnsi="宋体" w:cs="宋体" w:eastAsia="宋体" w:hint="default"/>
                <w:sz w:val="15"/>
                <w:szCs w:val="15"/>
              </w:rPr>
              <w:t> 权益工</w:t>
            </w:r>
          </w:p>
        </w:tc>
        <w:tc>
          <w:tcPr>
            <w:tcW w:w="1240" w:type="dxa"/>
            <w:tcBorders>
              <w:top w:val="single" w:sz="6" w:space="0" w:color="000000"/>
              <w:left w:val="single" w:sz="14" w:space="0" w:color="D2D2D2"/>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324"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357" w:type="dxa"/>
        <w:tblLayout w:type="fixed"/>
        <w:tblCellMar>
          <w:top w:w="0" w:type="dxa"/>
          <w:left w:w="0" w:type="dxa"/>
          <w:bottom w:w="0" w:type="dxa"/>
          <w:right w:w="0" w:type="dxa"/>
        </w:tblCellMar>
        <w:tblLook w:val="01E0"/>
      </w:tblPr>
      <w:tblGrid>
        <w:gridCol w:w="524"/>
        <w:gridCol w:w="1240"/>
        <w:gridCol w:w="284"/>
        <w:gridCol w:w="283"/>
        <w:gridCol w:w="283"/>
        <w:gridCol w:w="1324"/>
        <w:gridCol w:w="1134"/>
        <w:gridCol w:w="425"/>
        <w:gridCol w:w="284"/>
        <w:gridCol w:w="1134"/>
        <w:gridCol w:w="425"/>
        <w:gridCol w:w="1276"/>
        <w:gridCol w:w="1276"/>
        <w:gridCol w:w="1275"/>
      </w:tblGrid>
      <w:tr>
        <w:trPr>
          <w:trHeight w:val="335" w:hRule="exact"/>
        </w:trPr>
        <w:tc>
          <w:tcPr>
            <w:tcW w:w="524" w:type="dxa"/>
            <w:vMerge w:val="restart"/>
            <w:tcBorders>
              <w:top w:val="single" w:sz="12" w:space="0" w:color="000000"/>
              <w:left w:val="single" w:sz="12" w:space="0" w:color="000000"/>
              <w:right w:val="single" w:sz="6" w:space="0" w:color="000000"/>
            </w:tcBorders>
            <w:shd w:val="clear" w:color="auto" w:fill="D2D2D2"/>
          </w:tcPr>
          <w:p>
            <w:pPr/>
          </w:p>
        </w:tc>
        <w:tc>
          <w:tcPr>
            <w:tcW w:w="10644"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6"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6" w:hRule="exact"/>
        </w:trPr>
        <w:tc>
          <w:tcPr>
            <w:tcW w:w="524" w:type="dxa"/>
            <w:vMerge/>
            <w:tcBorders>
              <w:left w:val="single" w:sz="12" w:space="0" w:color="000000"/>
              <w:right w:val="single" w:sz="6" w:space="0" w:color="000000"/>
            </w:tcBorders>
            <w:shd w:val="clear" w:color="auto" w:fill="D2D2D2"/>
          </w:tcPr>
          <w:p>
            <w:pPr/>
          </w:p>
        </w:tc>
        <w:tc>
          <w:tcPr>
            <w:tcW w:w="8093"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5" w:type="dxa"/>
            <w:vMerge w:val="restart"/>
            <w:tcBorders>
              <w:top w:val="single" w:sz="6" w:space="0" w:color="000000"/>
              <w:left w:val="single" w:sz="6" w:space="0" w:color="000000"/>
              <w:right w:val="single" w:sz="12" w:space="0" w:color="000000"/>
            </w:tcBorders>
            <w:shd w:val="clear" w:color="auto" w:fill="D2D2D2"/>
          </w:tcPr>
          <w:p>
            <w:pPr/>
          </w:p>
        </w:tc>
      </w:tr>
      <w:tr>
        <w:trPr>
          <w:trHeight w:val="171" w:hRule="exact"/>
        </w:trPr>
        <w:tc>
          <w:tcPr>
            <w:tcW w:w="524" w:type="dxa"/>
            <w:vMerge/>
            <w:tcBorders>
              <w:left w:val="single" w:sz="12" w:space="0" w:color="000000"/>
              <w:right w:val="single" w:sz="6" w:space="0" w:color="000000"/>
            </w:tcBorders>
            <w:shd w:val="clear" w:color="auto" w:fill="D2D2D2"/>
          </w:tcPr>
          <w:p>
            <w:pPr/>
          </w:p>
        </w:tc>
        <w:tc>
          <w:tcPr>
            <w:tcW w:w="1240" w:type="dxa"/>
            <w:vMerge w:val="restart"/>
            <w:tcBorders>
              <w:top w:val="single" w:sz="6" w:space="0" w:color="000000"/>
              <w:left w:val="single" w:sz="6" w:space="0" w:color="000000"/>
              <w:right w:val="single" w:sz="6" w:space="0" w:color="000000"/>
            </w:tcBorders>
            <w:shd w:val="clear" w:color="auto" w:fill="D2D2D2"/>
          </w:tcPr>
          <w:p>
            <w:pPr/>
          </w:p>
        </w:tc>
        <w:tc>
          <w:tcPr>
            <w:tcW w:w="85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267" w:right="116" w:hanging="150"/>
              <w:jc w:val="left"/>
              <w:rPr>
                <w:rFonts w:ascii="宋体" w:hAnsi="宋体" w:cs="宋体" w:eastAsia="宋体" w:hint="default"/>
                <w:sz w:val="15"/>
                <w:szCs w:val="15"/>
              </w:rPr>
            </w:pPr>
            <w:r>
              <w:rPr>
                <w:rFonts w:ascii="宋体" w:hAnsi="宋体" w:cs="宋体" w:eastAsia="宋体" w:hint="default"/>
                <w:sz w:val="15"/>
                <w:szCs w:val="15"/>
              </w:rPr>
              <w:t>其他权益 工具</w:t>
            </w:r>
          </w:p>
        </w:tc>
        <w:tc>
          <w:tcPr>
            <w:tcW w:w="1324"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28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49" w:hRule="exact"/>
        </w:trPr>
        <w:tc>
          <w:tcPr>
            <w:tcW w:w="524" w:type="dxa"/>
            <w:vMerge/>
            <w:tcBorders>
              <w:left w:val="single" w:sz="12" w:space="0" w:color="000000"/>
              <w:bottom w:val="nil" w:sz="6" w:space="0" w:color="auto"/>
              <w:right w:val="single" w:sz="6" w:space="0" w:color="000000"/>
            </w:tcBorders>
            <w:shd w:val="clear" w:color="auto" w:fill="D2D2D2"/>
          </w:tcPr>
          <w:p>
            <w:pPr/>
          </w:p>
        </w:tc>
        <w:tc>
          <w:tcPr>
            <w:tcW w:w="1240"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284"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3"/>
              <w:ind w:left="58" w:right="59"/>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52" w:hRule="exact"/>
        </w:trPr>
        <w:tc>
          <w:tcPr>
            <w:tcW w:w="524"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6"/>
              <w:ind w:left="9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240"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3" w:right="54"/>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3" w:right="54"/>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524" w:type="dxa"/>
            <w:vMerge/>
            <w:tcBorders>
              <w:left w:val="single" w:sz="12" w:space="0" w:color="000000"/>
              <w:bottom w:val="nil" w:sz="6" w:space="0" w:color="auto"/>
              <w:right w:val="single" w:sz="6" w:space="0" w:color="000000"/>
            </w:tcBorders>
            <w:shd w:val="clear" w:color="auto" w:fill="D2D2D2"/>
          </w:tcPr>
          <w:p>
            <w:pPr/>
          </w:p>
        </w:tc>
        <w:tc>
          <w:tcPr>
            <w:tcW w:w="1240" w:type="dxa"/>
            <w:vMerge/>
            <w:tcBorders>
              <w:left w:val="single" w:sz="6" w:space="0" w:color="000000"/>
              <w:bottom w:val="nil" w:sz="6" w:space="0" w:color="auto"/>
              <w:right w:val="single" w:sz="6" w:space="0" w:color="000000"/>
            </w:tcBorders>
            <w:shd w:val="clear" w:color="auto" w:fill="D2D2D2"/>
          </w:tcPr>
          <w:p>
            <w:pPr/>
          </w:p>
        </w:tc>
        <w:tc>
          <w:tcPr>
            <w:tcW w:w="851" w:type="dxa"/>
            <w:gridSpan w:val="3"/>
            <w:vMerge/>
            <w:tcBorders>
              <w:left w:val="single" w:sz="6" w:space="0" w:color="000000"/>
              <w:bottom w:val="single" w:sz="6" w:space="0" w:color="000000"/>
              <w:right w:val="single" w:sz="6" w:space="0" w:color="000000"/>
            </w:tcBorders>
            <w:shd w:val="clear" w:color="auto" w:fill="D2D2D2"/>
          </w:tcPr>
          <w:p>
            <w:pPr/>
          </w:p>
        </w:tc>
        <w:tc>
          <w:tcPr>
            <w:tcW w:w="132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79"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6" w:hRule="exact"/>
        </w:trPr>
        <w:tc>
          <w:tcPr>
            <w:tcW w:w="524" w:type="dxa"/>
            <w:vMerge w:val="restart"/>
            <w:tcBorders>
              <w:top w:val="nil" w:sz="6" w:space="0" w:color="auto"/>
              <w:left w:val="single" w:sz="12" w:space="0" w:color="000000"/>
              <w:right w:val="single" w:sz="6" w:space="0" w:color="000000"/>
            </w:tcBorders>
            <w:shd w:val="clear" w:color="auto" w:fill="D2D2D2"/>
          </w:tcPr>
          <w:p>
            <w:pPr/>
          </w:p>
        </w:tc>
        <w:tc>
          <w:tcPr>
            <w:tcW w:w="124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8"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9"/>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3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35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5"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6" w:type="dxa"/>
            <w:vMerge/>
            <w:tcBorders>
              <w:left w:val="single" w:sz="6" w:space="0" w:color="000000"/>
              <w:bottom w:val="nil" w:sz="6" w:space="0" w:color="auto"/>
              <w:right w:val="single" w:sz="6" w:space="0" w:color="000000"/>
            </w:tcBorders>
            <w:shd w:val="clear" w:color="auto" w:fill="D2D2D2"/>
          </w:tcPr>
          <w:p>
            <w:pP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524" w:type="dxa"/>
            <w:vMerge/>
            <w:tcBorders>
              <w:left w:val="single" w:sz="12" w:space="0" w:color="000000"/>
              <w:right w:val="single" w:sz="6" w:space="0" w:color="000000"/>
            </w:tcBorders>
            <w:shd w:val="clear" w:color="auto" w:fill="D2D2D2"/>
          </w:tcPr>
          <w:p>
            <w:pPr/>
          </w:p>
        </w:tc>
        <w:tc>
          <w:tcPr>
            <w:tcW w:w="1240"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41"/>
              <w:ind w:left="58" w:right="59"/>
              <w:jc w:val="left"/>
              <w:rPr>
                <w:rFonts w:ascii="宋体" w:hAnsi="宋体" w:cs="宋体" w:eastAsia="宋体" w:hint="default"/>
                <w:sz w:val="15"/>
                <w:szCs w:val="15"/>
              </w:rPr>
            </w:pPr>
            <w:r>
              <w:rPr>
                <w:rFonts w:ascii="宋体" w:hAnsi="宋体" w:cs="宋体" w:eastAsia="宋体" w:hint="default"/>
                <w:sz w:val="15"/>
                <w:szCs w:val="15"/>
              </w:rPr>
              <w:t>其 他</w:t>
            </w:r>
          </w:p>
        </w:tc>
        <w:tc>
          <w:tcPr>
            <w:tcW w:w="132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5" w:type="dxa"/>
            <w:vMerge w:val="restart"/>
            <w:tcBorders>
              <w:top w:val="nil" w:sz="6" w:space="0" w:color="auto"/>
              <w:left w:val="single" w:sz="6" w:space="0" w:color="000000"/>
              <w:right w:val="single" w:sz="12" w:space="0" w:color="000000"/>
            </w:tcBorders>
            <w:shd w:val="clear" w:color="auto" w:fill="D2D2D2"/>
          </w:tcPr>
          <w:p>
            <w:pPr/>
          </w:p>
        </w:tc>
      </w:tr>
      <w:tr>
        <w:trPr>
          <w:trHeight w:val="312" w:hRule="exact"/>
        </w:trPr>
        <w:tc>
          <w:tcPr>
            <w:tcW w:w="524" w:type="dxa"/>
            <w:vMerge/>
            <w:tcBorders>
              <w:left w:val="single" w:sz="12" w:space="0" w:color="000000"/>
              <w:right w:val="single" w:sz="6" w:space="0" w:color="000000"/>
            </w:tcBorders>
            <w:shd w:val="clear" w:color="auto" w:fill="D2D2D2"/>
          </w:tcPr>
          <w:p>
            <w:pPr/>
          </w:p>
        </w:tc>
        <w:tc>
          <w:tcPr>
            <w:tcW w:w="1240"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324"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60" w:hRule="exact"/>
        </w:trPr>
        <w:tc>
          <w:tcPr>
            <w:tcW w:w="524" w:type="dxa"/>
            <w:vMerge/>
            <w:tcBorders>
              <w:left w:val="single" w:sz="12" w:space="0" w:color="000000"/>
              <w:right w:val="single" w:sz="6" w:space="0" w:color="000000"/>
            </w:tcBorders>
            <w:shd w:val="clear" w:color="auto" w:fill="D2D2D2"/>
          </w:tcPr>
          <w:p>
            <w:pPr/>
          </w:p>
        </w:tc>
        <w:tc>
          <w:tcPr>
            <w:tcW w:w="1240"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67" w:hRule="exact"/>
        </w:trPr>
        <w:tc>
          <w:tcPr>
            <w:tcW w:w="524" w:type="dxa"/>
            <w:vMerge/>
            <w:tcBorders>
              <w:left w:val="single" w:sz="12" w:space="0" w:color="000000"/>
              <w:bottom w:val="single" w:sz="6" w:space="0" w:color="000000"/>
              <w:right w:val="single" w:sz="6" w:space="0" w:color="000000"/>
            </w:tcBorders>
            <w:shd w:val="clear" w:color="auto" w:fill="D2D2D2"/>
          </w:tcPr>
          <w:p>
            <w:pPr/>
          </w:p>
        </w:tc>
        <w:tc>
          <w:tcPr>
            <w:tcW w:w="1240"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324"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28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12" w:space="0" w:color="000000"/>
            </w:tcBorders>
            <w:shd w:val="clear" w:color="auto" w:fill="D2D2D2"/>
          </w:tcPr>
          <w:p>
            <w:pPr/>
          </w:p>
        </w:tc>
      </w:tr>
      <w:tr>
        <w:trPr>
          <w:trHeight w:val="952"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43"/>
              <w:jc w:val="both"/>
              <w:rPr>
                <w:rFonts w:ascii="宋体" w:hAnsi="宋体" w:cs="宋体" w:eastAsia="宋体" w:hint="default"/>
                <w:sz w:val="15"/>
                <w:szCs w:val="15"/>
              </w:rPr>
            </w:pPr>
            <w:r>
              <w:rPr>
                <w:rFonts w:ascii="宋体" w:hAnsi="宋体" w:cs="宋体" w:eastAsia="宋体" w:hint="default"/>
                <w:sz w:val="15"/>
                <w:szCs w:val="15"/>
              </w:rPr>
              <w:t>具持有 者投入 资本</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1574"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
              <w:jc w:val="both"/>
              <w:rPr>
                <w:rFonts w:ascii="宋体" w:hAnsi="宋体" w:cs="宋体" w:eastAsia="宋体" w:hint="default"/>
                <w:sz w:val="15"/>
                <w:szCs w:val="15"/>
              </w:rPr>
            </w:pPr>
            <w:r>
              <w:rPr>
                <w:rFonts w:ascii="宋体" w:hAnsi="宋体" w:cs="宋体" w:eastAsia="宋体" w:hint="default"/>
                <w:spacing w:val="-10"/>
                <w:sz w:val="15"/>
                <w:szCs w:val="15"/>
              </w:rPr>
              <w:t>3</w:t>
            </w:r>
            <w:r>
              <w:rPr>
                <w:rFonts w:ascii="宋体" w:hAnsi="宋体" w:cs="宋体" w:eastAsia="宋体" w:hint="default"/>
                <w:spacing w:val="-10"/>
                <w:sz w:val="15"/>
                <w:szCs w:val="15"/>
              </w:rPr>
              <w:t>．股份</w:t>
            </w:r>
            <w:r>
              <w:rPr>
                <w:rFonts w:ascii="宋体" w:hAnsi="宋体" w:cs="宋体" w:eastAsia="宋体" w:hint="default"/>
                <w:sz w:val="15"/>
                <w:szCs w:val="15"/>
              </w:rPr>
              <w:t> 支付计 入所有 者权益 的金额</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3,343,383.10</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176,340.71</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3,519,723.81</w:t>
            </w:r>
          </w:p>
        </w:tc>
      </w:tr>
      <w:tr>
        <w:trPr>
          <w:trHeight w:val="328"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2"/>
              <w:jc w:val="center"/>
              <w:rPr>
                <w:rFonts w:ascii="宋体" w:hAnsi="宋体" w:cs="宋体" w:eastAsia="宋体" w:hint="default"/>
                <w:sz w:val="15"/>
                <w:szCs w:val="15"/>
              </w:rPr>
            </w:pPr>
            <w:r>
              <w:rPr>
                <w:rFonts w:ascii="宋体" w:hAnsi="宋体" w:cs="宋体" w:eastAsia="宋体" w:hint="default"/>
                <w:spacing w:val="-10"/>
                <w:sz w:val="15"/>
                <w:szCs w:val="15"/>
              </w:rPr>
              <w:t>4</w:t>
            </w:r>
            <w:r>
              <w:rPr>
                <w:rFonts w:ascii="宋体" w:hAnsi="宋体" w:cs="宋体" w:eastAsia="宋体" w:hint="default"/>
                <w:spacing w:val="-10"/>
                <w:sz w:val="15"/>
                <w:szCs w:val="15"/>
              </w:rPr>
              <w:t>．其他</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8"/>
              <w:jc w:val="right"/>
              <w:rPr>
                <w:rFonts w:ascii="宋体" w:hAnsi="宋体" w:cs="宋体" w:eastAsia="宋体" w:hint="default"/>
                <w:sz w:val="15"/>
                <w:szCs w:val="15"/>
              </w:rPr>
            </w:pPr>
            <w:r>
              <w:rPr>
                <w:rFonts w:ascii="宋体"/>
                <w:spacing w:val="-1"/>
                <w:sz w:val="15"/>
              </w:rPr>
              <w:t>-18,803,443.77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7" w:right="0"/>
              <w:jc w:val="left"/>
              <w:rPr>
                <w:rFonts w:ascii="宋体" w:hAnsi="宋体" w:cs="宋体" w:eastAsia="宋体" w:hint="default"/>
                <w:sz w:val="15"/>
                <w:szCs w:val="15"/>
              </w:rPr>
            </w:pPr>
            <w:r>
              <w:rPr>
                <w:rFonts w:ascii="宋体"/>
                <w:sz w:val="15"/>
              </w:rPr>
              <w:t>-37,791,200.00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-92,109,978.55</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10"/>
              <w:jc w:val="right"/>
              <w:rPr>
                <w:rFonts w:ascii="宋体" w:hAnsi="宋体" w:cs="宋体" w:eastAsia="宋体" w:hint="default"/>
                <w:sz w:val="15"/>
                <w:szCs w:val="15"/>
              </w:rPr>
            </w:pPr>
            <w:r>
              <w:rPr>
                <w:rFonts w:ascii="宋体"/>
                <w:spacing w:val="-1"/>
                <w:sz w:val="15"/>
              </w:rPr>
              <w:t>-73,122,222.32</w:t>
            </w:r>
          </w:p>
        </w:tc>
      </w:tr>
      <w:tr>
        <w:trPr>
          <w:trHeight w:val="95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43"/>
              <w:jc w:val="both"/>
              <w:rPr>
                <w:rFonts w:ascii="宋体" w:hAnsi="宋体" w:cs="宋体" w:eastAsia="宋体" w:hint="default"/>
                <w:sz w:val="15"/>
                <w:szCs w:val="15"/>
              </w:rPr>
            </w:pPr>
            <w:r>
              <w:rPr>
                <w:rFonts w:ascii="宋体" w:hAnsi="宋体" w:cs="宋体" w:eastAsia="宋体" w:hint="default"/>
                <w:sz w:val="15"/>
                <w:szCs w:val="15"/>
              </w:rPr>
              <w:t>（三） 利润分 配</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-4,894,855.44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-2,429,908.14</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-7,324,763.58</w:t>
            </w:r>
          </w:p>
        </w:tc>
      </w:tr>
      <w:tr>
        <w:trPr>
          <w:trHeight w:val="952"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
              <w:jc w:val="both"/>
              <w:rPr>
                <w:rFonts w:ascii="宋体" w:hAnsi="宋体" w:cs="宋体" w:eastAsia="宋体" w:hint="default"/>
                <w:sz w:val="15"/>
                <w:szCs w:val="15"/>
              </w:rPr>
            </w:pPr>
            <w:r>
              <w:rPr>
                <w:rFonts w:ascii="宋体" w:hAnsi="宋体" w:cs="宋体" w:eastAsia="宋体" w:hint="default"/>
                <w:spacing w:val="-10"/>
                <w:sz w:val="15"/>
                <w:szCs w:val="15"/>
              </w:rPr>
              <w:t>1</w:t>
            </w:r>
            <w:r>
              <w:rPr>
                <w:rFonts w:ascii="宋体" w:hAnsi="宋体" w:cs="宋体" w:eastAsia="宋体" w:hint="default"/>
                <w:spacing w:val="-10"/>
                <w:sz w:val="15"/>
                <w:szCs w:val="15"/>
              </w:rPr>
              <w:t>．提取</w:t>
            </w:r>
            <w:r>
              <w:rPr>
                <w:rFonts w:ascii="宋体" w:hAnsi="宋体" w:cs="宋体" w:eastAsia="宋体" w:hint="default"/>
                <w:sz w:val="15"/>
                <w:szCs w:val="15"/>
              </w:rPr>
              <w:t> 盈余公 积</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0.00</w:t>
            </w:r>
          </w:p>
        </w:tc>
      </w:tr>
      <w:tr>
        <w:trPr>
          <w:trHeight w:val="95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
              <w:jc w:val="both"/>
              <w:rPr>
                <w:rFonts w:ascii="宋体" w:hAnsi="宋体" w:cs="宋体" w:eastAsia="宋体" w:hint="default"/>
                <w:sz w:val="15"/>
                <w:szCs w:val="15"/>
              </w:rPr>
            </w:pPr>
            <w:r>
              <w:rPr>
                <w:rFonts w:ascii="宋体" w:hAnsi="宋体" w:cs="宋体" w:eastAsia="宋体" w:hint="default"/>
                <w:spacing w:val="-10"/>
                <w:sz w:val="15"/>
                <w:szCs w:val="15"/>
              </w:rPr>
              <w:t>2</w:t>
            </w:r>
            <w:r>
              <w:rPr>
                <w:rFonts w:ascii="宋体" w:hAnsi="宋体" w:cs="宋体" w:eastAsia="宋体" w:hint="default"/>
                <w:spacing w:val="-10"/>
                <w:sz w:val="15"/>
                <w:szCs w:val="15"/>
              </w:rPr>
              <w:t>．提取</w:t>
            </w:r>
            <w:r>
              <w:rPr>
                <w:rFonts w:ascii="宋体" w:hAnsi="宋体" w:cs="宋体" w:eastAsia="宋体" w:hint="default"/>
                <w:sz w:val="15"/>
                <w:szCs w:val="15"/>
              </w:rPr>
              <w:t> 一般风 险准备</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1576"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
              <w:jc w:val="both"/>
              <w:rPr>
                <w:rFonts w:ascii="宋体" w:hAnsi="宋体" w:cs="宋体" w:eastAsia="宋体" w:hint="default"/>
                <w:sz w:val="15"/>
                <w:szCs w:val="15"/>
              </w:rPr>
            </w:pPr>
            <w:r>
              <w:rPr>
                <w:rFonts w:ascii="宋体" w:hAnsi="宋体" w:cs="宋体" w:eastAsia="宋体" w:hint="default"/>
                <w:spacing w:val="-10"/>
                <w:sz w:val="15"/>
                <w:szCs w:val="15"/>
              </w:rPr>
              <w:t>3</w:t>
            </w:r>
            <w:r>
              <w:rPr>
                <w:rFonts w:ascii="宋体" w:hAnsi="宋体" w:cs="宋体" w:eastAsia="宋体" w:hint="default"/>
                <w:spacing w:val="-10"/>
                <w:sz w:val="15"/>
                <w:szCs w:val="15"/>
              </w:rPr>
              <w:t>．对所</w:t>
            </w:r>
            <w:r>
              <w:rPr>
                <w:rFonts w:ascii="宋体" w:hAnsi="宋体" w:cs="宋体" w:eastAsia="宋体" w:hint="default"/>
                <w:sz w:val="15"/>
                <w:szCs w:val="15"/>
              </w:rPr>
              <w:t> 有者</w:t>
            </w:r>
          </w:p>
          <w:p>
            <w:pPr>
              <w:pStyle w:val="TableParagraph"/>
              <w:spacing w:line="381" w:lineRule="auto" w:before="27"/>
              <w:ind w:left="6" w:right="43"/>
              <w:jc w:val="both"/>
              <w:rPr>
                <w:rFonts w:ascii="宋体" w:hAnsi="宋体" w:cs="宋体" w:eastAsia="宋体" w:hint="default"/>
                <w:sz w:val="15"/>
                <w:szCs w:val="15"/>
              </w:rPr>
            </w:pPr>
            <w:r>
              <w:rPr>
                <w:rFonts w:ascii="宋体" w:hAnsi="宋体" w:cs="宋体" w:eastAsia="宋体" w:hint="default"/>
                <w:sz w:val="15"/>
                <w:szCs w:val="15"/>
              </w:rPr>
              <w:t>（或股 东）的 分配</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-4,894,855.44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-2,429,908.14</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-7,324,763.58</w:t>
            </w:r>
          </w:p>
        </w:tc>
      </w:tr>
      <w:tr>
        <w:trPr>
          <w:trHeight w:val="326"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right="2"/>
              <w:jc w:val="center"/>
              <w:rPr>
                <w:rFonts w:ascii="宋体" w:hAnsi="宋体" w:cs="宋体" w:eastAsia="宋体" w:hint="default"/>
                <w:sz w:val="15"/>
                <w:szCs w:val="15"/>
              </w:rPr>
            </w:pPr>
            <w:r>
              <w:rPr>
                <w:rFonts w:ascii="宋体" w:hAnsi="宋体" w:cs="宋体" w:eastAsia="宋体" w:hint="default"/>
                <w:spacing w:val="-10"/>
                <w:sz w:val="15"/>
                <w:szCs w:val="15"/>
              </w:rPr>
              <w:t>4</w:t>
            </w:r>
            <w:r>
              <w:rPr>
                <w:rFonts w:ascii="宋体" w:hAnsi="宋体" w:cs="宋体" w:eastAsia="宋体" w:hint="default"/>
                <w:spacing w:val="-10"/>
                <w:sz w:val="15"/>
                <w:szCs w:val="15"/>
              </w:rPr>
              <w:t>．其他</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43"/>
              <w:jc w:val="both"/>
              <w:rPr>
                <w:rFonts w:ascii="宋体" w:hAnsi="宋体" w:cs="宋体" w:eastAsia="宋体" w:hint="default"/>
                <w:sz w:val="15"/>
                <w:szCs w:val="15"/>
              </w:rPr>
            </w:pPr>
            <w:r>
              <w:rPr>
                <w:rFonts w:ascii="宋体" w:hAnsi="宋体" w:cs="宋体" w:eastAsia="宋体" w:hint="default"/>
                <w:sz w:val="15"/>
                <w:szCs w:val="15"/>
              </w:rPr>
              <w:t>（四） 所有者 权益内 部结转</w:t>
            </w:r>
          </w:p>
        </w:tc>
        <w:tc>
          <w:tcPr>
            <w:tcW w:w="124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249,182,772.00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-249,182,772.00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1575"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
              <w:jc w:val="both"/>
              <w:rPr>
                <w:rFonts w:ascii="宋体" w:hAnsi="宋体" w:cs="宋体" w:eastAsia="宋体" w:hint="default"/>
                <w:sz w:val="15"/>
                <w:szCs w:val="15"/>
              </w:rPr>
            </w:pPr>
            <w:r>
              <w:rPr>
                <w:rFonts w:ascii="宋体" w:hAnsi="宋体" w:cs="宋体" w:eastAsia="宋体" w:hint="default"/>
                <w:spacing w:val="-10"/>
                <w:sz w:val="15"/>
                <w:szCs w:val="15"/>
              </w:rPr>
              <w:t>1</w:t>
            </w:r>
            <w:r>
              <w:rPr>
                <w:rFonts w:ascii="宋体" w:hAnsi="宋体" w:cs="宋体" w:eastAsia="宋体" w:hint="default"/>
                <w:spacing w:val="-10"/>
                <w:sz w:val="15"/>
                <w:szCs w:val="15"/>
              </w:rPr>
              <w:t>．资本</w:t>
            </w:r>
            <w:r>
              <w:rPr>
                <w:rFonts w:ascii="宋体" w:hAnsi="宋体" w:cs="宋体" w:eastAsia="宋体" w:hint="default"/>
                <w:sz w:val="15"/>
                <w:szCs w:val="15"/>
              </w:rPr>
              <w:t> 公积转 增资本</w:t>
            </w:r>
          </w:p>
          <w:p>
            <w:pPr>
              <w:pStyle w:val="TableParagraph"/>
              <w:spacing w:line="381" w:lineRule="auto" w:before="27"/>
              <w:ind w:left="6" w:right="43"/>
              <w:jc w:val="both"/>
              <w:rPr>
                <w:rFonts w:ascii="宋体" w:hAnsi="宋体" w:cs="宋体" w:eastAsia="宋体" w:hint="default"/>
                <w:sz w:val="15"/>
                <w:szCs w:val="15"/>
              </w:rPr>
            </w:pPr>
            <w:r>
              <w:rPr>
                <w:rFonts w:ascii="宋体" w:hAnsi="宋体" w:cs="宋体" w:eastAsia="宋体" w:hint="default"/>
                <w:sz w:val="15"/>
                <w:szCs w:val="15"/>
              </w:rPr>
              <w:t>（或股 本）</w:t>
            </w:r>
          </w:p>
        </w:tc>
        <w:tc>
          <w:tcPr>
            <w:tcW w:w="124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249,182,772.00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-249,182,772.00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959" w:hRule="exact"/>
        </w:trPr>
        <w:tc>
          <w:tcPr>
            <w:tcW w:w="52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35"/>
              <w:ind w:left="6" w:right="7"/>
              <w:jc w:val="both"/>
              <w:rPr>
                <w:rFonts w:ascii="宋体" w:hAnsi="宋体" w:cs="宋体" w:eastAsia="宋体" w:hint="default"/>
                <w:sz w:val="15"/>
                <w:szCs w:val="15"/>
              </w:rPr>
            </w:pPr>
            <w:r>
              <w:rPr>
                <w:rFonts w:ascii="宋体" w:hAnsi="宋体" w:cs="宋体" w:eastAsia="宋体" w:hint="default"/>
                <w:spacing w:val="-10"/>
                <w:sz w:val="15"/>
                <w:szCs w:val="15"/>
              </w:rPr>
              <w:t>2</w:t>
            </w:r>
            <w:r>
              <w:rPr>
                <w:rFonts w:ascii="宋体" w:hAnsi="宋体" w:cs="宋体" w:eastAsia="宋体" w:hint="default"/>
                <w:spacing w:val="-10"/>
                <w:sz w:val="15"/>
                <w:szCs w:val="15"/>
              </w:rPr>
              <w:t>．盈余</w:t>
            </w:r>
            <w:r>
              <w:rPr>
                <w:rFonts w:ascii="宋体" w:hAnsi="宋体" w:cs="宋体" w:eastAsia="宋体" w:hint="default"/>
                <w:sz w:val="15"/>
                <w:szCs w:val="15"/>
              </w:rPr>
              <w:t> 公积转 增资本</w:t>
            </w:r>
          </w:p>
        </w:tc>
        <w:tc>
          <w:tcPr>
            <w:tcW w:w="1240" w:type="dxa"/>
            <w:tcBorders>
              <w:top w:val="single" w:sz="6" w:space="0" w:color="000000"/>
              <w:left w:val="single" w:sz="14" w:space="0" w:color="D2D2D2"/>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324"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357" w:type="dxa"/>
        <w:tblLayout w:type="fixed"/>
        <w:tblCellMar>
          <w:top w:w="0" w:type="dxa"/>
          <w:left w:w="0" w:type="dxa"/>
          <w:bottom w:w="0" w:type="dxa"/>
          <w:right w:w="0" w:type="dxa"/>
        </w:tblCellMar>
        <w:tblLook w:val="01E0"/>
      </w:tblPr>
      <w:tblGrid>
        <w:gridCol w:w="524"/>
        <w:gridCol w:w="1240"/>
        <w:gridCol w:w="284"/>
        <w:gridCol w:w="283"/>
        <w:gridCol w:w="283"/>
        <w:gridCol w:w="1324"/>
        <w:gridCol w:w="1134"/>
        <w:gridCol w:w="425"/>
        <w:gridCol w:w="284"/>
        <w:gridCol w:w="1134"/>
        <w:gridCol w:w="425"/>
        <w:gridCol w:w="1276"/>
        <w:gridCol w:w="1276"/>
        <w:gridCol w:w="1275"/>
      </w:tblGrid>
      <w:tr>
        <w:trPr>
          <w:trHeight w:val="335" w:hRule="exact"/>
        </w:trPr>
        <w:tc>
          <w:tcPr>
            <w:tcW w:w="524" w:type="dxa"/>
            <w:vMerge w:val="restart"/>
            <w:tcBorders>
              <w:top w:val="single" w:sz="12" w:space="0" w:color="000000"/>
              <w:left w:val="single" w:sz="12" w:space="0" w:color="000000"/>
              <w:right w:val="single" w:sz="6" w:space="0" w:color="000000"/>
            </w:tcBorders>
            <w:shd w:val="clear" w:color="auto" w:fill="D2D2D2"/>
          </w:tcPr>
          <w:p>
            <w:pPr/>
          </w:p>
        </w:tc>
        <w:tc>
          <w:tcPr>
            <w:tcW w:w="10644"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6"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6" w:hRule="exact"/>
        </w:trPr>
        <w:tc>
          <w:tcPr>
            <w:tcW w:w="524" w:type="dxa"/>
            <w:vMerge/>
            <w:tcBorders>
              <w:left w:val="single" w:sz="12" w:space="0" w:color="000000"/>
              <w:right w:val="single" w:sz="6" w:space="0" w:color="000000"/>
            </w:tcBorders>
            <w:shd w:val="clear" w:color="auto" w:fill="D2D2D2"/>
          </w:tcPr>
          <w:p>
            <w:pPr/>
          </w:p>
        </w:tc>
        <w:tc>
          <w:tcPr>
            <w:tcW w:w="8093"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5" w:type="dxa"/>
            <w:vMerge w:val="restart"/>
            <w:tcBorders>
              <w:top w:val="single" w:sz="6" w:space="0" w:color="000000"/>
              <w:left w:val="single" w:sz="6" w:space="0" w:color="000000"/>
              <w:right w:val="single" w:sz="12" w:space="0" w:color="000000"/>
            </w:tcBorders>
            <w:shd w:val="clear" w:color="auto" w:fill="D2D2D2"/>
          </w:tcPr>
          <w:p>
            <w:pPr/>
          </w:p>
        </w:tc>
      </w:tr>
      <w:tr>
        <w:trPr>
          <w:trHeight w:val="171" w:hRule="exact"/>
        </w:trPr>
        <w:tc>
          <w:tcPr>
            <w:tcW w:w="524" w:type="dxa"/>
            <w:vMerge/>
            <w:tcBorders>
              <w:left w:val="single" w:sz="12" w:space="0" w:color="000000"/>
              <w:right w:val="single" w:sz="6" w:space="0" w:color="000000"/>
            </w:tcBorders>
            <w:shd w:val="clear" w:color="auto" w:fill="D2D2D2"/>
          </w:tcPr>
          <w:p>
            <w:pPr/>
          </w:p>
        </w:tc>
        <w:tc>
          <w:tcPr>
            <w:tcW w:w="1240" w:type="dxa"/>
            <w:vMerge w:val="restart"/>
            <w:tcBorders>
              <w:top w:val="single" w:sz="6" w:space="0" w:color="000000"/>
              <w:left w:val="single" w:sz="6" w:space="0" w:color="000000"/>
              <w:right w:val="single" w:sz="6" w:space="0" w:color="000000"/>
            </w:tcBorders>
            <w:shd w:val="clear" w:color="auto" w:fill="D2D2D2"/>
          </w:tcPr>
          <w:p>
            <w:pPr/>
          </w:p>
        </w:tc>
        <w:tc>
          <w:tcPr>
            <w:tcW w:w="85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267" w:right="116" w:hanging="150"/>
              <w:jc w:val="left"/>
              <w:rPr>
                <w:rFonts w:ascii="宋体" w:hAnsi="宋体" w:cs="宋体" w:eastAsia="宋体" w:hint="default"/>
                <w:sz w:val="15"/>
                <w:szCs w:val="15"/>
              </w:rPr>
            </w:pPr>
            <w:r>
              <w:rPr>
                <w:rFonts w:ascii="宋体" w:hAnsi="宋体" w:cs="宋体" w:eastAsia="宋体" w:hint="default"/>
                <w:sz w:val="15"/>
                <w:szCs w:val="15"/>
              </w:rPr>
              <w:t>其他权益 工具</w:t>
            </w:r>
          </w:p>
        </w:tc>
        <w:tc>
          <w:tcPr>
            <w:tcW w:w="1324"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28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49" w:hRule="exact"/>
        </w:trPr>
        <w:tc>
          <w:tcPr>
            <w:tcW w:w="524" w:type="dxa"/>
            <w:vMerge/>
            <w:tcBorders>
              <w:left w:val="single" w:sz="12" w:space="0" w:color="000000"/>
              <w:bottom w:val="nil" w:sz="6" w:space="0" w:color="auto"/>
              <w:right w:val="single" w:sz="6" w:space="0" w:color="000000"/>
            </w:tcBorders>
            <w:shd w:val="clear" w:color="auto" w:fill="D2D2D2"/>
          </w:tcPr>
          <w:p>
            <w:pPr/>
          </w:p>
        </w:tc>
        <w:tc>
          <w:tcPr>
            <w:tcW w:w="1240"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284"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3"/>
              <w:ind w:left="58" w:right="59"/>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52" w:hRule="exact"/>
        </w:trPr>
        <w:tc>
          <w:tcPr>
            <w:tcW w:w="524"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6"/>
              <w:ind w:left="9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240"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3" w:right="54"/>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3" w:right="54"/>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524" w:type="dxa"/>
            <w:vMerge/>
            <w:tcBorders>
              <w:left w:val="single" w:sz="12" w:space="0" w:color="000000"/>
              <w:bottom w:val="nil" w:sz="6" w:space="0" w:color="auto"/>
              <w:right w:val="single" w:sz="6" w:space="0" w:color="000000"/>
            </w:tcBorders>
            <w:shd w:val="clear" w:color="auto" w:fill="D2D2D2"/>
          </w:tcPr>
          <w:p>
            <w:pPr/>
          </w:p>
        </w:tc>
        <w:tc>
          <w:tcPr>
            <w:tcW w:w="1240" w:type="dxa"/>
            <w:vMerge/>
            <w:tcBorders>
              <w:left w:val="single" w:sz="6" w:space="0" w:color="000000"/>
              <w:bottom w:val="nil" w:sz="6" w:space="0" w:color="auto"/>
              <w:right w:val="single" w:sz="6" w:space="0" w:color="000000"/>
            </w:tcBorders>
            <w:shd w:val="clear" w:color="auto" w:fill="D2D2D2"/>
          </w:tcPr>
          <w:p>
            <w:pPr/>
          </w:p>
        </w:tc>
        <w:tc>
          <w:tcPr>
            <w:tcW w:w="851" w:type="dxa"/>
            <w:gridSpan w:val="3"/>
            <w:vMerge/>
            <w:tcBorders>
              <w:left w:val="single" w:sz="6" w:space="0" w:color="000000"/>
              <w:bottom w:val="single" w:sz="6" w:space="0" w:color="000000"/>
              <w:right w:val="single" w:sz="6" w:space="0" w:color="000000"/>
            </w:tcBorders>
            <w:shd w:val="clear" w:color="auto" w:fill="D2D2D2"/>
          </w:tcPr>
          <w:p>
            <w:pPr/>
          </w:p>
        </w:tc>
        <w:tc>
          <w:tcPr>
            <w:tcW w:w="132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79"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6" w:hRule="exact"/>
        </w:trPr>
        <w:tc>
          <w:tcPr>
            <w:tcW w:w="524" w:type="dxa"/>
            <w:vMerge w:val="restart"/>
            <w:tcBorders>
              <w:top w:val="nil" w:sz="6" w:space="0" w:color="auto"/>
              <w:left w:val="single" w:sz="12" w:space="0" w:color="000000"/>
              <w:right w:val="single" w:sz="6" w:space="0" w:color="000000"/>
            </w:tcBorders>
            <w:shd w:val="clear" w:color="auto" w:fill="D2D2D2"/>
          </w:tcPr>
          <w:p>
            <w:pPr/>
          </w:p>
        </w:tc>
        <w:tc>
          <w:tcPr>
            <w:tcW w:w="124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8"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9"/>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3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35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5"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6" w:type="dxa"/>
            <w:vMerge/>
            <w:tcBorders>
              <w:left w:val="single" w:sz="6" w:space="0" w:color="000000"/>
              <w:bottom w:val="nil" w:sz="6" w:space="0" w:color="auto"/>
              <w:right w:val="single" w:sz="6" w:space="0" w:color="000000"/>
            </w:tcBorders>
            <w:shd w:val="clear" w:color="auto" w:fill="D2D2D2"/>
          </w:tcPr>
          <w:p>
            <w:pP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524" w:type="dxa"/>
            <w:vMerge/>
            <w:tcBorders>
              <w:left w:val="single" w:sz="12" w:space="0" w:color="000000"/>
              <w:right w:val="single" w:sz="6" w:space="0" w:color="000000"/>
            </w:tcBorders>
            <w:shd w:val="clear" w:color="auto" w:fill="D2D2D2"/>
          </w:tcPr>
          <w:p>
            <w:pPr/>
          </w:p>
        </w:tc>
        <w:tc>
          <w:tcPr>
            <w:tcW w:w="1240"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41"/>
              <w:ind w:left="58" w:right="59"/>
              <w:jc w:val="left"/>
              <w:rPr>
                <w:rFonts w:ascii="宋体" w:hAnsi="宋体" w:cs="宋体" w:eastAsia="宋体" w:hint="default"/>
                <w:sz w:val="15"/>
                <w:szCs w:val="15"/>
              </w:rPr>
            </w:pPr>
            <w:r>
              <w:rPr>
                <w:rFonts w:ascii="宋体" w:hAnsi="宋体" w:cs="宋体" w:eastAsia="宋体" w:hint="default"/>
                <w:sz w:val="15"/>
                <w:szCs w:val="15"/>
              </w:rPr>
              <w:t>其 他</w:t>
            </w:r>
          </w:p>
        </w:tc>
        <w:tc>
          <w:tcPr>
            <w:tcW w:w="132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5" w:type="dxa"/>
            <w:vMerge w:val="restart"/>
            <w:tcBorders>
              <w:top w:val="nil" w:sz="6" w:space="0" w:color="auto"/>
              <w:left w:val="single" w:sz="6" w:space="0" w:color="000000"/>
              <w:right w:val="single" w:sz="12" w:space="0" w:color="000000"/>
            </w:tcBorders>
            <w:shd w:val="clear" w:color="auto" w:fill="D2D2D2"/>
          </w:tcPr>
          <w:p>
            <w:pPr/>
          </w:p>
        </w:tc>
      </w:tr>
      <w:tr>
        <w:trPr>
          <w:trHeight w:val="312" w:hRule="exact"/>
        </w:trPr>
        <w:tc>
          <w:tcPr>
            <w:tcW w:w="524" w:type="dxa"/>
            <w:vMerge/>
            <w:tcBorders>
              <w:left w:val="single" w:sz="12" w:space="0" w:color="000000"/>
              <w:right w:val="single" w:sz="6" w:space="0" w:color="000000"/>
            </w:tcBorders>
            <w:shd w:val="clear" w:color="auto" w:fill="D2D2D2"/>
          </w:tcPr>
          <w:p>
            <w:pPr/>
          </w:p>
        </w:tc>
        <w:tc>
          <w:tcPr>
            <w:tcW w:w="1240"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324"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60" w:hRule="exact"/>
        </w:trPr>
        <w:tc>
          <w:tcPr>
            <w:tcW w:w="524" w:type="dxa"/>
            <w:vMerge/>
            <w:tcBorders>
              <w:left w:val="single" w:sz="12" w:space="0" w:color="000000"/>
              <w:right w:val="single" w:sz="6" w:space="0" w:color="000000"/>
            </w:tcBorders>
            <w:shd w:val="clear" w:color="auto" w:fill="D2D2D2"/>
          </w:tcPr>
          <w:p>
            <w:pPr/>
          </w:p>
        </w:tc>
        <w:tc>
          <w:tcPr>
            <w:tcW w:w="1240"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324"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right w:val="single" w:sz="12" w:space="0" w:color="000000"/>
            </w:tcBorders>
            <w:shd w:val="clear" w:color="auto" w:fill="D2D2D2"/>
          </w:tcPr>
          <w:p>
            <w:pPr/>
          </w:p>
        </w:tc>
      </w:tr>
      <w:tr>
        <w:trPr>
          <w:trHeight w:val="167" w:hRule="exact"/>
        </w:trPr>
        <w:tc>
          <w:tcPr>
            <w:tcW w:w="524" w:type="dxa"/>
            <w:vMerge/>
            <w:tcBorders>
              <w:left w:val="single" w:sz="12" w:space="0" w:color="000000"/>
              <w:bottom w:val="single" w:sz="6" w:space="0" w:color="000000"/>
              <w:right w:val="single" w:sz="6" w:space="0" w:color="000000"/>
            </w:tcBorders>
            <w:shd w:val="clear" w:color="auto" w:fill="D2D2D2"/>
          </w:tcPr>
          <w:p>
            <w:pPr/>
          </w:p>
        </w:tc>
        <w:tc>
          <w:tcPr>
            <w:tcW w:w="1240"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324"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28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12" w:space="0" w:color="000000"/>
            </w:tcBorders>
            <w:shd w:val="clear" w:color="auto" w:fill="D2D2D2"/>
          </w:tcPr>
          <w:p>
            <w:pPr/>
          </w:p>
        </w:tc>
      </w:tr>
      <w:tr>
        <w:trPr>
          <w:trHeight w:val="64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43"/>
              <w:jc w:val="left"/>
              <w:rPr>
                <w:rFonts w:ascii="宋体" w:hAnsi="宋体" w:cs="宋体" w:eastAsia="宋体" w:hint="default"/>
                <w:sz w:val="15"/>
                <w:szCs w:val="15"/>
              </w:rPr>
            </w:pPr>
            <w:r>
              <w:rPr>
                <w:rFonts w:ascii="宋体" w:hAnsi="宋体" w:cs="宋体" w:eastAsia="宋体" w:hint="default"/>
                <w:sz w:val="15"/>
                <w:szCs w:val="15"/>
              </w:rPr>
              <w:t>（或股 本）</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
              <w:jc w:val="both"/>
              <w:rPr>
                <w:rFonts w:ascii="宋体" w:hAnsi="宋体" w:cs="宋体" w:eastAsia="宋体" w:hint="default"/>
                <w:sz w:val="15"/>
                <w:szCs w:val="15"/>
              </w:rPr>
            </w:pPr>
            <w:r>
              <w:rPr>
                <w:rFonts w:ascii="宋体" w:hAnsi="宋体" w:cs="宋体" w:eastAsia="宋体" w:hint="default"/>
                <w:spacing w:val="-10"/>
                <w:sz w:val="15"/>
                <w:szCs w:val="15"/>
              </w:rPr>
              <w:t>3</w:t>
            </w:r>
            <w:r>
              <w:rPr>
                <w:rFonts w:ascii="宋体" w:hAnsi="宋体" w:cs="宋体" w:eastAsia="宋体" w:hint="default"/>
                <w:spacing w:val="-10"/>
                <w:sz w:val="15"/>
                <w:szCs w:val="15"/>
              </w:rPr>
              <w:t>．盈余</w:t>
            </w:r>
            <w:r>
              <w:rPr>
                <w:rFonts w:ascii="宋体" w:hAnsi="宋体" w:cs="宋体" w:eastAsia="宋体" w:hint="default"/>
                <w:sz w:val="15"/>
                <w:szCs w:val="15"/>
              </w:rPr>
              <w:t> 公积弥 补亏损</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pacing w:val="-10"/>
                <w:sz w:val="15"/>
                <w:szCs w:val="15"/>
              </w:rPr>
              <w:t>4</w:t>
            </w:r>
            <w:r>
              <w:rPr>
                <w:rFonts w:ascii="宋体" w:hAnsi="宋体" w:cs="宋体" w:eastAsia="宋体" w:hint="default"/>
                <w:spacing w:val="-10"/>
                <w:sz w:val="15"/>
                <w:szCs w:val="15"/>
              </w:rPr>
              <w:t>．其他</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43"/>
              <w:jc w:val="both"/>
              <w:rPr>
                <w:rFonts w:ascii="宋体" w:hAnsi="宋体" w:cs="宋体" w:eastAsia="宋体" w:hint="default"/>
                <w:sz w:val="15"/>
                <w:szCs w:val="15"/>
              </w:rPr>
            </w:pPr>
            <w:r>
              <w:rPr>
                <w:rFonts w:ascii="宋体" w:hAnsi="宋体" w:cs="宋体" w:eastAsia="宋体" w:hint="default"/>
                <w:sz w:val="15"/>
                <w:szCs w:val="15"/>
              </w:rPr>
              <w:t>（五） 专项储 备</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
              <w:jc w:val="left"/>
              <w:rPr>
                <w:rFonts w:ascii="宋体" w:hAnsi="宋体" w:cs="宋体" w:eastAsia="宋体" w:hint="default"/>
                <w:sz w:val="15"/>
                <w:szCs w:val="15"/>
              </w:rPr>
            </w:pPr>
            <w:r>
              <w:rPr>
                <w:rFonts w:ascii="宋体" w:hAnsi="宋体" w:cs="宋体" w:eastAsia="宋体" w:hint="default"/>
                <w:spacing w:val="-10"/>
                <w:sz w:val="15"/>
                <w:szCs w:val="15"/>
              </w:rPr>
              <w:t>1</w:t>
            </w:r>
            <w:r>
              <w:rPr>
                <w:rFonts w:ascii="宋体" w:hAnsi="宋体" w:cs="宋体" w:eastAsia="宋体" w:hint="default"/>
                <w:spacing w:val="-10"/>
                <w:sz w:val="15"/>
                <w:szCs w:val="15"/>
              </w:rPr>
              <w:t>．本期</w:t>
            </w:r>
            <w:r>
              <w:rPr>
                <w:rFonts w:ascii="宋体" w:hAnsi="宋体" w:cs="宋体" w:eastAsia="宋体" w:hint="default"/>
                <w:sz w:val="15"/>
                <w:szCs w:val="15"/>
              </w:rPr>
              <w:t> 提取</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
              <w:jc w:val="left"/>
              <w:rPr>
                <w:rFonts w:ascii="宋体" w:hAnsi="宋体" w:cs="宋体" w:eastAsia="宋体" w:hint="default"/>
                <w:sz w:val="15"/>
                <w:szCs w:val="15"/>
              </w:rPr>
            </w:pPr>
            <w:r>
              <w:rPr>
                <w:rFonts w:ascii="宋体" w:hAnsi="宋体" w:cs="宋体" w:eastAsia="宋体" w:hint="default"/>
                <w:spacing w:val="-10"/>
                <w:sz w:val="15"/>
                <w:szCs w:val="15"/>
              </w:rPr>
              <w:t>2</w:t>
            </w:r>
            <w:r>
              <w:rPr>
                <w:rFonts w:ascii="宋体" w:hAnsi="宋体" w:cs="宋体" w:eastAsia="宋体" w:hint="default"/>
                <w:spacing w:val="-10"/>
                <w:sz w:val="15"/>
                <w:szCs w:val="15"/>
              </w:rPr>
              <w:t>．本期</w:t>
            </w:r>
            <w:r>
              <w:rPr>
                <w:rFonts w:ascii="宋体" w:hAnsi="宋体" w:cs="宋体" w:eastAsia="宋体" w:hint="default"/>
                <w:sz w:val="15"/>
                <w:szCs w:val="15"/>
              </w:rPr>
              <w:t> 使用</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52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43"/>
              <w:jc w:val="left"/>
              <w:rPr>
                <w:rFonts w:ascii="宋体" w:hAnsi="宋体" w:cs="宋体" w:eastAsia="宋体" w:hint="default"/>
                <w:sz w:val="15"/>
                <w:szCs w:val="15"/>
              </w:rPr>
            </w:pPr>
            <w:r>
              <w:rPr>
                <w:rFonts w:ascii="宋体" w:hAnsi="宋体" w:cs="宋体" w:eastAsia="宋体" w:hint="default"/>
                <w:sz w:val="15"/>
                <w:szCs w:val="15"/>
              </w:rPr>
              <w:t>（六） 其他</w:t>
            </w:r>
          </w:p>
        </w:tc>
        <w:tc>
          <w:tcPr>
            <w:tcW w:w="1240"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958" w:hRule="exact"/>
        </w:trPr>
        <w:tc>
          <w:tcPr>
            <w:tcW w:w="52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33"/>
              <w:ind w:left="6" w:right="43"/>
              <w:jc w:val="both"/>
              <w:rPr>
                <w:rFonts w:ascii="宋体" w:hAnsi="宋体" w:cs="宋体" w:eastAsia="宋体" w:hint="default"/>
                <w:sz w:val="15"/>
                <w:szCs w:val="15"/>
              </w:rPr>
            </w:pPr>
            <w:r>
              <w:rPr>
                <w:rFonts w:ascii="宋体" w:hAnsi="宋体" w:cs="宋体" w:eastAsia="宋体" w:hint="default"/>
                <w:sz w:val="15"/>
                <w:szCs w:val="15"/>
              </w:rPr>
              <w:t>四、本 期期末 余额</w:t>
            </w:r>
          </w:p>
        </w:tc>
        <w:tc>
          <w:tcPr>
            <w:tcW w:w="124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42" w:right="0"/>
              <w:jc w:val="left"/>
              <w:rPr>
                <w:rFonts w:ascii="宋体" w:hAnsi="宋体" w:cs="宋体" w:eastAsia="宋体" w:hint="default"/>
                <w:sz w:val="15"/>
                <w:szCs w:val="15"/>
              </w:rPr>
            </w:pPr>
            <w:r>
              <w:rPr>
                <w:rFonts w:ascii="宋体"/>
                <w:sz w:val="15"/>
              </w:rPr>
              <w:t>414,849,620.00</w:t>
            </w: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5"/>
                <w:szCs w:val="15"/>
              </w:rPr>
            </w:pPr>
            <w:r>
              <w:rPr>
                <w:rFonts w:ascii="宋体"/>
                <w:sz w:val="15"/>
              </w:rPr>
              <w:t>769,199,153.53</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宋体" w:hAnsi="宋体" w:cs="宋体" w:eastAsia="宋体" w:hint="default"/>
                <w:sz w:val="15"/>
                <w:szCs w:val="15"/>
              </w:rPr>
            </w:pPr>
            <w:r>
              <w:rPr>
                <w:rFonts w:ascii="宋体"/>
                <w:sz w:val="15"/>
              </w:rPr>
              <w:t>54,115,440.00</w:t>
            </w:r>
          </w:p>
        </w:tc>
        <w:tc>
          <w:tcPr>
            <w:tcW w:w="425"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宋体" w:hAnsi="宋体" w:cs="宋体" w:eastAsia="宋体" w:hint="default"/>
                <w:sz w:val="15"/>
                <w:szCs w:val="15"/>
              </w:rPr>
            </w:pPr>
            <w:r>
              <w:rPr>
                <w:rFonts w:ascii="宋体"/>
                <w:sz w:val="15"/>
              </w:rPr>
              <w:t>21,281,039.35</w:t>
            </w: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16" w:right="0"/>
              <w:jc w:val="left"/>
              <w:rPr>
                <w:rFonts w:ascii="宋体" w:hAnsi="宋体" w:cs="宋体" w:eastAsia="宋体" w:hint="default"/>
                <w:sz w:val="15"/>
                <w:szCs w:val="15"/>
              </w:rPr>
            </w:pPr>
            <w:r>
              <w:rPr>
                <w:rFonts w:ascii="宋体"/>
                <w:sz w:val="15"/>
              </w:rPr>
              <w:t>-116,859,807.86</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339" w:right="0"/>
              <w:jc w:val="left"/>
              <w:rPr>
                <w:rFonts w:ascii="宋体" w:hAnsi="宋体" w:cs="宋体" w:eastAsia="宋体" w:hint="default"/>
                <w:sz w:val="15"/>
                <w:szCs w:val="15"/>
              </w:rPr>
            </w:pPr>
            <w:r>
              <w:rPr>
                <w:rFonts w:ascii="宋体"/>
                <w:sz w:val="15"/>
              </w:rPr>
              <w:t>5,701,653.19</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宋体" w:hAnsi="宋体" w:cs="宋体" w:eastAsia="宋体" w:hint="default"/>
                <w:sz w:val="15"/>
                <w:szCs w:val="15"/>
              </w:rPr>
            </w:pPr>
            <w:r>
              <w:rPr>
                <w:rFonts w:ascii="宋体"/>
                <w:sz w:val="15"/>
              </w:rPr>
              <w:t>1,040,056,218.21</w:t>
            </w:r>
          </w:p>
        </w:tc>
      </w:tr>
    </w:tbl>
    <w:p>
      <w:pPr>
        <w:spacing w:line="240" w:lineRule="auto" w:before="1"/>
        <w:rPr>
          <w:rFonts w:ascii="Times New Roman" w:hAnsi="Times New Roman" w:cs="Times New Roman" w:eastAsia="Times New Roman" w:hint="default"/>
          <w:sz w:val="6"/>
          <w:szCs w:val="6"/>
        </w:rPr>
      </w:pPr>
    </w:p>
    <w:p>
      <w:pPr>
        <w:spacing w:after="0" w:line="240" w:lineRule="auto"/>
        <w:rPr>
          <w:rFonts w:ascii="Times New Roman" w:hAnsi="Times New Roman" w:cs="Times New Roman" w:eastAsia="Times New Roman" w:hint="default"/>
          <w:sz w:val="6"/>
          <w:szCs w:val="6"/>
        </w:rPr>
        <w:sectPr>
          <w:pgSz w:w="11910" w:h="16840"/>
          <w:pgMar w:header="747" w:footer="1000" w:top="1040" w:bottom="1180" w:left="0" w:right="0"/>
        </w:sectPr>
      </w:pPr>
    </w:p>
    <w:p>
      <w:pPr>
        <w:pStyle w:val="BodyText"/>
        <w:spacing w:line="240" w:lineRule="auto" w:before="35"/>
        <w:ind w:left="1134"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1975" w:space="6945"/>
            <w:col w:w="2990"/>
          </w:cols>
        </w:sectPr>
      </w:pPr>
    </w:p>
    <w:p>
      <w:pPr>
        <w:spacing w:line="240" w:lineRule="auto" w:before="1"/>
        <w:rPr>
          <w:rFonts w:ascii="宋体" w:hAnsi="宋体" w:cs="宋体" w:eastAsia="宋体" w:hint="default"/>
          <w:sz w:val="8"/>
          <w:szCs w:val="8"/>
        </w:rPr>
      </w:pPr>
    </w:p>
    <w:tbl>
      <w:tblPr>
        <w:tblW w:w="0" w:type="auto"/>
        <w:jc w:val="left"/>
        <w:tblInd w:w="343" w:type="dxa"/>
        <w:tblLayout w:type="fixed"/>
        <w:tblCellMar>
          <w:top w:w="0" w:type="dxa"/>
          <w:left w:w="0" w:type="dxa"/>
          <w:bottom w:w="0" w:type="dxa"/>
          <w:right w:w="0" w:type="dxa"/>
        </w:tblCellMar>
        <w:tblLook w:val="01E0"/>
      </w:tblPr>
      <w:tblGrid>
        <w:gridCol w:w="551"/>
        <w:gridCol w:w="1146"/>
        <w:gridCol w:w="282"/>
        <w:gridCol w:w="284"/>
        <w:gridCol w:w="283"/>
        <w:gridCol w:w="1276"/>
        <w:gridCol w:w="1134"/>
        <w:gridCol w:w="425"/>
        <w:gridCol w:w="426"/>
        <w:gridCol w:w="1134"/>
        <w:gridCol w:w="426"/>
        <w:gridCol w:w="1134"/>
        <w:gridCol w:w="1346"/>
        <w:gridCol w:w="1347"/>
      </w:tblGrid>
      <w:tr>
        <w:trPr>
          <w:trHeight w:val="335" w:hRule="exact"/>
        </w:trPr>
        <w:tc>
          <w:tcPr>
            <w:tcW w:w="551" w:type="dxa"/>
            <w:vMerge w:val="restart"/>
            <w:tcBorders>
              <w:top w:val="single" w:sz="12" w:space="0" w:color="000000"/>
              <w:left w:val="single" w:sz="12" w:space="0" w:color="000000"/>
              <w:right w:val="single" w:sz="6" w:space="0" w:color="000000"/>
            </w:tcBorders>
            <w:shd w:val="clear" w:color="auto" w:fill="D2D2D2"/>
          </w:tcPr>
          <w:p>
            <w:pPr/>
          </w:p>
        </w:tc>
        <w:tc>
          <w:tcPr>
            <w:tcW w:w="10645"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8"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7" w:hRule="exact"/>
        </w:trPr>
        <w:tc>
          <w:tcPr>
            <w:tcW w:w="551" w:type="dxa"/>
            <w:vMerge/>
            <w:tcBorders>
              <w:left w:val="single" w:sz="12" w:space="0" w:color="000000"/>
              <w:right w:val="single" w:sz="6" w:space="0" w:color="000000"/>
            </w:tcBorders>
            <w:shd w:val="clear" w:color="auto" w:fill="D2D2D2"/>
          </w:tcPr>
          <w:p>
            <w:pPr/>
          </w:p>
        </w:tc>
        <w:tc>
          <w:tcPr>
            <w:tcW w:w="7951"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46" w:type="dxa"/>
            <w:vMerge w:val="restart"/>
            <w:tcBorders>
              <w:top w:val="single" w:sz="6" w:space="0" w:color="000000"/>
              <w:left w:val="single" w:sz="6" w:space="0" w:color="000000"/>
              <w:right w:val="single" w:sz="6" w:space="0" w:color="000000"/>
            </w:tcBorders>
            <w:shd w:val="clear" w:color="auto" w:fill="D2D2D2"/>
          </w:tcPr>
          <w:p>
            <w:pPr/>
          </w:p>
        </w:tc>
        <w:tc>
          <w:tcPr>
            <w:tcW w:w="1347" w:type="dxa"/>
            <w:vMerge w:val="restart"/>
            <w:tcBorders>
              <w:top w:val="single" w:sz="6" w:space="0" w:color="000000"/>
              <w:left w:val="single" w:sz="6" w:space="0" w:color="000000"/>
              <w:right w:val="single" w:sz="12" w:space="0" w:color="000000"/>
            </w:tcBorders>
            <w:shd w:val="clear" w:color="auto" w:fill="D2D2D2"/>
          </w:tcPr>
          <w:p>
            <w:pPr/>
          </w:p>
        </w:tc>
      </w:tr>
      <w:tr>
        <w:trPr>
          <w:trHeight w:val="319" w:hRule="exact"/>
        </w:trPr>
        <w:tc>
          <w:tcPr>
            <w:tcW w:w="551" w:type="dxa"/>
            <w:vMerge/>
            <w:tcBorders>
              <w:left w:val="single" w:sz="12" w:space="0" w:color="000000"/>
              <w:bottom w:val="nil" w:sz="6" w:space="0" w:color="auto"/>
              <w:right w:val="single" w:sz="6" w:space="0" w:color="000000"/>
            </w:tcBorders>
            <w:shd w:val="clear" w:color="auto" w:fill="D2D2D2"/>
          </w:tcPr>
          <w:p>
            <w:pPr/>
          </w:p>
        </w:tc>
        <w:tc>
          <w:tcPr>
            <w:tcW w:w="1146" w:type="dxa"/>
            <w:vMerge w:val="restart"/>
            <w:tcBorders>
              <w:top w:val="single" w:sz="6" w:space="0" w:color="000000"/>
              <w:left w:val="single" w:sz="6" w:space="0" w:color="000000"/>
              <w:right w:val="single" w:sz="6" w:space="0" w:color="000000"/>
            </w:tcBorders>
            <w:shd w:val="clear" w:color="auto" w:fill="D2D2D2"/>
          </w:tcPr>
          <w:p>
            <w:pPr/>
          </w:p>
        </w:tc>
        <w:tc>
          <w:tcPr>
            <w:tcW w:w="85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3"/>
              <w:ind w:left="342" w:right="41" w:hanging="300"/>
              <w:jc w:val="left"/>
              <w:rPr>
                <w:rFonts w:ascii="宋体" w:hAnsi="宋体" w:cs="宋体" w:eastAsia="宋体" w:hint="default"/>
                <w:sz w:val="15"/>
                <w:szCs w:val="15"/>
              </w:rPr>
            </w:pPr>
            <w:r>
              <w:rPr>
                <w:rFonts w:ascii="宋体" w:hAnsi="宋体" w:cs="宋体" w:eastAsia="宋体" w:hint="default"/>
                <w:sz w:val="15"/>
                <w:szCs w:val="15"/>
              </w:rPr>
              <w:t>其他权益工 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56" w:hRule="exact"/>
        </w:trPr>
        <w:tc>
          <w:tcPr>
            <w:tcW w:w="55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6"/>
              <w:ind w:left="11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146" w:type="dxa"/>
            <w:vMerge/>
            <w:tcBorders>
              <w:left w:val="single" w:sz="6" w:space="0" w:color="000000"/>
              <w:right w:val="single" w:sz="6" w:space="0" w:color="000000"/>
            </w:tcBorders>
            <w:shd w:val="clear" w:color="auto" w:fill="D2D2D2"/>
          </w:tcPr>
          <w:p>
            <w:pPr/>
          </w:p>
        </w:tc>
        <w:tc>
          <w:tcPr>
            <w:tcW w:w="850" w:type="dxa"/>
            <w:gridSpan w:val="3"/>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3"/>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4"/>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bottom w:val="nil" w:sz="6" w:space="0" w:color="auto"/>
              <w:right w:val="single" w:sz="6" w:space="0" w:color="000000"/>
            </w:tcBorders>
            <w:shd w:val="clear" w:color="auto" w:fill="D2D2D2"/>
          </w:tcPr>
          <w:p>
            <w:pPr/>
          </w:p>
        </w:tc>
        <w:tc>
          <w:tcPr>
            <w:tcW w:w="1347"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551" w:type="dxa"/>
            <w:vMerge/>
            <w:tcBorders>
              <w:left w:val="single" w:sz="12" w:space="0" w:color="000000"/>
              <w:bottom w:val="nil" w:sz="6" w:space="0" w:color="auto"/>
              <w:right w:val="single" w:sz="6" w:space="0" w:color="000000"/>
            </w:tcBorders>
            <w:shd w:val="clear" w:color="auto" w:fill="D2D2D2"/>
          </w:tcPr>
          <w:p>
            <w:pPr/>
          </w:p>
        </w:tc>
        <w:tc>
          <w:tcPr>
            <w:tcW w:w="1146" w:type="dxa"/>
            <w:vMerge/>
            <w:tcBorders>
              <w:left w:val="single" w:sz="6" w:space="0" w:color="000000"/>
              <w:bottom w:val="nil" w:sz="6" w:space="0" w:color="auto"/>
              <w:right w:val="single" w:sz="6" w:space="0" w:color="000000"/>
            </w:tcBorders>
            <w:shd w:val="clear" w:color="auto" w:fill="D2D2D2"/>
          </w:tcPr>
          <w:p>
            <w:pPr/>
          </w:p>
        </w:tc>
        <w:tc>
          <w:tcPr>
            <w:tcW w:w="850"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3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0"/>
              <w:ind w:left="21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4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0"/>
              <w:ind w:left="14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7" w:hRule="exact"/>
        </w:trPr>
        <w:tc>
          <w:tcPr>
            <w:tcW w:w="551" w:type="dxa"/>
            <w:vMerge w:val="restart"/>
            <w:tcBorders>
              <w:top w:val="nil" w:sz="6" w:space="0" w:color="auto"/>
              <w:left w:val="single" w:sz="12" w:space="0" w:color="000000"/>
              <w:right w:val="single" w:sz="6" w:space="0" w:color="000000"/>
            </w:tcBorders>
            <w:shd w:val="clear" w:color="auto" w:fill="D2D2D2"/>
          </w:tcPr>
          <w:p>
            <w:pPr/>
          </w:p>
        </w:tc>
        <w:tc>
          <w:tcPr>
            <w:tcW w:w="11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8"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2"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5"/>
              <w:ind w:left="58" w:right="56"/>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5"/>
              <w:ind w:left="60"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8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25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8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46" w:type="dxa"/>
            <w:vMerge/>
            <w:tcBorders>
              <w:left w:val="single" w:sz="6" w:space="0" w:color="000000"/>
              <w:bottom w:val="nil" w:sz="6" w:space="0" w:color="auto"/>
              <w:right w:val="single" w:sz="6" w:space="0" w:color="000000"/>
            </w:tcBorders>
            <w:shd w:val="clear" w:color="auto" w:fill="D2D2D2"/>
          </w:tcPr>
          <w:p>
            <w:pPr/>
          </w:p>
        </w:tc>
        <w:tc>
          <w:tcPr>
            <w:tcW w:w="1347" w:type="dxa"/>
            <w:vMerge/>
            <w:tcBorders>
              <w:left w:val="single" w:sz="6" w:space="0" w:color="000000"/>
              <w:bottom w:val="nil" w:sz="6" w:space="0" w:color="auto"/>
              <w:right w:val="single" w:sz="12" w:space="0" w:color="000000"/>
            </w:tcBorders>
            <w:shd w:val="clear" w:color="auto" w:fill="D2D2D2"/>
          </w:tcPr>
          <w:p>
            <w:pPr/>
          </w:p>
        </w:tc>
      </w:tr>
      <w:tr>
        <w:trPr>
          <w:trHeight w:val="155"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bottom w:val="nil" w:sz="6" w:space="0" w:color="auto"/>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41"/>
              <w:ind w:left="58" w:right="59"/>
              <w:jc w:val="left"/>
              <w:rPr>
                <w:rFonts w:ascii="宋体" w:hAnsi="宋体" w:cs="宋体" w:eastAsia="宋体" w:hint="default"/>
                <w:sz w:val="15"/>
                <w:szCs w:val="15"/>
              </w:rPr>
            </w:pPr>
            <w:r>
              <w:rPr>
                <w:rFonts w:ascii="宋体" w:hAnsi="宋体" w:cs="宋体" w:eastAsia="宋体" w:hint="default"/>
                <w:sz w:val="15"/>
                <w:szCs w:val="15"/>
              </w:rPr>
              <w:t>其 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346" w:type="dxa"/>
            <w:vMerge w:val="restart"/>
            <w:tcBorders>
              <w:top w:val="nil" w:sz="6" w:space="0" w:color="auto"/>
              <w:left w:val="single" w:sz="6" w:space="0" w:color="000000"/>
              <w:right w:val="single" w:sz="6" w:space="0" w:color="000000"/>
            </w:tcBorders>
            <w:shd w:val="clear" w:color="auto" w:fill="D2D2D2"/>
          </w:tcPr>
          <w:p>
            <w:pPr/>
          </w:p>
        </w:tc>
        <w:tc>
          <w:tcPr>
            <w:tcW w:w="1347" w:type="dxa"/>
            <w:vMerge w:val="restart"/>
            <w:tcBorders>
              <w:top w:val="nil" w:sz="6" w:space="0" w:color="auto"/>
              <w:left w:val="single" w:sz="6" w:space="0" w:color="000000"/>
              <w:right w:val="single" w:sz="12" w:space="0" w:color="000000"/>
            </w:tcBorders>
            <w:shd w:val="clear" w:color="auto" w:fill="D2D2D2"/>
          </w:tcPr>
          <w:p>
            <w:pPr/>
          </w:p>
        </w:tc>
      </w:tr>
      <w:tr>
        <w:trPr>
          <w:trHeight w:val="156" w:hRule="exact"/>
        </w:trPr>
        <w:tc>
          <w:tcPr>
            <w:tcW w:w="551" w:type="dxa"/>
            <w:vMerge/>
            <w:tcBorders>
              <w:left w:val="single" w:sz="12" w:space="0" w:color="000000"/>
              <w:right w:val="single" w:sz="6" w:space="0" w:color="000000"/>
            </w:tcBorders>
            <w:shd w:val="clear" w:color="auto" w:fill="D2D2D2"/>
          </w:tcPr>
          <w:p>
            <w:pPr/>
          </w:p>
        </w:tc>
        <w:tc>
          <w:tcPr>
            <w:tcW w:w="1146" w:type="dxa"/>
            <w:vMerge w:val="restart"/>
            <w:tcBorders>
              <w:top w:val="nil" w:sz="6" w:space="0" w:color="auto"/>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56"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64"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63" w:hRule="exact"/>
        </w:trPr>
        <w:tc>
          <w:tcPr>
            <w:tcW w:w="551" w:type="dxa"/>
            <w:vMerge/>
            <w:tcBorders>
              <w:left w:val="single" w:sz="12" w:space="0" w:color="000000"/>
              <w:bottom w:val="single" w:sz="6" w:space="0" w:color="000000"/>
              <w:right w:val="single" w:sz="6" w:space="0" w:color="000000"/>
            </w:tcBorders>
            <w:shd w:val="clear" w:color="auto" w:fill="D2D2D2"/>
          </w:tcPr>
          <w:p>
            <w:pPr/>
          </w:p>
        </w:tc>
        <w:tc>
          <w:tcPr>
            <w:tcW w:w="1146" w:type="dxa"/>
            <w:vMerge/>
            <w:tcBorders>
              <w:left w:val="single" w:sz="6" w:space="0" w:color="000000"/>
              <w:bottom w:val="single" w:sz="6" w:space="0" w:color="000000"/>
              <w:right w:val="single" w:sz="6" w:space="0" w:color="000000"/>
            </w:tcBorders>
            <w:shd w:val="clear" w:color="auto" w:fill="D2D2D2"/>
          </w:tcPr>
          <w:p>
            <w:pPr/>
          </w:p>
        </w:tc>
        <w:tc>
          <w:tcPr>
            <w:tcW w:w="282"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346" w:type="dxa"/>
            <w:vMerge/>
            <w:tcBorders>
              <w:left w:val="single" w:sz="6" w:space="0" w:color="000000"/>
              <w:bottom w:val="single" w:sz="6" w:space="0" w:color="000000"/>
              <w:right w:val="single" w:sz="6" w:space="0" w:color="000000"/>
            </w:tcBorders>
            <w:shd w:val="clear" w:color="auto" w:fill="D2D2D2"/>
          </w:tcPr>
          <w:p>
            <w:pPr/>
          </w:p>
        </w:tc>
        <w:tc>
          <w:tcPr>
            <w:tcW w:w="1347" w:type="dxa"/>
            <w:vMerge/>
            <w:tcBorders>
              <w:left w:val="single" w:sz="6" w:space="0" w:color="000000"/>
              <w:bottom w:val="single" w:sz="6" w:space="0" w:color="000000"/>
              <w:right w:val="single" w:sz="12" w:space="0" w:color="000000"/>
            </w:tcBorders>
            <w:shd w:val="clear" w:color="auto" w:fill="D2D2D2"/>
          </w:tcPr>
          <w:p>
            <w:pPr/>
          </w:p>
        </w:tc>
      </w:tr>
      <w:tr>
        <w:trPr>
          <w:trHeight w:val="950"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1"/>
              <w:jc w:val="both"/>
              <w:rPr>
                <w:rFonts w:ascii="宋体" w:hAnsi="宋体" w:cs="宋体" w:eastAsia="宋体" w:hint="default"/>
                <w:sz w:val="15"/>
                <w:szCs w:val="15"/>
              </w:rPr>
            </w:pPr>
            <w:r>
              <w:rPr>
                <w:rFonts w:ascii="宋体" w:hAnsi="宋体" w:cs="宋体" w:eastAsia="宋体" w:hint="default"/>
                <w:sz w:val="15"/>
                <w:szCs w:val="15"/>
              </w:rPr>
              <w:t>一、上 年期末 余额</w:t>
            </w:r>
          </w:p>
        </w:tc>
        <w:tc>
          <w:tcPr>
            <w:tcW w:w="11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9" w:right="0"/>
              <w:jc w:val="left"/>
              <w:rPr>
                <w:rFonts w:ascii="宋体" w:hAnsi="宋体" w:cs="宋体" w:eastAsia="宋体" w:hint="default"/>
                <w:sz w:val="15"/>
                <w:szCs w:val="15"/>
              </w:rPr>
            </w:pPr>
            <w:r>
              <w:rPr>
                <w:rFonts w:ascii="宋体"/>
                <w:sz w:val="15"/>
              </w:rPr>
              <w:t>161,221,848.00</w:t>
            </w: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90" w:right="0"/>
              <w:jc w:val="left"/>
              <w:rPr>
                <w:rFonts w:ascii="宋体" w:hAnsi="宋体" w:cs="宋体" w:eastAsia="宋体" w:hint="default"/>
                <w:sz w:val="15"/>
                <w:szCs w:val="15"/>
              </w:rPr>
            </w:pPr>
            <w:r>
              <w:rPr>
                <w:rFonts w:ascii="宋体"/>
                <w:sz w:val="15"/>
              </w:rPr>
              <w:t>926,851,785.61</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3" w:right="0"/>
              <w:jc w:val="left"/>
              <w:rPr>
                <w:rFonts w:ascii="宋体" w:hAnsi="宋体" w:cs="宋体" w:eastAsia="宋体" w:hint="default"/>
                <w:sz w:val="15"/>
                <w:szCs w:val="15"/>
              </w:rPr>
            </w:pPr>
            <w:r>
              <w:rPr>
                <w:rFonts w:ascii="宋体"/>
                <w:sz w:val="15"/>
              </w:rPr>
              <w:t>20,423,426.70</w:t>
            </w: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5"/>
                <w:szCs w:val="15"/>
              </w:rPr>
            </w:pPr>
            <w:r>
              <w:rPr>
                <w:rFonts w:ascii="宋体"/>
                <w:sz w:val="15"/>
              </w:rPr>
              <w:t>220,734,558.59</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37" w:right="0"/>
              <w:jc w:val="left"/>
              <w:rPr>
                <w:rFonts w:ascii="宋体" w:hAnsi="宋体" w:cs="宋体" w:eastAsia="宋体" w:hint="default"/>
                <w:sz w:val="15"/>
                <w:szCs w:val="15"/>
              </w:rPr>
            </w:pPr>
            <w:r>
              <w:rPr>
                <w:rFonts w:ascii="宋体"/>
                <w:sz w:val="15"/>
              </w:rPr>
              <w:t>88,929,973.23</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5"/>
                <w:szCs w:val="15"/>
              </w:rPr>
            </w:pPr>
            <w:r>
              <w:rPr>
                <w:rFonts w:ascii="宋体"/>
                <w:sz w:val="15"/>
              </w:rPr>
              <w:t>1,418,161,592.13</w:t>
            </w:r>
          </w:p>
        </w:tc>
      </w:tr>
      <w:tr>
        <w:trPr>
          <w:trHeight w:val="952"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1" w:firstLine="150"/>
              <w:jc w:val="both"/>
              <w:rPr>
                <w:rFonts w:ascii="宋体" w:hAnsi="宋体" w:cs="宋体" w:eastAsia="宋体" w:hint="default"/>
                <w:sz w:val="15"/>
                <w:szCs w:val="15"/>
              </w:rPr>
            </w:pPr>
            <w:r>
              <w:rPr>
                <w:rFonts w:ascii="宋体" w:hAnsi="宋体" w:cs="宋体" w:eastAsia="宋体" w:hint="default"/>
                <w:sz w:val="15"/>
                <w:szCs w:val="15"/>
              </w:rPr>
              <w:t>加： 会计政 策变更</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646" w:hRule="exact"/>
        </w:trPr>
        <w:tc>
          <w:tcPr>
            <w:tcW w:w="5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33"/>
              <w:ind w:left="6" w:right="71"/>
              <w:jc w:val="left"/>
              <w:rPr>
                <w:rFonts w:ascii="宋体" w:hAnsi="宋体" w:cs="宋体" w:eastAsia="宋体" w:hint="default"/>
                <w:sz w:val="15"/>
                <w:szCs w:val="15"/>
              </w:rPr>
            </w:pPr>
            <w:r>
              <w:rPr>
                <w:rFonts w:ascii="宋体" w:hAnsi="宋体" w:cs="宋体" w:eastAsia="宋体" w:hint="default"/>
                <w:sz w:val="15"/>
                <w:szCs w:val="15"/>
              </w:rPr>
              <w:t>前期差 错更正</w:t>
            </w:r>
          </w:p>
        </w:tc>
        <w:tc>
          <w:tcPr>
            <w:tcW w:w="1146" w:type="dxa"/>
            <w:tcBorders>
              <w:top w:val="single" w:sz="6" w:space="0" w:color="000000"/>
              <w:left w:val="single" w:sz="14" w:space="0" w:color="D2D2D2"/>
              <w:bottom w:val="single" w:sz="12" w:space="0" w:color="000000"/>
              <w:right w:val="single" w:sz="6" w:space="0" w:color="000000"/>
            </w:tcBorders>
          </w:tcPr>
          <w:p>
            <w:pPr/>
          </w:p>
        </w:tc>
        <w:tc>
          <w:tcPr>
            <w:tcW w:w="282"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346" w:type="dxa"/>
            <w:tcBorders>
              <w:top w:val="single" w:sz="6" w:space="0" w:color="000000"/>
              <w:left w:val="single" w:sz="6" w:space="0" w:color="000000"/>
              <w:bottom w:val="single" w:sz="12" w:space="0" w:color="000000"/>
              <w:right w:val="single" w:sz="6" w:space="0" w:color="000000"/>
            </w:tcBorders>
          </w:tcPr>
          <w:p>
            <w:pPr/>
          </w:p>
        </w:tc>
        <w:tc>
          <w:tcPr>
            <w:tcW w:w="1347"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343" w:type="dxa"/>
        <w:tblLayout w:type="fixed"/>
        <w:tblCellMar>
          <w:top w:w="0" w:type="dxa"/>
          <w:left w:w="0" w:type="dxa"/>
          <w:bottom w:w="0" w:type="dxa"/>
          <w:right w:w="0" w:type="dxa"/>
        </w:tblCellMar>
        <w:tblLook w:val="01E0"/>
      </w:tblPr>
      <w:tblGrid>
        <w:gridCol w:w="551"/>
        <w:gridCol w:w="1146"/>
        <w:gridCol w:w="282"/>
        <w:gridCol w:w="284"/>
        <w:gridCol w:w="283"/>
        <w:gridCol w:w="1276"/>
        <w:gridCol w:w="1134"/>
        <w:gridCol w:w="425"/>
        <w:gridCol w:w="426"/>
        <w:gridCol w:w="1134"/>
        <w:gridCol w:w="426"/>
        <w:gridCol w:w="1134"/>
        <w:gridCol w:w="1346"/>
        <w:gridCol w:w="1347"/>
      </w:tblGrid>
      <w:tr>
        <w:trPr>
          <w:trHeight w:val="335" w:hRule="exact"/>
        </w:trPr>
        <w:tc>
          <w:tcPr>
            <w:tcW w:w="551" w:type="dxa"/>
            <w:vMerge w:val="restart"/>
            <w:tcBorders>
              <w:top w:val="single" w:sz="12" w:space="0" w:color="000000"/>
              <w:left w:val="single" w:sz="12" w:space="0" w:color="000000"/>
              <w:right w:val="single" w:sz="6" w:space="0" w:color="000000"/>
            </w:tcBorders>
            <w:shd w:val="clear" w:color="auto" w:fill="D2D2D2"/>
          </w:tcPr>
          <w:p>
            <w:pPr/>
          </w:p>
        </w:tc>
        <w:tc>
          <w:tcPr>
            <w:tcW w:w="10645"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8"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6" w:hRule="exact"/>
        </w:trPr>
        <w:tc>
          <w:tcPr>
            <w:tcW w:w="551" w:type="dxa"/>
            <w:vMerge/>
            <w:tcBorders>
              <w:left w:val="single" w:sz="12" w:space="0" w:color="000000"/>
              <w:right w:val="single" w:sz="6" w:space="0" w:color="000000"/>
            </w:tcBorders>
            <w:shd w:val="clear" w:color="auto" w:fill="D2D2D2"/>
          </w:tcPr>
          <w:p>
            <w:pPr/>
          </w:p>
        </w:tc>
        <w:tc>
          <w:tcPr>
            <w:tcW w:w="7951"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46" w:type="dxa"/>
            <w:vMerge w:val="restart"/>
            <w:tcBorders>
              <w:top w:val="single" w:sz="6" w:space="0" w:color="000000"/>
              <w:left w:val="single" w:sz="6" w:space="0" w:color="000000"/>
              <w:right w:val="single" w:sz="6" w:space="0" w:color="000000"/>
            </w:tcBorders>
            <w:shd w:val="clear" w:color="auto" w:fill="D2D2D2"/>
          </w:tcPr>
          <w:p>
            <w:pPr/>
          </w:p>
        </w:tc>
        <w:tc>
          <w:tcPr>
            <w:tcW w:w="1347" w:type="dxa"/>
            <w:vMerge w:val="restart"/>
            <w:tcBorders>
              <w:top w:val="single" w:sz="6" w:space="0" w:color="000000"/>
              <w:left w:val="single" w:sz="6" w:space="0" w:color="000000"/>
              <w:right w:val="single" w:sz="12" w:space="0" w:color="000000"/>
            </w:tcBorders>
            <w:shd w:val="clear" w:color="auto" w:fill="D2D2D2"/>
          </w:tcPr>
          <w:p>
            <w:pPr/>
          </w:p>
        </w:tc>
      </w:tr>
      <w:tr>
        <w:trPr>
          <w:trHeight w:val="320" w:hRule="exact"/>
        </w:trPr>
        <w:tc>
          <w:tcPr>
            <w:tcW w:w="551" w:type="dxa"/>
            <w:vMerge/>
            <w:tcBorders>
              <w:left w:val="single" w:sz="12" w:space="0" w:color="000000"/>
              <w:bottom w:val="nil" w:sz="6" w:space="0" w:color="auto"/>
              <w:right w:val="single" w:sz="6" w:space="0" w:color="000000"/>
            </w:tcBorders>
            <w:shd w:val="clear" w:color="auto" w:fill="D2D2D2"/>
          </w:tcPr>
          <w:p>
            <w:pPr/>
          </w:p>
        </w:tc>
        <w:tc>
          <w:tcPr>
            <w:tcW w:w="1146" w:type="dxa"/>
            <w:vMerge w:val="restart"/>
            <w:tcBorders>
              <w:top w:val="single" w:sz="6" w:space="0" w:color="000000"/>
              <w:left w:val="single" w:sz="6" w:space="0" w:color="000000"/>
              <w:right w:val="single" w:sz="6" w:space="0" w:color="000000"/>
            </w:tcBorders>
            <w:shd w:val="clear" w:color="auto" w:fill="D2D2D2"/>
          </w:tcPr>
          <w:p>
            <w:pPr/>
          </w:p>
        </w:tc>
        <w:tc>
          <w:tcPr>
            <w:tcW w:w="85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342" w:right="41" w:hanging="300"/>
              <w:jc w:val="left"/>
              <w:rPr>
                <w:rFonts w:ascii="宋体" w:hAnsi="宋体" w:cs="宋体" w:eastAsia="宋体" w:hint="default"/>
                <w:sz w:val="15"/>
                <w:szCs w:val="15"/>
              </w:rPr>
            </w:pPr>
            <w:r>
              <w:rPr>
                <w:rFonts w:ascii="宋体" w:hAnsi="宋体" w:cs="宋体" w:eastAsia="宋体" w:hint="default"/>
                <w:sz w:val="15"/>
                <w:szCs w:val="15"/>
              </w:rPr>
              <w:t>其他权益工 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56" w:hRule="exact"/>
        </w:trPr>
        <w:tc>
          <w:tcPr>
            <w:tcW w:w="55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6"/>
              <w:ind w:left="11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146" w:type="dxa"/>
            <w:vMerge/>
            <w:tcBorders>
              <w:left w:val="single" w:sz="6" w:space="0" w:color="000000"/>
              <w:right w:val="single" w:sz="6" w:space="0" w:color="000000"/>
            </w:tcBorders>
            <w:shd w:val="clear" w:color="auto" w:fill="D2D2D2"/>
          </w:tcPr>
          <w:p>
            <w:pPr/>
          </w:p>
        </w:tc>
        <w:tc>
          <w:tcPr>
            <w:tcW w:w="850" w:type="dxa"/>
            <w:gridSpan w:val="3"/>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3"/>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4"/>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bottom w:val="nil" w:sz="6" w:space="0" w:color="auto"/>
              <w:right w:val="single" w:sz="6" w:space="0" w:color="000000"/>
            </w:tcBorders>
            <w:shd w:val="clear" w:color="auto" w:fill="D2D2D2"/>
          </w:tcPr>
          <w:p>
            <w:pPr/>
          </w:p>
        </w:tc>
        <w:tc>
          <w:tcPr>
            <w:tcW w:w="1347"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551" w:type="dxa"/>
            <w:vMerge/>
            <w:tcBorders>
              <w:left w:val="single" w:sz="12" w:space="0" w:color="000000"/>
              <w:bottom w:val="nil" w:sz="6" w:space="0" w:color="auto"/>
              <w:right w:val="single" w:sz="6" w:space="0" w:color="000000"/>
            </w:tcBorders>
            <w:shd w:val="clear" w:color="auto" w:fill="D2D2D2"/>
          </w:tcPr>
          <w:p>
            <w:pPr/>
          </w:p>
        </w:tc>
        <w:tc>
          <w:tcPr>
            <w:tcW w:w="1146" w:type="dxa"/>
            <w:vMerge/>
            <w:tcBorders>
              <w:left w:val="single" w:sz="6" w:space="0" w:color="000000"/>
              <w:bottom w:val="nil" w:sz="6" w:space="0" w:color="auto"/>
              <w:right w:val="single" w:sz="6" w:space="0" w:color="000000"/>
            </w:tcBorders>
            <w:shd w:val="clear" w:color="auto" w:fill="D2D2D2"/>
          </w:tcPr>
          <w:p>
            <w:pPr/>
          </w:p>
        </w:tc>
        <w:tc>
          <w:tcPr>
            <w:tcW w:w="850"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3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0"/>
              <w:ind w:left="21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4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0"/>
              <w:ind w:left="14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6" w:hRule="exact"/>
        </w:trPr>
        <w:tc>
          <w:tcPr>
            <w:tcW w:w="551" w:type="dxa"/>
            <w:vMerge w:val="restart"/>
            <w:tcBorders>
              <w:top w:val="nil" w:sz="6" w:space="0" w:color="auto"/>
              <w:left w:val="single" w:sz="12" w:space="0" w:color="000000"/>
              <w:right w:val="single" w:sz="6" w:space="0" w:color="000000"/>
            </w:tcBorders>
            <w:shd w:val="clear" w:color="auto" w:fill="D2D2D2"/>
          </w:tcPr>
          <w:p>
            <w:pPr/>
          </w:p>
        </w:tc>
        <w:tc>
          <w:tcPr>
            <w:tcW w:w="11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8"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2"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6"/>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60"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46" w:type="dxa"/>
            <w:vMerge/>
            <w:tcBorders>
              <w:left w:val="single" w:sz="6" w:space="0" w:color="000000"/>
              <w:bottom w:val="nil" w:sz="6" w:space="0" w:color="auto"/>
              <w:right w:val="single" w:sz="6" w:space="0" w:color="000000"/>
            </w:tcBorders>
            <w:shd w:val="clear" w:color="auto" w:fill="D2D2D2"/>
          </w:tcPr>
          <w:p>
            <w:pPr/>
          </w:p>
        </w:tc>
        <w:tc>
          <w:tcPr>
            <w:tcW w:w="1347"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bottom w:val="nil" w:sz="6" w:space="0" w:color="auto"/>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41"/>
              <w:ind w:left="58" w:right="59"/>
              <w:jc w:val="left"/>
              <w:rPr>
                <w:rFonts w:ascii="宋体" w:hAnsi="宋体" w:cs="宋体" w:eastAsia="宋体" w:hint="default"/>
                <w:sz w:val="15"/>
                <w:szCs w:val="15"/>
              </w:rPr>
            </w:pPr>
            <w:r>
              <w:rPr>
                <w:rFonts w:ascii="宋体" w:hAnsi="宋体" w:cs="宋体" w:eastAsia="宋体" w:hint="default"/>
                <w:sz w:val="15"/>
                <w:szCs w:val="15"/>
              </w:rPr>
              <w:t>其 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346" w:type="dxa"/>
            <w:vMerge w:val="restart"/>
            <w:tcBorders>
              <w:top w:val="nil" w:sz="6" w:space="0" w:color="auto"/>
              <w:left w:val="single" w:sz="6" w:space="0" w:color="000000"/>
              <w:right w:val="single" w:sz="6" w:space="0" w:color="000000"/>
            </w:tcBorders>
            <w:shd w:val="clear" w:color="auto" w:fill="D2D2D2"/>
          </w:tcPr>
          <w:p>
            <w:pPr/>
          </w:p>
        </w:tc>
        <w:tc>
          <w:tcPr>
            <w:tcW w:w="1347" w:type="dxa"/>
            <w:vMerge w:val="restart"/>
            <w:tcBorders>
              <w:top w:val="nil" w:sz="6" w:space="0" w:color="auto"/>
              <w:left w:val="single" w:sz="6" w:space="0" w:color="000000"/>
              <w:right w:val="single" w:sz="12" w:space="0" w:color="000000"/>
            </w:tcBorders>
            <w:shd w:val="clear" w:color="auto" w:fill="D2D2D2"/>
          </w:tcPr>
          <w:p>
            <w:pPr/>
          </w:p>
        </w:tc>
      </w:tr>
      <w:tr>
        <w:trPr>
          <w:trHeight w:val="156" w:hRule="exact"/>
        </w:trPr>
        <w:tc>
          <w:tcPr>
            <w:tcW w:w="551" w:type="dxa"/>
            <w:vMerge/>
            <w:tcBorders>
              <w:left w:val="single" w:sz="12" w:space="0" w:color="000000"/>
              <w:right w:val="single" w:sz="6" w:space="0" w:color="000000"/>
            </w:tcBorders>
            <w:shd w:val="clear" w:color="auto" w:fill="D2D2D2"/>
          </w:tcPr>
          <w:p>
            <w:pPr/>
          </w:p>
        </w:tc>
        <w:tc>
          <w:tcPr>
            <w:tcW w:w="1146" w:type="dxa"/>
            <w:vMerge w:val="restart"/>
            <w:tcBorders>
              <w:top w:val="nil" w:sz="6" w:space="0" w:color="auto"/>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56"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63"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63" w:hRule="exact"/>
        </w:trPr>
        <w:tc>
          <w:tcPr>
            <w:tcW w:w="551" w:type="dxa"/>
            <w:vMerge/>
            <w:tcBorders>
              <w:left w:val="single" w:sz="12" w:space="0" w:color="000000"/>
              <w:bottom w:val="single" w:sz="6" w:space="0" w:color="000000"/>
              <w:right w:val="single" w:sz="6" w:space="0" w:color="000000"/>
            </w:tcBorders>
            <w:shd w:val="clear" w:color="auto" w:fill="D2D2D2"/>
          </w:tcPr>
          <w:p>
            <w:pPr/>
          </w:p>
        </w:tc>
        <w:tc>
          <w:tcPr>
            <w:tcW w:w="1146" w:type="dxa"/>
            <w:vMerge/>
            <w:tcBorders>
              <w:left w:val="single" w:sz="6" w:space="0" w:color="000000"/>
              <w:bottom w:val="single" w:sz="6" w:space="0" w:color="000000"/>
              <w:right w:val="single" w:sz="6" w:space="0" w:color="000000"/>
            </w:tcBorders>
            <w:shd w:val="clear" w:color="auto" w:fill="D2D2D2"/>
          </w:tcPr>
          <w:p>
            <w:pPr/>
          </w:p>
        </w:tc>
        <w:tc>
          <w:tcPr>
            <w:tcW w:w="282"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346" w:type="dxa"/>
            <w:vMerge/>
            <w:tcBorders>
              <w:left w:val="single" w:sz="6" w:space="0" w:color="000000"/>
              <w:bottom w:val="single" w:sz="6" w:space="0" w:color="000000"/>
              <w:right w:val="single" w:sz="6" w:space="0" w:color="000000"/>
            </w:tcBorders>
            <w:shd w:val="clear" w:color="auto" w:fill="D2D2D2"/>
          </w:tcPr>
          <w:p>
            <w:pPr/>
          </w:p>
        </w:tc>
        <w:tc>
          <w:tcPr>
            <w:tcW w:w="1347" w:type="dxa"/>
            <w:vMerge/>
            <w:tcBorders>
              <w:left w:val="single" w:sz="6" w:space="0" w:color="000000"/>
              <w:bottom w:val="single" w:sz="6" w:space="0" w:color="000000"/>
              <w:right w:val="single" w:sz="12" w:space="0" w:color="000000"/>
            </w:tcBorders>
            <w:shd w:val="clear" w:color="auto" w:fill="D2D2D2"/>
          </w:tcPr>
          <w:p>
            <w:pPr/>
          </w:p>
        </w:tc>
      </w:tr>
      <w:tr>
        <w:trPr>
          <w:trHeight w:val="952"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1"/>
              <w:jc w:val="both"/>
              <w:rPr>
                <w:rFonts w:ascii="宋体" w:hAnsi="宋体" w:cs="宋体" w:eastAsia="宋体" w:hint="default"/>
                <w:sz w:val="15"/>
                <w:szCs w:val="15"/>
              </w:rPr>
            </w:pPr>
            <w:r>
              <w:rPr>
                <w:rFonts w:ascii="宋体" w:hAnsi="宋体" w:cs="宋体" w:eastAsia="宋体" w:hint="default"/>
                <w:sz w:val="15"/>
                <w:szCs w:val="15"/>
              </w:rPr>
              <w:t>同一控 制下企 业合并</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952"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1"/>
              <w:jc w:val="both"/>
              <w:rPr>
                <w:rFonts w:ascii="宋体" w:hAnsi="宋体" w:cs="宋体" w:eastAsia="宋体" w:hint="default"/>
                <w:sz w:val="15"/>
                <w:szCs w:val="15"/>
              </w:rPr>
            </w:pPr>
            <w:r>
              <w:rPr>
                <w:rFonts w:ascii="宋体" w:hAnsi="宋体" w:cs="宋体" w:eastAsia="宋体" w:hint="default"/>
                <w:sz w:val="15"/>
                <w:szCs w:val="15"/>
              </w:rPr>
              <w:t>二、本 年期初 余额</w:t>
            </w:r>
          </w:p>
        </w:tc>
        <w:tc>
          <w:tcPr>
            <w:tcW w:w="11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161,221,848.00</w:t>
            </w: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926,851,785.61</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20,423,426.70</w:t>
            </w: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220,734,558.59</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88,929,973.23</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宋体" w:hAnsi="宋体" w:cs="宋体" w:eastAsia="宋体" w:hint="default"/>
                <w:sz w:val="15"/>
                <w:szCs w:val="15"/>
              </w:rPr>
            </w:pPr>
            <w:r>
              <w:rPr>
                <w:rFonts w:ascii="宋体"/>
                <w:spacing w:val="-1"/>
                <w:sz w:val="15"/>
              </w:rPr>
              <w:t>1,418,161,592.13</w:t>
            </w:r>
          </w:p>
        </w:tc>
      </w:tr>
      <w:tr>
        <w:trPr>
          <w:trHeight w:val="2511"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1"/>
              <w:jc w:val="left"/>
              <w:rPr>
                <w:rFonts w:ascii="宋体" w:hAnsi="宋体" w:cs="宋体" w:eastAsia="宋体" w:hint="default"/>
                <w:sz w:val="15"/>
                <w:szCs w:val="15"/>
              </w:rPr>
            </w:pPr>
            <w:r>
              <w:rPr>
                <w:rFonts w:ascii="宋体" w:hAnsi="宋体" w:cs="宋体" w:eastAsia="宋体" w:hint="default"/>
                <w:sz w:val="15"/>
                <w:szCs w:val="15"/>
              </w:rPr>
              <w:t>三、本 期增减 变动金 额（减 少以 “－” 号填 列）</w:t>
            </w:r>
          </w:p>
        </w:tc>
        <w:tc>
          <w:tcPr>
            <w:tcW w:w="11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4,900,000.00</w:t>
            </w: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110,080,560.59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95,452,000.00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857,612.65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59,704,664.22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14,496,443.58</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94,587,281.04</w:t>
            </w:r>
          </w:p>
        </w:tc>
      </w:tr>
      <w:tr>
        <w:trPr>
          <w:trHeight w:val="952"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1"/>
              <w:jc w:val="both"/>
              <w:rPr>
                <w:rFonts w:ascii="宋体" w:hAnsi="宋体" w:cs="宋体" w:eastAsia="宋体" w:hint="default"/>
                <w:sz w:val="15"/>
                <w:szCs w:val="15"/>
              </w:rPr>
            </w:pPr>
            <w:r>
              <w:rPr>
                <w:rFonts w:ascii="宋体" w:hAnsi="宋体" w:cs="宋体" w:eastAsia="宋体" w:hint="default"/>
                <w:sz w:val="15"/>
                <w:szCs w:val="15"/>
              </w:rPr>
              <w:t>（一） 综合收 益总额</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63,786,713.83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16,836,138.96</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80,622,852.79</w:t>
            </w:r>
          </w:p>
        </w:tc>
      </w:tr>
      <w:tr>
        <w:trPr>
          <w:trHeight w:val="1574"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1"/>
              <w:jc w:val="both"/>
              <w:rPr>
                <w:rFonts w:ascii="宋体" w:hAnsi="宋体" w:cs="宋体" w:eastAsia="宋体" w:hint="default"/>
                <w:sz w:val="15"/>
                <w:szCs w:val="15"/>
              </w:rPr>
            </w:pPr>
            <w:r>
              <w:rPr>
                <w:rFonts w:ascii="宋体" w:hAnsi="宋体" w:cs="宋体" w:eastAsia="宋体" w:hint="default"/>
                <w:sz w:val="15"/>
                <w:szCs w:val="15"/>
              </w:rPr>
              <w:t>（二） 所有者 投入和 减少资 本</w:t>
            </w:r>
          </w:p>
        </w:tc>
        <w:tc>
          <w:tcPr>
            <w:tcW w:w="11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4,900,000.00</w:t>
            </w: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110,080,560.59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95,452,000.00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2,105,099.62</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21,633,660.21</w:t>
            </w:r>
          </w:p>
        </w:tc>
      </w:tr>
      <w:tr>
        <w:trPr>
          <w:trHeight w:val="952"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8"/>
              <w:jc w:val="left"/>
              <w:rPr>
                <w:rFonts w:ascii="宋体" w:hAnsi="宋体" w:cs="宋体" w:eastAsia="宋体" w:hint="default"/>
                <w:sz w:val="15"/>
                <w:szCs w:val="15"/>
              </w:rPr>
            </w:pPr>
            <w:r>
              <w:rPr>
                <w:rFonts w:ascii="宋体" w:hAnsi="宋体" w:cs="宋体" w:eastAsia="宋体" w:hint="default"/>
                <w:spacing w:val="-4"/>
                <w:sz w:val="15"/>
                <w:szCs w:val="15"/>
              </w:rPr>
              <w:t>1</w:t>
            </w:r>
            <w:r>
              <w:rPr>
                <w:rFonts w:ascii="宋体" w:hAnsi="宋体" w:cs="宋体" w:eastAsia="宋体" w:hint="default"/>
                <w:spacing w:val="-4"/>
                <w:sz w:val="15"/>
                <w:szCs w:val="15"/>
              </w:rPr>
              <w:t>．股东</w:t>
            </w:r>
            <w:r>
              <w:rPr>
                <w:rFonts w:ascii="宋体" w:hAnsi="宋体" w:cs="宋体" w:eastAsia="宋体" w:hint="default"/>
                <w:sz w:val="15"/>
                <w:szCs w:val="15"/>
              </w:rPr>
              <w:t> 投入的 普通股</w:t>
            </w:r>
          </w:p>
        </w:tc>
        <w:tc>
          <w:tcPr>
            <w:tcW w:w="114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4,900,000.00</w:t>
            </w: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100,378,906.96</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1,773,093.05</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宋体" w:hAnsi="宋体" w:cs="宋体" w:eastAsia="宋体" w:hint="default"/>
                <w:sz w:val="15"/>
                <w:szCs w:val="15"/>
              </w:rPr>
            </w:pPr>
            <w:r>
              <w:rPr>
                <w:rFonts w:ascii="宋体"/>
                <w:spacing w:val="-1"/>
                <w:sz w:val="15"/>
              </w:rPr>
              <w:t>107,052,000.01</w:t>
            </w:r>
          </w:p>
        </w:tc>
      </w:tr>
      <w:tr>
        <w:trPr>
          <w:trHeight w:val="1574"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8"/>
              <w:jc w:val="left"/>
              <w:rPr>
                <w:rFonts w:ascii="宋体" w:hAnsi="宋体" w:cs="宋体" w:eastAsia="宋体" w:hint="default"/>
                <w:sz w:val="15"/>
                <w:szCs w:val="15"/>
              </w:rPr>
            </w:pPr>
            <w:r>
              <w:rPr>
                <w:rFonts w:ascii="宋体" w:hAnsi="宋体" w:cs="宋体" w:eastAsia="宋体" w:hint="default"/>
                <w:spacing w:val="-4"/>
                <w:sz w:val="15"/>
                <w:szCs w:val="15"/>
              </w:rPr>
              <w:t>2</w:t>
            </w:r>
            <w:r>
              <w:rPr>
                <w:rFonts w:ascii="宋体" w:hAnsi="宋体" w:cs="宋体" w:eastAsia="宋体" w:hint="default"/>
                <w:spacing w:val="-4"/>
                <w:sz w:val="15"/>
                <w:szCs w:val="15"/>
              </w:rPr>
              <w:t>．其他</w:t>
            </w:r>
            <w:r>
              <w:rPr>
                <w:rFonts w:ascii="宋体" w:hAnsi="宋体" w:cs="宋体" w:eastAsia="宋体" w:hint="default"/>
                <w:sz w:val="15"/>
                <w:szCs w:val="15"/>
              </w:rPr>
              <w:t> 权益工 具持有 者投入 资本</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1584" w:hRule="exact"/>
        </w:trPr>
        <w:tc>
          <w:tcPr>
            <w:tcW w:w="5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35"/>
              <w:ind w:left="6" w:right="8"/>
              <w:jc w:val="left"/>
              <w:rPr>
                <w:rFonts w:ascii="宋体" w:hAnsi="宋体" w:cs="宋体" w:eastAsia="宋体" w:hint="default"/>
                <w:sz w:val="15"/>
                <w:szCs w:val="15"/>
              </w:rPr>
            </w:pPr>
            <w:r>
              <w:rPr>
                <w:rFonts w:ascii="宋体" w:hAnsi="宋体" w:cs="宋体" w:eastAsia="宋体" w:hint="default"/>
                <w:spacing w:val="-4"/>
                <w:sz w:val="15"/>
                <w:szCs w:val="15"/>
              </w:rPr>
              <w:t>3</w:t>
            </w:r>
            <w:r>
              <w:rPr>
                <w:rFonts w:ascii="宋体" w:hAnsi="宋体" w:cs="宋体" w:eastAsia="宋体" w:hint="default"/>
                <w:spacing w:val="-4"/>
                <w:sz w:val="15"/>
                <w:szCs w:val="15"/>
              </w:rPr>
              <w:t>．股份</w:t>
            </w:r>
            <w:r>
              <w:rPr>
                <w:rFonts w:ascii="宋体" w:hAnsi="宋体" w:cs="宋体" w:eastAsia="宋体" w:hint="default"/>
                <w:sz w:val="15"/>
                <w:szCs w:val="15"/>
              </w:rPr>
              <w:t> 支付计 入所有 者权益 的金额</w:t>
            </w:r>
          </w:p>
        </w:tc>
        <w:tc>
          <w:tcPr>
            <w:tcW w:w="1146" w:type="dxa"/>
            <w:tcBorders>
              <w:top w:val="single" w:sz="6" w:space="0" w:color="000000"/>
              <w:left w:val="single" w:sz="14" w:space="0" w:color="D2D2D2"/>
              <w:bottom w:val="single" w:sz="12" w:space="0" w:color="000000"/>
              <w:right w:val="single" w:sz="6" w:space="0" w:color="000000"/>
            </w:tcBorders>
          </w:tcPr>
          <w:p>
            <w:pPr/>
          </w:p>
        </w:tc>
        <w:tc>
          <w:tcPr>
            <w:tcW w:w="282"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9,701,653.63</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95,452,000.00</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332,006.57</w:t>
            </w:r>
          </w:p>
        </w:tc>
        <w:tc>
          <w:tcPr>
            <w:tcW w:w="13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-85,418,339.80</w:t>
            </w:r>
          </w:p>
        </w:tc>
      </w:tr>
    </w:tbl>
    <w:p>
      <w:pPr>
        <w:spacing w:after="0" w:line="240" w:lineRule="auto"/>
        <w:jc w:val="right"/>
        <w:rPr>
          <w:rFonts w:ascii="宋体" w:hAnsi="宋体" w:cs="宋体" w:eastAsia="宋体" w:hint="default"/>
          <w:sz w:val="15"/>
          <w:szCs w:val="15"/>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343" w:type="dxa"/>
        <w:tblLayout w:type="fixed"/>
        <w:tblCellMar>
          <w:top w:w="0" w:type="dxa"/>
          <w:left w:w="0" w:type="dxa"/>
          <w:bottom w:w="0" w:type="dxa"/>
          <w:right w:w="0" w:type="dxa"/>
        </w:tblCellMar>
        <w:tblLook w:val="01E0"/>
      </w:tblPr>
      <w:tblGrid>
        <w:gridCol w:w="551"/>
        <w:gridCol w:w="1146"/>
        <w:gridCol w:w="282"/>
        <w:gridCol w:w="284"/>
        <w:gridCol w:w="283"/>
        <w:gridCol w:w="1276"/>
        <w:gridCol w:w="1134"/>
        <w:gridCol w:w="425"/>
        <w:gridCol w:w="426"/>
        <w:gridCol w:w="1134"/>
        <w:gridCol w:w="426"/>
        <w:gridCol w:w="1134"/>
        <w:gridCol w:w="1346"/>
        <w:gridCol w:w="1347"/>
      </w:tblGrid>
      <w:tr>
        <w:trPr>
          <w:trHeight w:val="335" w:hRule="exact"/>
        </w:trPr>
        <w:tc>
          <w:tcPr>
            <w:tcW w:w="551" w:type="dxa"/>
            <w:vMerge w:val="restart"/>
            <w:tcBorders>
              <w:top w:val="single" w:sz="12" w:space="0" w:color="000000"/>
              <w:left w:val="single" w:sz="12" w:space="0" w:color="000000"/>
              <w:right w:val="single" w:sz="6" w:space="0" w:color="000000"/>
            </w:tcBorders>
            <w:shd w:val="clear" w:color="auto" w:fill="D2D2D2"/>
          </w:tcPr>
          <w:p>
            <w:pPr/>
          </w:p>
        </w:tc>
        <w:tc>
          <w:tcPr>
            <w:tcW w:w="10645"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8"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6" w:hRule="exact"/>
        </w:trPr>
        <w:tc>
          <w:tcPr>
            <w:tcW w:w="551" w:type="dxa"/>
            <w:vMerge/>
            <w:tcBorders>
              <w:left w:val="single" w:sz="12" w:space="0" w:color="000000"/>
              <w:right w:val="single" w:sz="6" w:space="0" w:color="000000"/>
            </w:tcBorders>
            <w:shd w:val="clear" w:color="auto" w:fill="D2D2D2"/>
          </w:tcPr>
          <w:p>
            <w:pPr/>
          </w:p>
        </w:tc>
        <w:tc>
          <w:tcPr>
            <w:tcW w:w="7951"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46" w:type="dxa"/>
            <w:vMerge w:val="restart"/>
            <w:tcBorders>
              <w:top w:val="single" w:sz="6" w:space="0" w:color="000000"/>
              <w:left w:val="single" w:sz="6" w:space="0" w:color="000000"/>
              <w:right w:val="single" w:sz="6" w:space="0" w:color="000000"/>
            </w:tcBorders>
            <w:shd w:val="clear" w:color="auto" w:fill="D2D2D2"/>
          </w:tcPr>
          <w:p>
            <w:pPr/>
          </w:p>
        </w:tc>
        <w:tc>
          <w:tcPr>
            <w:tcW w:w="1347" w:type="dxa"/>
            <w:vMerge w:val="restart"/>
            <w:tcBorders>
              <w:top w:val="single" w:sz="6" w:space="0" w:color="000000"/>
              <w:left w:val="single" w:sz="6" w:space="0" w:color="000000"/>
              <w:right w:val="single" w:sz="12" w:space="0" w:color="000000"/>
            </w:tcBorders>
            <w:shd w:val="clear" w:color="auto" w:fill="D2D2D2"/>
          </w:tcPr>
          <w:p>
            <w:pPr/>
          </w:p>
        </w:tc>
      </w:tr>
      <w:tr>
        <w:trPr>
          <w:trHeight w:val="320" w:hRule="exact"/>
        </w:trPr>
        <w:tc>
          <w:tcPr>
            <w:tcW w:w="551" w:type="dxa"/>
            <w:vMerge/>
            <w:tcBorders>
              <w:left w:val="single" w:sz="12" w:space="0" w:color="000000"/>
              <w:bottom w:val="nil" w:sz="6" w:space="0" w:color="auto"/>
              <w:right w:val="single" w:sz="6" w:space="0" w:color="000000"/>
            </w:tcBorders>
            <w:shd w:val="clear" w:color="auto" w:fill="D2D2D2"/>
          </w:tcPr>
          <w:p>
            <w:pPr/>
          </w:p>
        </w:tc>
        <w:tc>
          <w:tcPr>
            <w:tcW w:w="1146" w:type="dxa"/>
            <w:vMerge w:val="restart"/>
            <w:tcBorders>
              <w:top w:val="single" w:sz="6" w:space="0" w:color="000000"/>
              <w:left w:val="single" w:sz="6" w:space="0" w:color="000000"/>
              <w:right w:val="single" w:sz="6" w:space="0" w:color="000000"/>
            </w:tcBorders>
            <w:shd w:val="clear" w:color="auto" w:fill="D2D2D2"/>
          </w:tcPr>
          <w:p>
            <w:pPr/>
          </w:p>
        </w:tc>
        <w:tc>
          <w:tcPr>
            <w:tcW w:w="85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342" w:right="41" w:hanging="300"/>
              <w:jc w:val="left"/>
              <w:rPr>
                <w:rFonts w:ascii="宋体" w:hAnsi="宋体" w:cs="宋体" w:eastAsia="宋体" w:hint="default"/>
                <w:sz w:val="15"/>
                <w:szCs w:val="15"/>
              </w:rPr>
            </w:pPr>
            <w:r>
              <w:rPr>
                <w:rFonts w:ascii="宋体" w:hAnsi="宋体" w:cs="宋体" w:eastAsia="宋体" w:hint="default"/>
                <w:sz w:val="15"/>
                <w:szCs w:val="15"/>
              </w:rPr>
              <w:t>其他权益工 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56" w:hRule="exact"/>
        </w:trPr>
        <w:tc>
          <w:tcPr>
            <w:tcW w:w="55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6"/>
              <w:ind w:left="11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146" w:type="dxa"/>
            <w:vMerge/>
            <w:tcBorders>
              <w:left w:val="single" w:sz="6" w:space="0" w:color="000000"/>
              <w:right w:val="single" w:sz="6" w:space="0" w:color="000000"/>
            </w:tcBorders>
            <w:shd w:val="clear" w:color="auto" w:fill="D2D2D2"/>
          </w:tcPr>
          <w:p>
            <w:pPr/>
          </w:p>
        </w:tc>
        <w:tc>
          <w:tcPr>
            <w:tcW w:w="850" w:type="dxa"/>
            <w:gridSpan w:val="3"/>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3"/>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4"/>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bottom w:val="nil" w:sz="6" w:space="0" w:color="auto"/>
              <w:right w:val="single" w:sz="6" w:space="0" w:color="000000"/>
            </w:tcBorders>
            <w:shd w:val="clear" w:color="auto" w:fill="D2D2D2"/>
          </w:tcPr>
          <w:p>
            <w:pPr/>
          </w:p>
        </w:tc>
        <w:tc>
          <w:tcPr>
            <w:tcW w:w="1347"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551" w:type="dxa"/>
            <w:vMerge/>
            <w:tcBorders>
              <w:left w:val="single" w:sz="12" w:space="0" w:color="000000"/>
              <w:bottom w:val="nil" w:sz="6" w:space="0" w:color="auto"/>
              <w:right w:val="single" w:sz="6" w:space="0" w:color="000000"/>
            </w:tcBorders>
            <w:shd w:val="clear" w:color="auto" w:fill="D2D2D2"/>
          </w:tcPr>
          <w:p>
            <w:pPr/>
          </w:p>
        </w:tc>
        <w:tc>
          <w:tcPr>
            <w:tcW w:w="1146" w:type="dxa"/>
            <w:vMerge/>
            <w:tcBorders>
              <w:left w:val="single" w:sz="6" w:space="0" w:color="000000"/>
              <w:bottom w:val="nil" w:sz="6" w:space="0" w:color="auto"/>
              <w:right w:val="single" w:sz="6" w:space="0" w:color="000000"/>
            </w:tcBorders>
            <w:shd w:val="clear" w:color="auto" w:fill="D2D2D2"/>
          </w:tcPr>
          <w:p>
            <w:pPr/>
          </w:p>
        </w:tc>
        <w:tc>
          <w:tcPr>
            <w:tcW w:w="850"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3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0"/>
              <w:ind w:left="21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4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0"/>
              <w:ind w:left="14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6" w:hRule="exact"/>
        </w:trPr>
        <w:tc>
          <w:tcPr>
            <w:tcW w:w="551" w:type="dxa"/>
            <w:vMerge w:val="restart"/>
            <w:tcBorders>
              <w:top w:val="nil" w:sz="6" w:space="0" w:color="auto"/>
              <w:left w:val="single" w:sz="12" w:space="0" w:color="000000"/>
              <w:right w:val="single" w:sz="6" w:space="0" w:color="000000"/>
            </w:tcBorders>
            <w:shd w:val="clear" w:color="auto" w:fill="D2D2D2"/>
          </w:tcPr>
          <w:p>
            <w:pPr/>
          </w:p>
        </w:tc>
        <w:tc>
          <w:tcPr>
            <w:tcW w:w="11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8"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2"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6"/>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60"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46" w:type="dxa"/>
            <w:vMerge/>
            <w:tcBorders>
              <w:left w:val="single" w:sz="6" w:space="0" w:color="000000"/>
              <w:bottom w:val="nil" w:sz="6" w:space="0" w:color="auto"/>
              <w:right w:val="single" w:sz="6" w:space="0" w:color="000000"/>
            </w:tcBorders>
            <w:shd w:val="clear" w:color="auto" w:fill="D2D2D2"/>
          </w:tcPr>
          <w:p>
            <w:pPr/>
          </w:p>
        </w:tc>
        <w:tc>
          <w:tcPr>
            <w:tcW w:w="1347"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bottom w:val="nil" w:sz="6" w:space="0" w:color="auto"/>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41"/>
              <w:ind w:left="58" w:right="59"/>
              <w:jc w:val="left"/>
              <w:rPr>
                <w:rFonts w:ascii="宋体" w:hAnsi="宋体" w:cs="宋体" w:eastAsia="宋体" w:hint="default"/>
                <w:sz w:val="15"/>
                <w:szCs w:val="15"/>
              </w:rPr>
            </w:pPr>
            <w:r>
              <w:rPr>
                <w:rFonts w:ascii="宋体" w:hAnsi="宋体" w:cs="宋体" w:eastAsia="宋体" w:hint="default"/>
                <w:sz w:val="15"/>
                <w:szCs w:val="15"/>
              </w:rPr>
              <w:t>其 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346" w:type="dxa"/>
            <w:vMerge w:val="restart"/>
            <w:tcBorders>
              <w:top w:val="nil" w:sz="6" w:space="0" w:color="auto"/>
              <w:left w:val="single" w:sz="6" w:space="0" w:color="000000"/>
              <w:right w:val="single" w:sz="6" w:space="0" w:color="000000"/>
            </w:tcBorders>
            <w:shd w:val="clear" w:color="auto" w:fill="D2D2D2"/>
          </w:tcPr>
          <w:p>
            <w:pPr/>
          </w:p>
        </w:tc>
        <w:tc>
          <w:tcPr>
            <w:tcW w:w="1347" w:type="dxa"/>
            <w:vMerge w:val="restart"/>
            <w:tcBorders>
              <w:top w:val="nil" w:sz="6" w:space="0" w:color="auto"/>
              <w:left w:val="single" w:sz="6" w:space="0" w:color="000000"/>
              <w:right w:val="single" w:sz="12" w:space="0" w:color="000000"/>
            </w:tcBorders>
            <w:shd w:val="clear" w:color="auto" w:fill="D2D2D2"/>
          </w:tcPr>
          <w:p>
            <w:pPr/>
          </w:p>
        </w:tc>
      </w:tr>
      <w:tr>
        <w:trPr>
          <w:trHeight w:val="156" w:hRule="exact"/>
        </w:trPr>
        <w:tc>
          <w:tcPr>
            <w:tcW w:w="551" w:type="dxa"/>
            <w:vMerge/>
            <w:tcBorders>
              <w:left w:val="single" w:sz="12" w:space="0" w:color="000000"/>
              <w:right w:val="single" w:sz="6" w:space="0" w:color="000000"/>
            </w:tcBorders>
            <w:shd w:val="clear" w:color="auto" w:fill="D2D2D2"/>
          </w:tcPr>
          <w:p>
            <w:pPr/>
          </w:p>
        </w:tc>
        <w:tc>
          <w:tcPr>
            <w:tcW w:w="1146" w:type="dxa"/>
            <w:vMerge w:val="restart"/>
            <w:tcBorders>
              <w:top w:val="nil" w:sz="6" w:space="0" w:color="auto"/>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56"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63" w:hRule="exact"/>
        </w:trPr>
        <w:tc>
          <w:tcPr>
            <w:tcW w:w="551" w:type="dxa"/>
            <w:vMerge/>
            <w:tcBorders>
              <w:left w:val="single" w:sz="12" w:space="0" w:color="000000"/>
              <w:right w:val="single" w:sz="6" w:space="0" w:color="000000"/>
            </w:tcBorders>
            <w:shd w:val="clear" w:color="auto" w:fill="D2D2D2"/>
          </w:tcPr>
          <w:p>
            <w:pPr/>
          </w:p>
        </w:tc>
        <w:tc>
          <w:tcPr>
            <w:tcW w:w="1146" w:type="dxa"/>
            <w:vMerge/>
            <w:tcBorders>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63" w:hRule="exact"/>
        </w:trPr>
        <w:tc>
          <w:tcPr>
            <w:tcW w:w="551" w:type="dxa"/>
            <w:vMerge/>
            <w:tcBorders>
              <w:left w:val="single" w:sz="12" w:space="0" w:color="000000"/>
              <w:bottom w:val="single" w:sz="6" w:space="0" w:color="000000"/>
              <w:right w:val="single" w:sz="6" w:space="0" w:color="000000"/>
            </w:tcBorders>
            <w:shd w:val="clear" w:color="auto" w:fill="D2D2D2"/>
          </w:tcPr>
          <w:p>
            <w:pPr/>
          </w:p>
        </w:tc>
        <w:tc>
          <w:tcPr>
            <w:tcW w:w="1146" w:type="dxa"/>
            <w:vMerge/>
            <w:tcBorders>
              <w:left w:val="single" w:sz="6" w:space="0" w:color="000000"/>
              <w:bottom w:val="single" w:sz="6" w:space="0" w:color="000000"/>
              <w:right w:val="single" w:sz="6" w:space="0" w:color="000000"/>
            </w:tcBorders>
            <w:shd w:val="clear" w:color="auto" w:fill="D2D2D2"/>
          </w:tcPr>
          <w:p>
            <w:pPr/>
          </w:p>
        </w:tc>
        <w:tc>
          <w:tcPr>
            <w:tcW w:w="282"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346" w:type="dxa"/>
            <w:vMerge/>
            <w:tcBorders>
              <w:left w:val="single" w:sz="6" w:space="0" w:color="000000"/>
              <w:bottom w:val="single" w:sz="6" w:space="0" w:color="000000"/>
              <w:right w:val="single" w:sz="6" w:space="0" w:color="000000"/>
            </w:tcBorders>
            <w:shd w:val="clear" w:color="auto" w:fill="D2D2D2"/>
          </w:tcPr>
          <w:p>
            <w:pPr/>
          </w:p>
        </w:tc>
        <w:tc>
          <w:tcPr>
            <w:tcW w:w="1347" w:type="dxa"/>
            <w:vMerge/>
            <w:tcBorders>
              <w:left w:val="single" w:sz="6" w:space="0" w:color="000000"/>
              <w:bottom w:val="single" w:sz="6" w:space="0" w:color="000000"/>
              <w:right w:val="single" w:sz="12" w:space="0" w:color="000000"/>
            </w:tcBorders>
            <w:shd w:val="clear" w:color="auto" w:fill="D2D2D2"/>
          </w:tcPr>
          <w:p>
            <w:pPr/>
          </w:p>
        </w:tc>
      </w:tr>
      <w:tr>
        <w:trPr>
          <w:trHeight w:val="328"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8"/>
              <w:jc w:val="right"/>
              <w:rPr>
                <w:rFonts w:ascii="宋体" w:hAnsi="宋体" w:cs="宋体" w:eastAsia="宋体" w:hint="default"/>
                <w:sz w:val="15"/>
                <w:szCs w:val="15"/>
              </w:rPr>
            </w:pPr>
            <w:r>
              <w:rPr>
                <w:rFonts w:ascii="宋体" w:hAnsi="宋体" w:cs="宋体" w:eastAsia="宋体" w:hint="default"/>
                <w:spacing w:val="-4"/>
                <w:sz w:val="15"/>
                <w:szCs w:val="15"/>
              </w:rPr>
              <w:t>4</w:t>
            </w:r>
            <w:r>
              <w:rPr>
                <w:rFonts w:ascii="宋体" w:hAnsi="宋体" w:cs="宋体" w:eastAsia="宋体" w:hint="default"/>
                <w:spacing w:val="-4"/>
                <w:sz w:val="15"/>
                <w:szCs w:val="15"/>
              </w:rPr>
              <w:t>．其他</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1"/>
              <w:jc w:val="both"/>
              <w:rPr>
                <w:rFonts w:ascii="宋体" w:hAnsi="宋体" w:cs="宋体" w:eastAsia="宋体" w:hint="default"/>
                <w:sz w:val="15"/>
                <w:szCs w:val="15"/>
              </w:rPr>
            </w:pPr>
            <w:r>
              <w:rPr>
                <w:rFonts w:ascii="宋体" w:hAnsi="宋体" w:cs="宋体" w:eastAsia="宋体" w:hint="default"/>
                <w:sz w:val="15"/>
                <w:szCs w:val="15"/>
              </w:rPr>
              <w:t>（三） 利润分 配</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857,612.65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-4,082,049.61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-4,444,795.00</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-7,669,231.96</w:t>
            </w:r>
          </w:p>
        </w:tc>
      </w:tr>
      <w:tr>
        <w:trPr>
          <w:trHeight w:val="952"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8"/>
              <w:jc w:val="left"/>
              <w:rPr>
                <w:rFonts w:ascii="宋体" w:hAnsi="宋体" w:cs="宋体" w:eastAsia="宋体" w:hint="default"/>
                <w:sz w:val="15"/>
                <w:szCs w:val="15"/>
              </w:rPr>
            </w:pPr>
            <w:r>
              <w:rPr>
                <w:rFonts w:ascii="宋体" w:hAnsi="宋体" w:cs="宋体" w:eastAsia="宋体" w:hint="default"/>
                <w:spacing w:val="-4"/>
                <w:sz w:val="15"/>
                <w:szCs w:val="15"/>
              </w:rPr>
              <w:t>1</w:t>
            </w:r>
            <w:r>
              <w:rPr>
                <w:rFonts w:ascii="宋体" w:hAnsi="宋体" w:cs="宋体" w:eastAsia="宋体" w:hint="default"/>
                <w:spacing w:val="-4"/>
                <w:sz w:val="15"/>
                <w:szCs w:val="15"/>
              </w:rPr>
              <w:t>．提取</w:t>
            </w:r>
            <w:r>
              <w:rPr>
                <w:rFonts w:ascii="宋体" w:hAnsi="宋体" w:cs="宋体" w:eastAsia="宋体" w:hint="default"/>
                <w:sz w:val="15"/>
                <w:szCs w:val="15"/>
              </w:rPr>
              <w:t> 盈余公 积</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857,612.65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-857,612.65</w:t>
            </w: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8"/>
              <w:jc w:val="left"/>
              <w:rPr>
                <w:rFonts w:ascii="宋体" w:hAnsi="宋体" w:cs="宋体" w:eastAsia="宋体" w:hint="default"/>
                <w:sz w:val="15"/>
                <w:szCs w:val="15"/>
              </w:rPr>
            </w:pPr>
            <w:r>
              <w:rPr>
                <w:rFonts w:ascii="宋体" w:hAnsi="宋体" w:cs="宋体" w:eastAsia="宋体" w:hint="default"/>
                <w:spacing w:val="-4"/>
                <w:sz w:val="15"/>
                <w:szCs w:val="15"/>
              </w:rPr>
              <w:t>2</w:t>
            </w:r>
            <w:r>
              <w:rPr>
                <w:rFonts w:ascii="宋体" w:hAnsi="宋体" w:cs="宋体" w:eastAsia="宋体" w:hint="default"/>
                <w:spacing w:val="-4"/>
                <w:sz w:val="15"/>
                <w:szCs w:val="15"/>
              </w:rPr>
              <w:t>．提取</w:t>
            </w:r>
            <w:r>
              <w:rPr>
                <w:rFonts w:ascii="宋体" w:hAnsi="宋体" w:cs="宋体" w:eastAsia="宋体" w:hint="default"/>
                <w:sz w:val="15"/>
                <w:szCs w:val="15"/>
              </w:rPr>
              <w:t> 一般风 险准备</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1576"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8"/>
              <w:jc w:val="both"/>
              <w:rPr>
                <w:rFonts w:ascii="宋体" w:hAnsi="宋体" w:cs="宋体" w:eastAsia="宋体" w:hint="default"/>
                <w:sz w:val="15"/>
                <w:szCs w:val="15"/>
              </w:rPr>
            </w:pPr>
            <w:r>
              <w:rPr>
                <w:rFonts w:ascii="宋体" w:hAnsi="宋体" w:cs="宋体" w:eastAsia="宋体" w:hint="default"/>
                <w:spacing w:val="-4"/>
                <w:sz w:val="15"/>
                <w:szCs w:val="15"/>
              </w:rPr>
              <w:t>3</w:t>
            </w:r>
            <w:r>
              <w:rPr>
                <w:rFonts w:ascii="宋体" w:hAnsi="宋体" w:cs="宋体" w:eastAsia="宋体" w:hint="default"/>
                <w:spacing w:val="-4"/>
                <w:sz w:val="15"/>
                <w:szCs w:val="15"/>
              </w:rPr>
              <w:t>．对所</w:t>
            </w:r>
            <w:r>
              <w:rPr>
                <w:rFonts w:ascii="宋体" w:hAnsi="宋体" w:cs="宋体" w:eastAsia="宋体" w:hint="default"/>
                <w:sz w:val="15"/>
                <w:szCs w:val="15"/>
              </w:rPr>
              <w:t> 有者</w:t>
            </w:r>
          </w:p>
          <w:p>
            <w:pPr>
              <w:pStyle w:val="TableParagraph"/>
              <w:spacing w:line="381" w:lineRule="auto" w:before="27"/>
              <w:ind w:left="6" w:right="71"/>
              <w:jc w:val="both"/>
              <w:rPr>
                <w:rFonts w:ascii="宋体" w:hAnsi="宋体" w:cs="宋体" w:eastAsia="宋体" w:hint="default"/>
                <w:sz w:val="15"/>
                <w:szCs w:val="15"/>
              </w:rPr>
            </w:pPr>
            <w:r>
              <w:rPr>
                <w:rFonts w:ascii="宋体" w:hAnsi="宋体" w:cs="宋体" w:eastAsia="宋体" w:hint="default"/>
                <w:sz w:val="15"/>
                <w:szCs w:val="15"/>
              </w:rPr>
              <w:t>（或股 东）的 分配</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-3,224,436.96</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-4,444,795.00</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-7,669,231.96</w:t>
            </w:r>
          </w:p>
        </w:tc>
      </w:tr>
      <w:tr>
        <w:trPr>
          <w:trHeight w:val="326"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right="8"/>
              <w:jc w:val="right"/>
              <w:rPr>
                <w:rFonts w:ascii="宋体" w:hAnsi="宋体" w:cs="宋体" w:eastAsia="宋体" w:hint="default"/>
                <w:sz w:val="15"/>
                <w:szCs w:val="15"/>
              </w:rPr>
            </w:pPr>
            <w:r>
              <w:rPr>
                <w:rFonts w:ascii="宋体" w:hAnsi="宋体" w:cs="宋体" w:eastAsia="宋体" w:hint="default"/>
                <w:spacing w:val="-4"/>
                <w:sz w:val="15"/>
                <w:szCs w:val="15"/>
              </w:rPr>
              <w:t>4</w:t>
            </w:r>
            <w:r>
              <w:rPr>
                <w:rFonts w:ascii="宋体" w:hAnsi="宋体" w:cs="宋体" w:eastAsia="宋体" w:hint="default"/>
                <w:spacing w:val="-4"/>
                <w:sz w:val="15"/>
                <w:szCs w:val="15"/>
              </w:rPr>
              <w:t>．其他</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1"/>
              <w:jc w:val="both"/>
              <w:rPr>
                <w:rFonts w:ascii="宋体" w:hAnsi="宋体" w:cs="宋体" w:eastAsia="宋体" w:hint="default"/>
                <w:sz w:val="15"/>
                <w:szCs w:val="15"/>
              </w:rPr>
            </w:pPr>
            <w:r>
              <w:rPr>
                <w:rFonts w:ascii="宋体" w:hAnsi="宋体" w:cs="宋体" w:eastAsia="宋体" w:hint="default"/>
                <w:sz w:val="15"/>
                <w:szCs w:val="15"/>
              </w:rPr>
              <w:t>（四） 所有者 权益内 部结转</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1574"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8"/>
              <w:jc w:val="left"/>
              <w:rPr>
                <w:rFonts w:ascii="宋体" w:hAnsi="宋体" w:cs="宋体" w:eastAsia="宋体" w:hint="default"/>
                <w:sz w:val="15"/>
                <w:szCs w:val="15"/>
              </w:rPr>
            </w:pPr>
            <w:r>
              <w:rPr>
                <w:rFonts w:ascii="宋体" w:hAnsi="宋体" w:cs="宋体" w:eastAsia="宋体" w:hint="default"/>
                <w:spacing w:val="-4"/>
                <w:sz w:val="15"/>
                <w:szCs w:val="15"/>
              </w:rPr>
              <w:t>1</w:t>
            </w:r>
            <w:r>
              <w:rPr>
                <w:rFonts w:ascii="宋体" w:hAnsi="宋体" w:cs="宋体" w:eastAsia="宋体" w:hint="default"/>
                <w:spacing w:val="-4"/>
                <w:sz w:val="15"/>
                <w:szCs w:val="15"/>
              </w:rPr>
              <w:t>．资本</w:t>
            </w:r>
            <w:r>
              <w:rPr>
                <w:rFonts w:ascii="宋体" w:hAnsi="宋体" w:cs="宋体" w:eastAsia="宋体" w:hint="default"/>
                <w:sz w:val="15"/>
                <w:szCs w:val="15"/>
              </w:rPr>
              <w:t> 公积转 增资本</w:t>
            </w:r>
          </w:p>
          <w:p>
            <w:pPr>
              <w:pStyle w:val="TableParagraph"/>
              <w:spacing w:line="381" w:lineRule="auto" w:before="27"/>
              <w:ind w:left="6" w:right="71"/>
              <w:jc w:val="left"/>
              <w:rPr>
                <w:rFonts w:ascii="宋体" w:hAnsi="宋体" w:cs="宋体" w:eastAsia="宋体" w:hint="default"/>
                <w:sz w:val="15"/>
                <w:szCs w:val="15"/>
              </w:rPr>
            </w:pPr>
            <w:r>
              <w:rPr>
                <w:rFonts w:ascii="宋体" w:hAnsi="宋体" w:cs="宋体" w:eastAsia="宋体" w:hint="default"/>
                <w:sz w:val="15"/>
                <w:szCs w:val="15"/>
              </w:rPr>
              <w:t>（或股 本）</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1576"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8"/>
              <w:jc w:val="left"/>
              <w:rPr>
                <w:rFonts w:ascii="宋体" w:hAnsi="宋体" w:cs="宋体" w:eastAsia="宋体" w:hint="default"/>
                <w:sz w:val="15"/>
                <w:szCs w:val="15"/>
              </w:rPr>
            </w:pPr>
            <w:r>
              <w:rPr>
                <w:rFonts w:ascii="宋体" w:hAnsi="宋体" w:cs="宋体" w:eastAsia="宋体" w:hint="default"/>
                <w:spacing w:val="-4"/>
                <w:sz w:val="15"/>
                <w:szCs w:val="15"/>
              </w:rPr>
              <w:t>2</w:t>
            </w:r>
            <w:r>
              <w:rPr>
                <w:rFonts w:ascii="宋体" w:hAnsi="宋体" w:cs="宋体" w:eastAsia="宋体" w:hint="default"/>
                <w:spacing w:val="-4"/>
                <w:sz w:val="15"/>
                <w:szCs w:val="15"/>
              </w:rPr>
              <w:t>．盈余</w:t>
            </w:r>
            <w:r>
              <w:rPr>
                <w:rFonts w:ascii="宋体" w:hAnsi="宋体" w:cs="宋体" w:eastAsia="宋体" w:hint="default"/>
                <w:sz w:val="15"/>
                <w:szCs w:val="15"/>
              </w:rPr>
              <w:t> 公积转 增资本</w:t>
            </w:r>
          </w:p>
          <w:p>
            <w:pPr>
              <w:pStyle w:val="TableParagraph"/>
              <w:spacing w:line="381" w:lineRule="auto" w:before="27"/>
              <w:ind w:left="6" w:right="71"/>
              <w:jc w:val="left"/>
              <w:rPr>
                <w:rFonts w:ascii="宋体" w:hAnsi="宋体" w:cs="宋体" w:eastAsia="宋体" w:hint="default"/>
                <w:sz w:val="15"/>
                <w:szCs w:val="15"/>
              </w:rPr>
            </w:pPr>
            <w:r>
              <w:rPr>
                <w:rFonts w:ascii="宋体" w:hAnsi="宋体" w:cs="宋体" w:eastAsia="宋体" w:hint="default"/>
                <w:sz w:val="15"/>
                <w:szCs w:val="15"/>
              </w:rPr>
              <w:t>（或股 本）</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951"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8"/>
              <w:jc w:val="left"/>
              <w:rPr>
                <w:rFonts w:ascii="宋体" w:hAnsi="宋体" w:cs="宋体" w:eastAsia="宋体" w:hint="default"/>
                <w:sz w:val="15"/>
                <w:szCs w:val="15"/>
              </w:rPr>
            </w:pPr>
            <w:r>
              <w:rPr>
                <w:rFonts w:ascii="宋体" w:hAnsi="宋体" w:cs="宋体" w:eastAsia="宋体" w:hint="default"/>
                <w:spacing w:val="-4"/>
                <w:sz w:val="15"/>
                <w:szCs w:val="15"/>
              </w:rPr>
              <w:t>3</w:t>
            </w:r>
            <w:r>
              <w:rPr>
                <w:rFonts w:ascii="宋体" w:hAnsi="宋体" w:cs="宋体" w:eastAsia="宋体" w:hint="default"/>
                <w:spacing w:val="-4"/>
                <w:sz w:val="15"/>
                <w:szCs w:val="15"/>
              </w:rPr>
              <w:t>．盈余</w:t>
            </w:r>
            <w:r>
              <w:rPr>
                <w:rFonts w:ascii="宋体" w:hAnsi="宋体" w:cs="宋体" w:eastAsia="宋体" w:hint="default"/>
                <w:sz w:val="15"/>
                <w:szCs w:val="15"/>
              </w:rPr>
              <w:t> 公积弥 补亏损</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5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8"/>
              <w:jc w:val="right"/>
              <w:rPr>
                <w:rFonts w:ascii="宋体" w:hAnsi="宋体" w:cs="宋体" w:eastAsia="宋体" w:hint="default"/>
                <w:sz w:val="15"/>
                <w:szCs w:val="15"/>
              </w:rPr>
            </w:pPr>
            <w:r>
              <w:rPr>
                <w:rFonts w:ascii="宋体" w:hAnsi="宋体" w:cs="宋体" w:eastAsia="宋体" w:hint="default"/>
                <w:spacing w:val="-4"/>
                <w:sz w:val="15"/>
                <w:szCs w:val="15"/>
              </w:rPr>
              <w:t>4</w:t>
            </w:r>
            <w:r>
              <w:rPr>
                <w:rFonts w:ascii="宋体" w:hAnsi="宋体" w:cs="宋体" w:eastAsia="宋体" w:hint="default"/>
                <w:spacing w:val="-4"/>
                <w:sz w:val="15"/>
                <w:szCs w:val="15"/>
              </w:rPr>
              <w:t>．其他</w:t>
            </w:r>
          </w:p>
        </w:tc>
        <w:tc>
          <w:tcPr>
            <w:tcW w:w="114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646" w:hRule="exact"/>
        </w:trPr>
        <w:tc>
          <w:tcPr>
            <w:tcW w:w="5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33"/>
              <w:ind w:left="6" w:right="71"/>
              <w:jc w:val="left"/>
              <w:rPr>
                <w:rFonts w:ascii="宋体" w:hAnsi="宋体" w:cs="宋体" w:eastAsia="宋体" w:hint="default"/>
                <w:sz w:val="15"/>
                <w:szCs w:val="15"/>
              </w:rPr>
            </w:pPr>
            <w:r>
              <w:rPr>
                <w:rFonts w:ascii="宋体" w:hAnsi="宋体" w:cs="宋体" w:eastAsia="宋体" w:hint="default"/>
                <w:sz w:val="15"/>
                <w:szCs w:val="15"/>
              </w:rPr>
              <w:t>（五） 专项储</w:t>
            </w:r>
          </w:p>
        </w:tc>
        <w:tc>
          <w:tcPr>
            <w:tcW w:w="1146" w:type="dxa"/>
            <w:tcBorders>
              <w:top w:val="single" w:sz="6" w:space="0" w:color="000000"/>
              <w:left w:val="single" w:sz="14" w:space="0" w:color="D2D2D2"/>
              <w:bottom w:val="single" w:sz="12" w:space="0" w:color="000000"/>
              <w:right w:val="single" w:sz="6" w:space="0" w:color="000000"/>
            </w:tcBorders>
          </w:tcPr>
          <w:p>
            <w:pPr/>
          </w:p>
        </w:tc>
        <w:tc>
          <w:tcPr>
            <w:tcW w:w="282"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346" w:type="dxa"/>
            <w:tcBorders>
              <w:top w:val="single" w:sz="6" w:space="0" w:color="000000"/>
              <w:left w:val="single" w:sz="6" w:space="0" w:color="000000"/>
              <w:bottom w:val="single" w:sz="12" w:space="0" w:color="000000"/>
              <w:right w:val="single" w:sz="6" w:space="0" w:color="000000"/>
            </w:tcBorders>
          </w:tcPr>
          <w:p>
            <w:pPr/>
          </w:p>
        </w:tc>
        <w:tc>
          <w:tcPr>
            <w:tcW w:w="134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337" w:type="dxa"/>
        <w:tblLayout w:type="fixed"/>
        <w:tblCellMar>
          <w:top w:w="0" w:type="dxa"/>
          <w:left w:w="0" w:type="dxa"/>
          <w:bottom w:w="0" w:type="dxa"/>
          <w:right w:w="0" w:type="dxa"/>
        </w:tblCellMar>
        <w:tblLook w:val="01E0"/>
      </w:tblPr>
      <w:tblGrid>
        <w:gridCol w:w="568"/>
        <w:gridCol w:w="1136"/>
        <w:gridCol w:w="282"/>
        <w:gridCol w:w="284"/>
        <w:gridCol w:w="283"/>
        <w:gridCol w:w="1276"/>
        <w:gridCol w:w="1134"/>
        <w:gridCol w:w="425"/>
        <w:gridCol w:w="426"/>
        <w:gridCol w:w="1134"/>
        <w:gridCol w:w="426"/>
        <w:gridCol w:w="1134"/>
        <w:gridCol w:w="1346"/>
        <w:gridCol w:w="1347"/>
      </w:tblGrid>
      <w:tr>
        <w:trPr>
          <w:trHeight w:val="335" w:hRule="exact"/>
        </w:trPr>
        <w:tc>
          <w:tcPr>
            <w:tcW w:w="568" w:type="dxa"/>
            <w:vMerge w:val="restart"/>
            <w:tcBorders>
              <w:top w:val="single" w:sz="12" w:space="0" w:color="000000"/>
              <w:left w:val="single" w:sz="12" w:space="0" w:color="000000"/>
              <w:right w:val="single" w:sz="6" w:space="0" w:color="000000"/>
            </w:tcBorders>
            <w:shd w:val="clear" w:color="auto" w:fill="D2D2D2"/>
          </w:tcPr>
          <w:p>
            <w:pPr/>
          </w:p>
        </w:tc>
        <w:tc>
          <w:tcPr>
            <w:tcW w:w="10634"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7"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6" w:hRule="exact"/>
        </w:trPr>
        <w:tc>
          <w:tcPr>
            <w:tcW w:w="568" w:type="dxa"/>
            <w:vMerge/>
            <w:tcBorders>
              <w:left w:val="single" w:sz="12" w:space="0" w:color="000000"/>
              <w:right w:val="single" w:sz="6" w:space="0" w:color="000000"/>
            </w:tcBorders>
            <w:shd w:val="clear" w:color="auto" w:fill="D2D2D2"/>
          </w:tcPr>
          <w:p>
            <w:pPr/>
          </w:p>
        </w:tc>
        <w:tc>
          <w:tcPr>
            <w:tcW w:w="7940"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46" w:type="dxa"/>
            <w:vMerge w:val="restart"/>
            <w:tcBorders>
              <w:top w:val="single" w:sz="6" w:space="0" w:color="000000"/>
              <w:left w:val="single" w:sz="6" w:space="0" w:color="000000"/>
              <w:right w:val="single" w:sz="6" w:space="0" w:color="000000"/>
            </w:tcBorders>
            <w:shd w:val="clear" w:color="auto" w:fill="D2D2D2"/>
          </w:tcPr>
          <w:p>
            <w:pPr/>
          </w:p>
        </w:tc>
        <w:tc>
          <w:tcPr>
            <w:tcW w:w="1347" w:type="dxa"/>
            <w:vMerge w:val="restart"/>
            <w:tcBorders>
              <w:top w:val="single" w:sz="6" w:space="0" w:color="000000"/>
              <w:left w:val="single" w:sz="6" w:space="0" w:color="000000"/>
              <w:right w:val="single" w:sz="12" w:space="0" w:color="000000"/>
            </w:tcBorders>
            <w:shd w:val="clear" w:color="auto" w:fill="D2D2D2"/>
          </w:tcPr>
          <w:p>
            <w:pPr/>
          </w:p>
        </w:tc>
      </w:tr>
      <w:tr>
        <w:trPr>
          <w:trHeight w:val="320" w:hRule="exact"/>
        </w:trPr>
        <w:tc>
          <w:tcPr>
            <w:tcW w:w="568" w:type="dxa"/>
            <w:vMerge/>
            <w:tcBorders>
              <w:left w:val="single" w:sz="12" w:space="0" w:color="000000"/>
              <w:bottom w:val="nil" w:sz="6" w:space="0" w:color="auto"/>
              <w:right w:val="single" w:sz="6" w:space="0" w:color="000000"/>
            </w:tcBorders>
            <w:shd w:val="clear" w:color="auto" w:fill="D2D2D2"/>
          </w:tcPr>
          <w:p>
            <w:pPr/>
          </w:p>
        </w:tc>
        <w:tc>
          <w:tcPr>
            <w:tcW w:w="1136" w:type="dxa"/>
            <w:vMerge w:val="restart"/>
            <w:tcBorders>
              <w:top w:val="single" w:sz="6" w:space="0" w:color="000000"/>
              <w:left w:val="single" w:sz="6" w:space="0" w:color="000000"/>
              <w:right w:val="single" w:sz="6" w:space="0" w:color="000000"/>
            </w:tcBorders>
            <w:shd w:val="clear" w:color="auto" w:fill="D2D2D2"/>
          </w:tcPr>
          <w:p>
            <w:pPr/>
          </w:p>
        </w:tc>
        <w:tc>
          <w:tcPr>
            <w:tcW w:w="85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342" w:right="41" w:hanging="300"/>
              <w:jc w:val="left"/>
              <w:rPr>
                <w:rFonts w:ascii="宋体" w:hAnsi="宋体" w:cs="宋体" w:eastAsia="宋体" w:hint="default"/>
                <w:sz w:val="15"/>
                <w:szCs w:val="15"/>
              </w:rPr>
            </w:pPr>
            <w:r>
              <w:rPr>
                <w:rFonts w:ascii="宋体" w:hAnsi="宋体" w:cs="宋体" w:eastAsia="宋体" w:hint="default"/>
                <w:sz w:val="15"/>
                <w:szCs w:val="15"/>
              </w:rPr>
              <w:t>其他权益工 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56" w:hRule="exact"/>
        </w:trPr>
        <w:tc>
          <w:tcPr>
            <w:tcW w:w="568"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6"/>
              <w:ind w:left="11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136" w:type="dxa"/>
            <w:vMerge/>
            <w:tcBorders>
              <w:left w:val="single" w:sz="6" w:space="0" w:color="000000"/>
              <w:right w:val="single" w:sz="6" w:space="0" w:color="000000"/>
            </w:tcBorders>
            <w:shd w:val="clear" w:color="auto" w:fill="D2D2D2"/>
          </w:tcPr>
          <w:p>
            <w:pPr/>
          </w:p>
        </w:tc>
        <w:tc>
          <w:tcPr>
            <w:tcW w:w="850" w:type="dxa"/>
            <w:gridSpan w:val="3"/>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3"/>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4"/>
              <w:jc w:val="both"/>
              <w:rPr>
                <w:rFonts w:ascii="宋体" w:hAnsi="宋体" w:cs="宋体" w:eastAsia="宋体" w:hint="default"/>
                <w:sz w:val="15"/>
                <w:szCs w:val="15"/>
              </w:rPr>
            </w:pPr>
            <w:r>
              <w:rPr>
                <w:rFonts w:ascii="宋体" w:hAnsi="宋体" w:cs="宋体" w:eastAsia="宋体" w:hint="default"/>
                <w:sz w:val="15"/>
                <w:szCs w:val="15"/>
              </w:rPr>
              <w:t>一般 风险 准备</w:t>
            </w: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bottom w:val="nil" w:sz="6" w:space="0" w:color="auto"/>
              <w:right w:val="single" w:sz="6" w:space="0" w:color="000000"/>
            </w:tcBorders>
            <w:shd w:val="clear" w:color="auto" w:fill="D2D2D2"/>
          </w:tcPr>
          <w:p>
            <w:pPr/>
          </w:p>
        </w:tc>
        <w:tc>
          <w:tcPr>
            <w:tcW w:w="1347"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568" w:type="dxa"/>
            <w:vMerge/>
            <w:tcBorders>
              <w:left w:val="single" w:sz="12" w:space="0" w:color="000000"/>
              <w:bottom w:val="nil" w:sz="6" w:space="0" w:color="auto"/>
              <w:right w:val="single" w:sz="6" w:space="0" w:color="000000"/>
            </w:tcBorders>
            <w:shd w:val="clear" w:color="auto" w:fill="D2D2D2"/>
          </w:tcPr>
          <w:p>
            <w:pPr/>
          </w:p>
        </w:tc>
        <w:tc>
          <w:tcPr>
            <w:tcW w:w="1136" w:type="dxa"/>
            <w:vMerge/>
            <w:tcBorders>
              <w:left w:val="single" w:sz="6" w:space="0" w:color="000000"/>
              <w:bottom w:val="nil" w:sz="6" w:space="0" w:color="auto"/>
              <w:right w:val="single" w:sz="6" w:space="0" w:color="000000"/>
            </w:tcBorders>
            <w:shd w:val="clear" w:color="auto" w:fill="D2D2D2"/>
          </w:tcPr>
          <w:p>
            <w:pPr/>
          </w:p>
        </w:tc>
        <w:tc>
          <w:tcPr>
            <w:tcW w:w="850"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7"/>
              <w:ind w:left="55" w:right="5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3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0"/>
              <w:ind w:left="21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4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0"/>
              <w:ind w:left="14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6" w:hRule="exact"/>
        </w:trPr>
        <w:tc>
          <w:tcPr>
            <w:tcW w:w="568" w:type="dxa"/>
            <w:vMerge w:val="restart"/>
            <w:tcBorders>
              <w:top w:val="nil" w:sz="6" w:space="0" w:color="auto"/>
              <w:left w:val="single" w:sz="12" w:space="0" w:color="000000"/>
              <w:right w:val="single" w:sz="6" w:space="0" w:color="000000"/>
            </w:tcBorders>
            <w:shd w:val="clear" w:color="auto" w:fill="D2D2D2"/>
          </w:tcPr>
          <w:p>
            <w:pPr/>
          </w:p>
        </w:tc>
        <w:tc>
          <w:tcPr>
            <w:tcW w:w="113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2"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58" w:right="56"/>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4"/>
              <w:ind w:left="60"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25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18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46" w:type="dxa"/>
            <w:vMerge/>
            <w:tcBorders>
              <w:left w:val="single" w:sz="6" w:space="0" w:color="000000"/>
              <w:bottom w:val="nil" w:sz="6" w:space="0" w:color="auto"/>
              <w:right w:val="single" w:sz="6" w:space="0" w:color="000000"/>
            </w:tcBorders>
            <w:shd w:val="clear" w:color="auto" w:fill="D2D2D2"/>
          </w:tcPr>
          <w:p>
            <w:pPr/>
          </w:p>
        </w:tc>
        <w:tc>
          <w:tcPr>
            <w:tcW w:w="1347"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568" w:type="dxa"/>
            <w:vMerge/>
            <w:tcBorders>
              <w:left w:val="single" w:sz="12" w:space="0" w:color="000000"/>
              <w:right w:val="single" w:sz="6" w:space="0" w:color="000000"/>
            </w:tcBorders>
            <w:shd w:val="clear" w:color="auto" w:fill="D2D2D2"/>
          </w:tcPr>
          <w:p>
            <w:pPr/>
          </w:p>
        </w:tc>
        <w:tc>
          <w:tcPr>
            <w:tcW w:w="1136" w:type="dxa"/>
            <w:vMerge/>
            <w:tcBorders>
              <w:left w:val="single" w:sz="6" w:space="0" w:color="000000"/>
              <w:bottom w:val="nil" w:sz="6" w:space="0" w:color="auto"/>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41"/>
              <w:ind w:left="58" w:right="59"/>
              <w:jc w:val="left"/>
              <w:rPr>
                <w:rFonts w:ascii="宋体" w:hAnsi="宋体" w:cs="宋体" w:eastAsia="宋体" w:hint="default"/>
                <w:sz w:val="15"/>
                <w:szCs w:val="15"/>
              </w:rPr>
            </w:pPr>
            <w:r>
              <w:rPr>
                <w:rFonts w:ascii="宋体" w:hAnsi="宋体" w:cs="宋体" w:eastAsia="宋体" w:hint="default"/>
                <w:sz w:val="15"/>
                <w:szCs w:val="15"/>
              </w:rPr>
              <w:t>其 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346" w:type="dxa"/>
            <w:vMerge w:val="restart"/>
            <w:tcBorders>
              <w:top w:val="nil" w:sz="6" w:space="0" w:color="auto"/>
              <w:left w:val="single" w:sz="6" w:space="0" w:color="000000"/>
              <w:right w:val="single" w:sz="6" w:space="0" w:color="000000"/>
            </w:tcBorders>
            <w:shd w:val="clear" w:color="auto" w:fill="D2D2D2"/>
          </w:tcPr>
          <w:p>
            <w:pPr/>
          </w:p>
        </w:tc>
        <w:tc>
          <w:tcPr>
            <w:tcW w:w="1347" w:type="dxa"/>
            <w:vMerge w:val="restart"/>
            <w:tcBorders>
              <w:top w:val="nil" w:sz="6" w:space="0" w:color="auto"/>
              <w:left w:val="single" w:sz="6" w:space="0" w:color="000000"/>
              <w:right w:val="single" w:sz="12" w:space="0" w:color="000000"/>
            </w:tcBorders>
            <w:shd w:val="clear" w:color="auto" w:fill="D2D2D2"/>
          </w:tcPr>
          <w:p>
            <w:pPr/>
          </w:p>
        </w:tc>
      </w:tr>
      <w:tr>
        <w:trPr>
          <w:trHeight w:val="156" w:hRule="exact"/>
        </w:trPr>
        <w:tc>
          <w:tcPr>
            <w:tcW w:w="568" w:type="dxa"/>
            <w:vMerge/>
            <w:tcBorders>
              <w:left w:val="single" w:sz="12" w:space="0" w:color="000000"/>
              <w:right w:val="single" w:sz="6" w:space="0" w:color="000000"/>
            </w:tcBorders>
            <w:shd w:val="clear" w:color="auto" w:fill="D2D2D2"/>
          </w:tcPr>
          <w:p>
            <w:pPr/>
          </w:p>
        </w:tc>
        <w:tc>
          <w:tcPr>
            <w:tcW w:w="1136" w:type="dxa"/>
            <w:vMerge w:val="restart"/>
            <w:tcBorders>
              <w:top w:val="nil" w:sz="6" w:space="0" w:color="auto"/>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56" w:hRule="exact"/>
        </w:trPr>
        <w:tc>
          <w:tcPr>
            <w:tcW w:w="568" w:type="dxa"/>
            <w:vMerge/>
            <w:tcBorders>
              <w:left w:val="single" w:sz="12" w:space="0" w:color="000000"/>
              <w:right w:val="single" w:sz="6" w:space="0" w:color="000000"/>
            </w:tcBorders>
            <w:shd w:val="clear" w:color="auto" w:fill="D2D2D2"/>
          </w:tcPr>
          <w:p>
            <w:pPr/>
          </w:p>
        </w:tc>
        <w:tc>
          <w:tcPr>
            <w:tcW w:w="1136" w:type="dxa"/>
            <w:vMerge/>
            <w:tcBorders>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63" w:hRule="exact"/>
        </w:trPr>
        <w:tc>
          <w:tcPr>
            <w:tcW w:w="568" w:type="dxa"/>
            <w:vMerge/>
            <w:tcBorders>
              <w:left w:val="single" w:sz="12" w:space="0" w:color="000000"/>
              <w:right w:val="single" w:sz="6" w:space="0" w:color="000000"/>
            </w:tcBorders>
            <w:shd w:val="clear" w:color="auto" w:fill="D2D2D2"/>
          </w:tcPr>
          <w:p>
            <w:pPr/>
          </w:p>
        </w:tc>
        <w:tc>
          <w:tcPr>
            <w:tcW w:w="1136" w:type="dxa"/>
            <w:vMerge/>
            <w:tcBorders>
              <w:left w:val="single" w:sz="6" w:space="0" w:color="000000"/>
              <w:right w:val="single" w:sz="6" w:space="0" w:color="000000"/>
            </w:tcBorders>
            <w:shd w:val="clear" w:color="auto" w:fill="D2D2D2"/>
          </w:tcPr>
          <w:p>
            <w:pPr/>
          </w:p>
        </w:tc>
        <w:tc>
          <w:tcPr>
            <w:tcW w:w="282"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346" w:type="dxa"/>
            <w:vMerge/>
            <w:tcBorders>
              <w:left w:val="single" w:sz="6" w:space="0" w:color="000000"/>
              <w:right w:val="single" w:sz="6" w:space="0" w:color="000000"/>
            </w:tcBorders>
            <w:shd w:val="clear" w:color="auto" w:fill="D2D2D2"/>
          </w:tcPr>
          <w:p>
            <w:pPr/>
          </w:p>
        </w:tc>
        <w:tc>
          <w:tcPr>
            <w:tcW w:w="1347" w:type="dxa"/>
            <w:vMerge/>
            <w:tcBorders>
              <w:left w:val="single" w:sz="6" w:space="0" w:color="000000"/>
              <w:right w:val="single" w:sz="12" w:space="0" w:color="000000"/>
            </w:tcBorders>
            <w:shd w:val="clear" w:color="auto" w:fill="D2D2D2"/>
          </w:tcPr>
          <w:p>
            <w:pPr/>
          </w:p>
        </w:tc>
      </w:tr>
      <w:tr>
        <w:trPr>
          <w:trHeight w:val="163" w:hRule="exact"/>
        </w:trPr>
        <w:tc>
          <w:tcPr>
            <w:tcW w:w="568" w:type="dxa"/>
            <w:vMerge/>
            <w:tcBorders>
              <w:left w:val="single" w:sz="12" w:space="0" w:color="000000"/>
              <w:bottom w:val="single" w:sz="6" w:space="0" w:color="000000"/>
              <w:right w:val="single" w:sz="6" w:space="0" w:color="000000"/>
            </w:tcBorders>
            <w:shd w:val="clear" w:color="auto" w:fill="D2D2D2"/>
          </w:tcPr>
          <w:p>
            <w:pPr/>
          </w:p>
        </w:tc>
        <w:tc>
          <w:tcPr>
            <w:tcW w:w="1136" w:type="dxa"/>
            <w:vMerge/>
            <w:tcBorders>
              <w:left w:val="single" w:sz="6" w:space="0" w:color="000000"/>
              <w:bottom w:val="single" w:sz="6" w:space="0" w:color="000000"/>
              <w:right w:val="single" w:sz="6" w:space="0" w:color="000000"/>
            </w:tcBorders>
            <w:shd w:val="clear" w:color="auto" w:fill="D2D2D2"/>
          </w:tcPr>
          <w:p>
            <w:pPr/>
          </w:p>
        </w:tc>
        <w:tc>
          <w:tcPr>
            <w:tcW w:w="282"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346" w:type="dxa"/>
            <w:vMerge/>
            <w:tcBorders>
              <w:left w:val="single" w:sz="6" w:space="0" w:color="000000"/>
              <w:bottom w:val="single" w:sz="6" w:space="0" w:color="000000"/>
              <w:right w:val="single" w:sz="6" w:space="0" w:color="000000"/>
            </w:tcBorders>
            <w:shd w:val="clear" w:color="auto" w:fill="D2D2D2"/>
          </w:tcPr>
          <w:p>
            <w:pPr/>
          </w:p>
        </w:tc>
        <w:tc>
          <w:tcPr>
            <w:tcW w:w="1347" w:type="dxa"/>
            <w:vMerge/>
            <w:tcBorders>
              <w:left w:val="single" w:sz="6" w:space="0" w:color="000000"/>
              <w:bottom w:val="single" w:sz="6" w:space="0" w:color="000000"/>
              <w:right w:val="single" w:sz="12" w:space="0" w:color="000000"/>
            </w:tcBorders>
            <w:shd w:val="clear" w:color="auto" w:fill="D2D2D2"/>
          </w:tcPr>
          <w:p>
            <w:pPr/>
          </w:p>
        </w:tc>
      </w:tr>
      <w:tr>
        <w:trPr>
          <w:trHeight w:val="328" w:hRule="exact"/>
        </w:trPr>
        <w:tc>
          <w:tcPr>
            <w:tcW w:w="5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13" w:right="0"/>
              <w:jc w:val="left"/>
              <w:rPr>
                <w:rFonts w:ascii="宋体" w:hAnsi="宋体" w:cs="宋体" w:eastAsia="宋体" w:hint="default"/>
                <w:sz w:val="15"/>
                <w:szCs w:val="15"/>
              </w:rPr>
            </w:pPr>
            <w:r>
              <w:rPr>
                <w:rFonts w:ascii="宋体" w:hAnsi="宋体" w:cs="宋体" w:eastAsia="宋体" w:hint="default"/>
                <w:sz w:val="15"/>
                <w:szCs w:val="15"/>
              </w:rPr>
              <w:t>备</w:t>
            </w:r>
          </w:p>
        </w:tc>
        <w:tc>
          <w:tcPr>
            <w:tcW w:w="113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5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13" w:right="19"/>
              <w:jc w:val="left"/>
              <w:rPr>
                <w:rFonts w:ascii="宋体" w:hAnsi="宋体" w:cs="宋体" w:eastAsia="宋体" w:hint="default"/>
                <w:sz w:val="15"/>
                <w:szCs w:val="15"/>
              </w:rPr>
            </w:pPr>
            <w:r>
              <w:rPr>
                <w:rFonts w:ascii="宋体" w:hAnsi="宋体" w:cs="宋体" w:eastAsia="宋体" w:hint="default"/>
                <w:spacing w:val="-4"/>
                <w:sz w:val="15"/>
                <w:szCs w:val="15"/>
              </w:rPr>
              <w:t>1</w:t>
            </w:r>
            <w:r>
              <w:rPr>
                <w:rFonts w:ascii="宋体" w:hAnsi="宋体" w:cs="宋体" w:eastAsia="宋体" w:hint="default"/>
                <w:spacing w:val="-4"/>
                <w:sz w:val="15"/>
                <w:szCs w:val="15"/>
              </w:rPr>
              <w:t>．本期</w:t>
            </w:r>
            <w:r>
              <w:rPr>
                <w:rFonts w:ascii="宋体" w:hAnsi="宋体" w:cs="宋体" w:eastAsia="宋体" w:hint="default"/>
                <w:sz w:val="15"/>
                <w:szCs w:val="15"/>
              </w:rPr>
              <w:t> 提取</w:t>
            </w:r>
          </w:p>
        </w:tc>
        <w:tc>
          <w:tcPr>
            <w:tcW w:w="113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5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13" w:right="19"/>
              <w:jc w:val="left"/>
              <w:rPr>
                <w:rFonts w:ascii="宋体" w:hAnsi="宋体" w:cs="宋体" w:eastAsia="宋体" w:hint="default"/>
                <w:sz w:val="15"/>
                <w:szCs w:val="15"/>
              </w:rPr>
            </w:pPr>
            <w:r>
              <w:rPr>
                <w:rFonts w:ascii="宋体" w:hAnsi="宋体" w:cs="宋体" w:eastAsia="宋体" w:hint="default"/>
                <w:spacing w:val="-4"/>
                <w:sz w:val="15"/>
                <w:szCs w:val="15"/>
              </w:rPr>
              <w:t>2</w:t>
            </w:r>
            <w:r>
              <w:rPr>
                <w:rFonts w:ascii="宋体" w:hAnsi="宋体" w:cs="宋体" w:eastAsia="宋体" w:hint="default"/>
                <w:spacing w:val="-4"/>
                <w:sz w:val="15"/>
                <w:szCs w:val="15"/>
              </w:rPr>
              <w:t>．本期</w:t>
            </w:r>
            <w:r>
              <w:rPr>
                <w:rFonts w:ascii="宋体" w:hAnsi="宋体" w:cs="宋体" w:eastAsia="宋体" w:hint="default"/>
                <w:sz w:val="15"/>
                <w:szCs w:val="15"/>
              </w:rPr>
              <w:t> 使用</w:t>
            </w:r>
          </w:p>
        </w:tc>
        <w:tc>
          <w:tcPr>
            <w:tcW w:w="113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5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13" w:right="80"/>
              <w:jc w:val="left"/>
              <w:rPr>
                <w:rFonts w:ascii="宋体" w:hAnsi="宋体" w:cs="宋体" w:eastAsia="宋体" w:hint="default"/>
                <w:sz w:val="15"/>
                <w:szCs w:val="15"/>
              </w:rPr>
            </w:pPr>
            <w:r>
              <w:rPr>
                <w:rFonts w:ascii="宋体" w:hAnsi="宋体" w:cs="宋体" w:eastAsia="宋体" w:hint="default"/>
                <w:sz w:val="15"/>
                <w:szCs w:val="15"/>
              </w:rPr>
              <w:t>（六） 其他</w:t>
            </w:r>
          </w:p>
        </w:tc>
        <w:tc>
          <w:tcPr>
            <w:tcW w:w="1136" w:type="dxa"/>
            <w:tcBorders>
              <w:top w:val="single" w:sz="6" w:space="0" w:color="000000"/>
              <w:left w:val="single" w:sz="14" w:space="0" w:color="D2D2D2"/>
              <w:bottom w:val="single" w:sz="6" w:space="0" w:color="000000"/>
              <w:right w:val="single" w:sz="6" w:space="0" w:color="000000"/>
            </w:tcBorders>
          </w:tcPr>
          <w:p>
            <w:pPr/>
          </w:p>
        </w:tc>
        <w:tc>
          <w:tcPr>
            <w:tcW w:w="282"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12" w:space="0" w:color="000000"/>
            </w:tcBorders>
          </w:tcPr>
          <w:p>
            <w:pPr/>
          </w:p>
        </w:tc>
      </w:tr>
      <w:tr>
        <w:trPr>
          <w:trHeight w:val="959" w:hRule="exact"/>
        </w:trPr>
        <w:tc>
          <w:tcPr>
            <w:tcW w:w="5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35"/>
              <w:ind w:left="13" w:right="80"/>
              <w:jc w:val="both"/>
              <w:rPr>
                <w:rFonts w:ascii="宋体" w:hAnsi="宋体" w:cs="宋体" w:eastAsia="宋体" w:hint="default"/>
                <w:sz w:val="15"/>
                <w:szCs w:val="15"/>
              </w:rPr>
            </w:pPr>
            <w:r>
              <w:rPr>
                <w:rFonts w:ascii="宋体" w:hAnsi="宋体" w:cs="宋体" w:eastAsia="宋体" w:hint="default"/>
                <w:sz w:val="15"/>
                <w:szCs w:val="15"/>
              </w:rPr>
              <w:t>四、本 期期末 余额</w:t>
            </w:r>
          </w:p>
        </w:tc>
        <w:tc>
          <w:tcPr>
            <w:tcW w:w="113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8" w:right="0"/>
              <w:jc w:val="left"/>
              <w:rPr>
                <w:rFonts w:ascii="宋体" w:hAnsi="宋体" w:cs="宋体" w:eastAsia="宋体" w:hint="default"/>
                <w:sz w:val="15"/>
                <w:szCs w:val="15"/>
              </w:rPr>
            </w:pPr>
            <w:r>
              <w:rPr>
                <w:rFonts w:ascii="宋体"/>
                <w:sz w:val="15"/>
              </w:rPr>
              <w:t>166,121,848.00</w:t>
            </w:r>
          </w:p>
        </w:tc>
        <w:tc>
          <w:tcPr>
            <w:tcW w:w="282"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宋体" w:hAnsi="宋体" w:cs="宋体" w:eastAsia="宋体" w:hint="default"/>
                <w:sz w:val="15"/>
                <w:szCs w:val="15"/>
              </w:rPr>
            </w:pPr>
            <w:r>
              <w:rPr>
                <w:rFonts w:ascii="宋体"/>
                <w:sz w:val="15"/>
              </w:rPr>
              <w:t>1,036,932,346.20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宋体" w:hAnsi="宋体" w:cs="宋体" w:eastAsia="宋体" w:hint="default"/>
                <w:sz w:val="15"/>
                <w:szCs w:val="15"/>
              </w:rPr>
            </w:pPr>
            <w:r>
              <w:rPr>
                <w:rFonts w:ascii="宋体"/>
                <w:sz w:val="15"/>
              </w:rPr>
              <w:t>95,452,000.00</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宋体" w:hAnsi="宋体" w:cs="宋体" w:eastAsia="宋体" w:hint="default"/>
                <w:sz w:val="15"/>
                <w:szCs w:val="15"/>
              </w:rPr>
            </w:pPr>
            <w:r>
              <w:rPr>
                <w:rFonts w:ascii="宋体"/>
                <w:sz w:val="15"/>
              </w:rPr>
              <w:t>21,281,039.35</w:t>
            </w:r>
          </w:p>
        </w:tc>
        <w:tc>
          <w:tcPr>
            <w:tcW w:w="42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7" w:right="0"/>
              <w:jc w:val="left"/>
              <w:rPr>
                <w:rFonts w:ascii="宋体" w:hAnsi="宋体" w:cs="宋体" w:eastAsia="宋体" w:hint="default"/>
                <w:sz w:val="15"/>
                <w:szCs w:val="15"/>
              </w:rPr>
            </w:pPr>
            <w:r>
              <w:rPr>
                <w:rFonts w:ascii="宋体"/>
                <w:sz w:val="15"/>
              </w:rPr>
              <w:t>280,439,222.81</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1" w:right="0"/>
              <w:jc w:val="left"/>
              <w:rPr>
                <w:rFonts w:ascii="宋体" w:hAnsi="宋体" w:cs="宋体" w:eastAsia="宋体" w:hint="default"/>
                <w:sz w:val="15"/>
                <w:szCs w:val="15"/>
              </w:rPr>
            </w:pPr>
            <w:r>
              <w:rPr>
                <w:rFonts w:ascii="宋体"/>
                <w:sz w:val="15"/>
              </w:rPr>
              <w:t>103,426,416.81</w:t>
            </w:r>
          </w:p>
        </w:tc>
        <w:tc>
          <w:tcPr>
            <w:tcW w:w="13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11" w:right="0"/>
              <w:jc w:val="left"/>
              <w:rPr>
                <w:rFonts w:ascii="宋体" w:hAnsi="宋体" w:cs="宋体" w:eastAsia="宋体" w:hint="default"/>
                <w:sz w:val="15"/>
                <w:szCs w:val="15"/>
              </w:rPr>
            </w:pPr>
            <w:r>
              <w:rPr>
                <w:rFonts w:ascii="宋体"/>
                <w:sz w:val="15"/>
              </w:rPr>
              <w:t>1,512,748,873.17</w:t>
            </w:r>
          </w:p>
        </w:tc>
      </w:tr>
    </w:tbl>
    <w:p>
      <w:pPr>
        <w:spacing w:line="240" w:lineRule="auto" w:before="8"/>
        <w:rPr>
          <w:rFonts w:ascii="Times New Roman" w:hAnsi="Times New Roman" w:cs="Times New Roman" w:eastAsia="Times New Roman" w:hint="default"/>
          <w:sz w:val="21"/>
          <w:szCs w:val="21"/>
        </w:rPr>
      </w:pPr>
    </w:p>
    <w:p>
      <w:pPr>
        <w:pStyle w:val="Heading4"/>
        <w:spacing w:line="240" w:lineRule="auto" w:before="35"/>
        <w:ind w:right="1121"/>
        <w:jc w:val="left"/>
        <w:rPr>
          <w:b w:val="0"/>
          <w:bCs w:val="0"/>
        </w:rPr>
      </w:pPr>
      <w:bookmarkStart w:name="8、母公司所有者权益变动表" w:id="162"/>
      <w:bookmarkEnd w:id="162"/>
      <w:r>
        <w:rPr>
          <w:b w:val="0"/>
          <w:bCs w:val="0"/>
        </w:rPr>
      </w:r>
      <w:r>
        <w:rPr>
          <w:rFonts w:ascii="宋体" w:hAnsi="宋体" w:cs="宋体" w:eastAsia="宋体" w:hint="default"/>
        </w:rPr>
        <w:t>8</w:t>
      </w:r>
      <w:r>
        <w:rPr/>
        <w:t>、母公司所有者权益变动表</w:t>
      </w:r>
      <w:r>
        <w:rPr>
          <w:b w:val="0"/>
          <w:bCs w:val="0"/>
        </w:rPr>
      </w:r>
    </w:p>
    <w:p>
      <w:pPr>
        <w:spacing w:line="240" w:lineRule="auto" w:before="5"/>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7" w:footer="1000" w:top="1040" w:bottom="1180" w:left="0" w:right="0"/>
        </w:sectPr>
      </w:pPr>
    </w:p>
    <w:p>
      <w:pPr>
        <w:pStyle w:val="BodyText"/>
        <w:spacing w:line="240" w:lineRule="auto" w:before="35"/>
        <w:ind w:left="1134" w:right="-2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1975" w:space="6945"/>
            <w:col w:w="2990"/>
          </w:cols>
        </w:sectPr>
      </w:pPr>
    </w:p>
    <w:p>
      <w:pPr>
        <w:spacing w:line="240" w:lineRule="auto" w:before="1"/>
        <w:rPr>
          <w:rFonts w:ascii="宋体" w:hAnsi="宋体" w:cs="宋体" w:eastAsia="宋体" w:hint="default"/>
          <w:sz w:val="8"/>
          <w:szCs w:val="8"/>
        </w:rPr>
      </w:pPr>
    </w:p>
    <w:tbl>
      <w:tblPr>
        <w:tblW w:w="0" w:type="auto"/>
        <w:jc w:val="left"/>
        <w:tblInd w:w="345" w:type="dxa"/>
        <w:tblLayout w:type="fixed"/>
        <w:tblCellMar>
          <w:top w:w="0" w:type="dxa"/>
          <w:left w:w="0" w:type="dxa"/>
          <w:bottom w:w="0" w:type="dxa"/>
          <w:right w:w="0" w:type="dxa"/>
        </w:tblCellMar>
        <w:tblLook w:val="01E0"/>
      </w:tblPr>
      <w:tblGrid>
        <w:gridCol w:w="1826"/>
        <w:gridCol w:w="1144"/>
        <w:gridCol w:w="284"/>
        <w:gridCol w:w="283"/>
        <w:gridCol w:w="426"/>
        <w:gridCol w:w="1275"/>
        <w:gridCol w:w="1134"/>
        <w:gridCol w:w="426"/>
        <w:gridCol w:w="425"/>
        <w:gridCol w:w="1134"/>
        <w:gridCol w:w="1417"/>
        <w:gridCol w:w="1418"/>
      </w:tblGrid>
      <w:tr>
        <w:trPr>
          <w:trHeight w:val="335" w:hRule="exact"/>
        </w:trPr>
        <w:tc>
          <w:tcPr>
            <w:tcW w:w="1826" w:type="dxa"/>
            <w:vMerge w:val="restart"/>
            <w:tcBorders>
              <w:top w:val="single" w:sz="12" w:space="0" w:color="000000"/>
              <w:left w:val="single" w:sz="12" w:space="0" w:color="000000"/>
              <w:right w:val="single" w:sz="6" w:space="0" w:color="000000"/>
            </w:tcBorders>
            <w:shd w:val="clear" w:color="auto" w:fill="D2D2D2"/>
          </w:tcPr>
          <w:p>
            <w:pPr/>
          </w:p>
        </w:tc>
        <w:tc>
          <w:tcPr>
            <w:tcW w:w="9367"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17"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170" w:hRule="exact"/>
        </w:trPr>
        <w:tc>
          <w:tcPr>
            <w:tcW w:w="1826" w:type="dxa"/>
            <w:vMerge/>
            <w:tcBorders>
              <w:left w:val="single" w:sz="12" w:space="0" w:color="000000"/>
              <w:right w:val="single" w:sz="6" w:space="0" w:color="000000"/>
            </w:tcBorders>
            <w:shd w:val="clear" w:color="auto" w:fill="D2D2D2"/>
          </w:tcPr>
          <w:p>
            <w:pPr/>
          </w:p>
        </w:tc>
        <w:tc>
          <w:tcPr>
            <w:tcW w:w="1144" w:type="dxa"/>
            <w:vMerge w:val="restart"/>
            <w:tcBorders>
              <w:top w:val="single" w:sz="6" w:space="0" w:color="000000"/>
              <w:left w:val="single" w:sz="6" w:space="0" w:color="000000"/>
              <w:right w:val="single" w:sz="6" w:space="0" w:color="000000"/>
            </w:tcBorders>
            <w:shd w:val="clear" w:color="auto" w:fill="D2D2D2"/>
          </w:tcPr>
          <w:p>
            <w:pPr/>
          </w:p>
        </w:tc>
        <w:tc>
          <w:tcPr>
            <w:tcW w:w="994"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3"/>
              <w:ind w:left="3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5"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1417" w:type="dxa"/>
            <w:vMerge w:val="restart"/>
            <w:tcBorders>
              <w:top w:val="single" w:sz="6" w:space="0" w:color="000000"/>
              <w:left w:val="single" w:sz="6" w:space="0" w:color="000000"/>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12" w:space="0" w:color="000000"/>
            </w:tcBorders>
            <w:shd w:val="clear" w:color="auto" w:fill="D2D2D2"/>
          </w:tcPr>
          <w:p>
            <w:pPr/>
          </w:p>
        </w:tc>
      </w:tr>
      <w:tr>
        <w:trPr>
          <w:trHeight w:val="153" w:hRule="exact"/>
        </w:trPr>
        <w:tc>
          <w:tcPr>
            <w:tcW w:w="1826" w:type="dxa"/>
            <w:vMerge/>
            <w:tcBorders>
              <w:left w:val="single" w:sz="12" w:space="0" w:color="000000"/>
              <w:bottom w:val="nil" w:sz="6" w:space="0" w:color="auto"/>
              <w:right w:val="single" w:sz="6" w:space="0" w:color="000000"/>
            </w:tcBorders>
            <w:shd w:val="clear" w:color="auto" w:fill="D2D2D2"/>
          </w:tcPr>
          <w:p>
            <w:pPr/>
          </w:p>
        </w:tc>
        <w:tc>
          <w:tcPr>
            <w:tcW w:w="1144" w:type="dxa"/>
            <w:vMerge/>
            <w:tcBorders>
              <w:left w:val="single" w:sz="6" w:space="0" w:color="000000"/>
              <w:right w:val="single" w:sz="6" w:space="0" w:color="000000"/>
            </w:tcBorders>
            <w:shd w:val="clear" w:color="auto" w:fill="D2D2D2"/>
          </w:tcPr>
          <w:p>
            <w:pPr/>
          </w:p>
        </w:tc>
        <w:tc>
          <w:tcPr>
            <w:tcW w:w="994" w:type="dxa"/>
            <w:gridSpan w:val="3"/>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3"/>
              <w:ind w:left="55" w:right="54"/>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25"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58" w:hRule="exact"/>
        </w:trPr>
        <w:tc>
          <w:tcPr>
            <w:tcW w:w="182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9"/>
              <w:ind w:right="3"/>
              <w:jc w:val="center"/>
              <w:rPr>
                <w:rFonts w:ascii="宋体" w:hAnsi="宋体" w:cs="宋体" w:eastAsia="宋体" w:hint="default"/>
                <w:sz w:val="15"/>
                <w:szCs w:val="15"/>
              </w:rPr>
            </w:pPr>
            <w:r>
              <w:rPr>
                <w:rFonts w:ascii="宋体" w:hAnsi="宋体" w:cs="宋体" w:eastAsia="宋体" w:hint="default"/>
                <w:sz w:val="15"/>
                <w:szCs w:val="15"/>
              </w:rPr>
              <w:t>项目</w:t>
            </w:r>
          </w:p>
        </w:tc>
        <w:tc>
          <w:tcPr>
            <w:tcW w:w="1144" w:type="dxa"/>
            <w:vMerge/>
            <w:tcBorders>
              <w:left w:val="single" w:sz="6" w:space="0" w:color="000000"/>
              <w:bottom w:val="nil" w:sz="6" w:space="0" w:color="auto"/>
              <w:right w:val="single" w:sz="6" w:space="0" w:color="000000"/>
            </w:tcBorders>
            <w:shd w:val="clear" w:color="auto" w:fill="D2D2D2"/>
          </w:tcPr>
          <w:p>
            <w:pP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6"/>
              <w:ind w:left="58" w:right="59"/>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6"/>
              <w:ind w:left="58"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1275"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5"/>
              <w:ind w:left="53" w:right="5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tcBorders>
              <w:left w:val="single" w:sz="6" w:space="0" w:color="000000"/>
              <w:bottom w:val="nil" w:sz="6" w:space="0" w:color="auto"/>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57" w:hRule="exact"/>
        </w:trPr>
        <w:tc>
          <w:tcPr>
            <w:tcW w:w="1826" w:type="dxa"/>
            <w:vMerge/>
            <w:tcBorders>
              <w:left w:val="single" w:sz="12" w:space="0" w:color="000000"/>
              <w:bottom w:val="nil" w:sz="6" w:space="0" w:color="auto"/>
              <w:right w:val="single" w:sz="6" w:space="0" w:color="000000"/>
            </w:tcBorders>
            <w:shd w:val="clear" w:color="auto" w:fill="D2D2D2"/>
          </w:tcPr>
          <w:p>
            <w:pPr/>
          </w:p>
        </w:tc>
        <w:tc>
          <w:tcPr>
            <w:tcW w:w="114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2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8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6"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26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3"/>
              <w:ind w:left="17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5" w:hRule="exact"/>
        </w:trPr>
        <w:tc>
          <w:tcPr>
            <w:tcW w:w="1826" w:type="dxa"/>
            <w:vMerge w:val="restart"/>
            <w:tcBorders>
              <w:top w:val="nil" w:sz="6" w:space="0" w:color="auto"/>
              <w:left w:val="single" w:sz="12" w:space="0" w:color="000000"/>
              <w:right w:val="single" w:sz="6" w:space="0" w:color="000000"/>
            </w:tcBorders>
            <w:shd w:val="clear" w:color="auto" w:fill="D2D2D2"/>
          </w:tcPr>
          <w:p>
            <w:pPr/>
          </w:p>
        </w:tc>
        <w:tc>
          <w:tcPr>
            <w:tcW w:w="1144"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5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1826" w:type="dxa"/>
            <w:vMerge/>
            <w:tcBorders>
              <w:left w:val="single" w:sz="12" w:space="0" w:color="000000"/>
              <w:right w:val="single" w:sz="6" w:space="0" w:color="000000"/>
            </w:tcBorders>
            <w:shd w:val="clear" w:color="auto" w:fill="D2D2D2"/>
          </w:tcPr>
          <w:p>
            <w:pPr/>
          </w:p>
        </w:tc>
        <w:tc>
          <w:tcPr>
            <w:tcW w:w="1144"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275"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12" w:space="0" w:color="000000"/>
            </w:tcBorders>
            <w:shd w:val="clear" w:color="auto" w:fill="D2D2D2"/>
          </w:tcPr>
          <w:p>
            <w:pPr/>
          </w:p>
        </w:tc>
      </w:tr>
      <w:tr>
        <w:trPr>
          <w:trHeight w:val="152" w:hRule="exact"/>
        </w:trPr>
        <w:tc>
          <w:tcPr>
            <w:tcW w:w="1826" w:type="dxa"/>
            <w:vMerge/>
            <w:tcBorders>
              <w:left w:val="single" w:sz="12" w:space="0" w:color="000000"/>
              <w:right w:val="single" w:sz="6" w:space="0" w:color="000000"/>
            </w:tcBorders>
            <w:shd w:val="clear" w:color="auto" w:fill="D2D2D2"/>
          </w:tcPr>
          <w:p>
            <w:pPr/>
          </w:p>
        </w:tc>
        <w:tc>
          <w:tcPr>
            <w:tcW w:w="1144"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72" w:hRule="exact"/>
        </w:trPr>
        <w:tc>
          <w:tcPr>
            <w:tcW w:w="1826" w:type="dxa"/>
            <w:vMerge/>
            <w:tcBorders>
              <w:left w:val="single" w:sz="12" w:space="0" w:color="000000"/>
              <w:bottom w:val="single" w:sz="6" w:space="0" w:color="000000"/>
              <w:right w:val="single" w:sz="6" w:space="0" w:color="000000"/>
            </w:tcBorders>
            <w:shd w:val="clear" w:color="auto" w:fill="D2D2D2"/>
          </w:tcPr>
          <w:p>
            <w:pPr/>
          </w:p>
        </w:tc>
        <w:tc>
          <w:tcPr>
            <w:tcW w:w="1144"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6" w:type="dxa"/>
            <w:tcBorders>
              <w:top w:val="nil" w:sz="6" w:space="0" w:color="auto"/>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12" w:space="0" w:color="000000"/>
            </w:tcBorders>
            <w:shd w:val="clear" w:color="auto" w:fill="D2D2D2"/>
          </w:tcPr>
          <w:p>
            <w:pP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4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3"/>
              <w:ind w:right="20"/>
              <w:jc w:val="right"/>
              <w:rPr>
                <w:rFonts w:ascii="宋体" w:hAnsi="宋体" w:cs="宋体" w:eastAsia="宋体" w:hint="default"/>
                <w:sz w:val="15"/>
                <w:szCs w:val="15"/>
              </w:rPr>
            </w:pPr>
            <w:r>
              <w:rPr>
                <w:rFonts w:ascii="宋体"/>
                <w:spacing w:val="-1"/>
                <w:sz w:val="15"/>
              </w:rPr>
              <w:t>166,121,848.00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1,019,461,467.55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95,452,000.00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21,281,039.35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104,297,698.76</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2"/>
              <w:jc w:val="right"/>
              <w:rPr>
                <w:rFonts w:ascii="宋体" w:hAnsi="宋体" w:cs="宋体" w:eastAsia="宋体" w:hint="default"/>
                <w:sz w:val="15"/>
                <w:szCs w:val="15"/>
              </w:rPr>
            </w:pPr>
            <w:r>
              <w:rPr>
                <w:rFonts w:ascii="宋体"/>
                <w:spacing w:val="-1"/>
                <w:sz w:val="15"/>
              </w:rPr>
              <w:t>1,215,710,053.66</w:t>
            </w:r>
          </w:p>
        </w:tc>
      </w:tr>
      <w:tr>
        <w:trPr>
          <w:trHeight w:val="32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295"/>
              <w:jc w:val="righ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right="295"/>
              <w:jc w:val="right"/>
              <w:rPr>
                <w:rFonts w:ascii="宋体" w:hAnsi="宋体" w:cs="宋体" w:eastAsia="宋体" w:hint="default"/>
                <w:sz w:val="15"/>
                <w:szCs w:val="15"/>
              </w:rPr>
            </w:pPr>
            <w:r>
              <w:rPr>
                <w:rFonts w:ascii="宋体" w:hAnsi="宋体" w:cs="宋体" w:eastAsia="宋体" w:hint="default"/>
                <w:sz w:val="15"/>
                <w:szCs w:val="15"/>
              </w:rPr>
              <w:t>前期差错更正</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288"/>
              <w:jc w:val="center"/>
              <w:rPr>
                <w:rFonts w:ascii="宋体" w:hAnsi="宋体" w:cs="宋体" w:eastAsia="宋体" w:hint="default"/>
                <w:sz w:val="15"/>
                <w:szCs w:val="15"/>
              </w:rPr>
            </w:pPr>
            <w:r>
              <w:rPr>
                <w:rFonts w:ascii="宋体" w:hAnsi="宋体" w:cs="宋体" w:eastAsia="宋体" w:hint="default"/>
                <w:sz w:val="15"/>
                <w:szCs w:val="15"/>
              </w:rPr>
              <w:t>其他</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4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3"/>
              <w:ind w:right="20"/>
              <w:jc w:val="right"/>
              <w:rPr>
                <w:rFonts w:ascii="宋体" w:hAnsi="宋体" w:cs="宋体" w:eastAsia="宋体" w:hint="default"/>
                <w:sz w:val="15"/>
                <w:szCs w:val="15"/>
              </w:rPr>
            </w:pPr>
            <w:r>
              <w:rPr>
                <w:rFonts w:ascii="宋体"/>
                <w:spacing w:val="-1"/>
                <w:sz w:val="15"/>
              </w:rPr>
              <w:t>166,121,848.00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1,019,461,467.55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95,452,000.00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21,281,039.35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104,297,698.76</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2"/>
              <w:jc w:val="right"/>
              <w:rPr>
                <w:rFonts w:ascii="宋体" w:hAnsi="宋体" w:cs="宋体" w:eastAsia="宋体" w:hint="default"/>
                <w:sz w:val="15"/>
                <w:szCs w:val="15"/>
              </w:rPr>
            </w:pPr>
            <w:r>
              <w:rPr>
                <w:rFonts w:ascii="宋体"/>
                <w:spacing w:val="-1"/>
                <w:sz w:val="15"/>
              </w:rPr>
              <w:t>1,215,710,053.66</w:t>
            </w:r>
          </w:p>
        </w:tc>
      </w:tr>
      <w:tr>
        <w:trPr>
          <w:trHeight w:val="640"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9"/>
              <w:jc w:val="left"/>
              <w:rPr>
                <w:rFonts w:ascii="宋体" w:hAnsi="宋体" w:cs="宋体" w:eastAsia="宋体" w:hint="default"/>
                <w:sz w:val="15"/>
                <w:szCs w:val="15"/>
              </w:rPr>
            </w:pPr>
            <w:r>
              <w:rPr>
                <w:rFonts w:ascii="宋体" w:hAnsi="宋体" w:cs="宋体" w:eastAsia="宋体" w:hint="default"/>
                <w:sz w:val="15"/>
                <w:szCs w:val="15"/>
              </w:rPr>
              <w:t>三、本期增减变动金额（减 少以“－”号填列）</w:t>
            </w:r>
          </w:p>
        </w:tc>
        <w:tc>
          <w:tcPr>
            <w:tcW w:w="114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248,727,772.00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-229,834,823.93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-41,336,560.00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-270,161,201.84</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-209,931,693.77</w:t>
            </w: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-265,266,346.40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1"/>
              <w:jc w:val="right"/>
              <w:rPr>
                <w:rFonts w:ascii="宋体" w:hAnsi="宋体" w:cs="宋体" w:eastAsia="宋体" w:hint="default"/>
                <w:sz w:val="15"/>
                <w:szCs w:val="15"/>
              </w:rPr>
            </w:pPr>
            <w:r>
              <w:rPr>
                <w:rFonts w:ascii="宋体"/>
                <w:spacing w:val="-1"/>
                <w:sz w:val="15"/>
              </w:rPr>
              <w:t>-265,266,346.40</w:t>
            </w:r>
          </w:p>
        </w:tc>
      </w:tr>
      <w:tr>
        <w:trPr>
          <w:trHeight w:val="640"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9"/>
              <w:jc w:val="left"/>
              <w:rPr>
                <w:rFonts w:ascii="宋体" w:hAnsi="宋体" w:cs="宋体" w:eastAsia="宋体" w:hint="default"/>
                <w:sz w:val="15"/>
                <w:szCs w:val="15"/>
              </w:rPr>
            </w:pPr>
            <w:r>
              <w:rPr>
                <w:rFonts w:ascii="宋体" w:hAnsi="宋体" w:cs="宋体" w:eastAsia="宋体" w:hint="default"/>
                <w:sz w:val="15"/>
                <w:szCs w:val="15"/>
              </w:rPr>
              <w:t>（二）所有者投入和减少资 本</w:t>
            </w:r>
          </w:p>
        </w:tc>
        <w:tc>
          <w:tcPr>
            <w:tcW w:w="114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-455,000.00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19,347,948.07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-41,336,560.00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60,229,508.07</w:t>
            </w: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14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-455,000.00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-3,090,360.00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-3,545,360.00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2"/>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 入资本</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2"/>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 益的金额</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3,851,730.38</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3,851,730.38</w:t>
            </w:r>
          </w:p>
        </w:tc>
      </w:tr>
      <w:tr>
        <w:trPr>
          <w:trHeight w:val="335" w:hRule="exact"/>
        </w:trPr>
        <w:tc>
          <w:tcPr>
            <w:tcW w:w="182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44" w:type="dxa"/>
            <w:tcBorders>
              <w:top w:val="single" w:sz="6" w:space="0" w:color="000000"/>
              <w:left w:val="single" w:sz="14" w:space="0" w:color="D2D2D2"/>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18,586,577.69</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-37,791,200.00</w:t>
            </w:r>
          </w:p>
        </w:tc>
        <w:tc>
          <w:tcPr>
            <w:tcW w:w="42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11"/>
              <w:jc w:val="right"/>
              <w:rPr>
                <w:rFonts w:ascii="宋体" w:hAnsi="宋体" w:cs="宋体" w:eastAsia="宋体" w:hint="default"/>
                <w:sz w:val="15"/>
                <w:szCs w:val="15"/>
              </w:rPr>
            </w:pPr>
            <w:r>
              <w:rPr>
                <w:rFonts w:ascii="宋体"/>
                <w:spacing w:val="-1"/>
                <w:sz w:val="15"/>
              </w:rPr>
              <w:t>56,377,777.69</w:t>
            </w:r>
          </w:p>
        </w:tc>
      </w:tr>
    </w:tbl>
    <w:p>
      <w:pPr>
        <w:spacing w:after="0" w:line="240" w:lineRule="auto"/>
        <w:jc w:val="right"/>
        <w:rPr>
          <w:rFonts w:ascii="宋体" w:hAnsi="宋体" w:cs="宋体" w:eastAsia="宋体" w:hint="default"/>
          <w:sz w:val="15"/>
          <w:szCs w:val="15"/>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345" w:type="dxa"/>
        <w:tblLayout w:type="fixed"/>
        <w:tblCellMar>
          <w:top w:w="0" w:type="dxa"/>
          <w:left w:w="0" w:type="dxa"/>
          <w:bottom w:w="0" w:type="dxa"/>
          <w:right w:w="0" w:type="dxa"/>
        </w:tblCellMar>
        <w:tblLook w:val="01E0"/>
      </w:tblPr>
      <w:tblGrid>
        <w:gridCol w:w="1826"/>
        <w:gridCol w:w="1144"/>
        <w:gridCol w:w="284"/>
        <w:gridCol w:w="283"/>
        <w:gridCol w:w="426"/>
        <w:gridCol w:w="1275"/>
        <w:gridCol w:w="1134"/>
        <w:gridCol w:w="426"/>
        <w:gridCol w:w="425"/>
        <w:gridCol w:w="1134"/>
        <w:gridCol w:w="1417"/>
        <w:gridCol w:w="1418"/>
      </w:tblGrid>
      <w:tr>
        <w:trPr>
          <w:trHeight w:val="334" w:hRule="exact"/>
        </w:trPr>
        <w:tc>
          <w:tcPr>
            <w:tcW w:w="1826" w:type="dxa"/>
            <w:vMerge w:val="restart"/>
            <w:tcBorders>
              <w:top w:val="single" w:sz="12" w:space="0" w:color="000000"/>
              <w:left w:val="single" w:sz="12" w:space="0" w:color="000000"/>
              <w:right w:val="single" w:sz="6" w:space="0" w:color="000000"/>
            </w:tcBorders>
            <w:shd w:val="clear" w:color="auto" w:fill="D2D2D2"/>
          </w:tcPr>
          <w:p>
            <w:pPr/>
          </w:p>
        </w:tc>
        <w:tc>
          <w:tcPr>
            <w:tcW w:w="9367"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7"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172" w:hRule="exact"/>
        </w:trPr>
        <w:tc>
          <w:tcPr>
            <w:tcW w:w="1826" w:type="dxa"/>
            <w:vMerge/>
            <w:tcBorders>
              <w:left w:val="single" w:sz="12" w:space="0" w:color="000000"/>
              <w:right w:val="single" w:sz="6" w:space="0" w:color="000000"/>
            </w:tcBorders>
            <w:shd w:val="clear" w:color="auto" w:fill="D2D2D2"/>
          </w:tcPr>
          <w:p>
            <w:pPr/>
          </w:p>
        </w:tc>
        <w:tc>
          <w:tcPr>
            <w:tcW w:w="1144" w:type="dxa"/>
            <w:vMerge w:val="restart"/>
            <w:tcBorders>
              <w:top w:val="single" w:sz="6" w:space="0" w:color="000000"/>
              <w:left w:val="single" w:sz="6" w:space="0" w:color="000000"/>
              <w:right w:val="single" w:sz="6" w:space="0" w:color="000000"/>
            </w:tcBorders>
            <w:shd w:val="clear" w:color="auto" w:fill="D2D2D2"/>
          </w:tcPr>
          <w:p>
            <w:pPr/>
          </w:p>
        </w:tc>
        <w:tc>
          <w:tcPr>
            <w:tcW w:w="994"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3"/>
              <w:ind w:left="3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5"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6" w:type="dxa"/>
            <w:tcBorders>
              <w:top w:val="single" w:sz="6" w:space="0" w:color="000000"/>
              <w:left w:val="single" w:sz="6" w:space="0" w:color="000000"/>
              <w:bottom w:val="nil" w:sz="6" w:space="0" w:color="auto"/>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FFFFFF"/>
            </w:tcBorders>
            <w:shd w:val="clear" w:color="auto" w:fill="D2D2D2"/>
          </w:tcPr>
          <w:p>
            <w:pPr/>
          </w:p>
        </w:tc>
        <w:tc>
          <w:tcPr>
            <w:tcW w:w="1417" w:type="dxa"/>
            <w:vMerge w:val="restart"/>
            <w:tcBorders>
              <w:top w:val="single" w:sz="6" w:space="0" w:color="000000"/>
              <w:left w:val="single" w:sz="6" w:space="0" w:color="FFFFFF"/>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12" w:space="0" w:color="000000"/>
            </w:tcBorders>
            <w:shd w:val="clear" w:color="auto" w:fill="D2D2D2"/>
          </w:tcPr>
          <w:p>
            <w:pPr/>
          </w:p>
        </w:tc>
      </w:tr>
      <w:tr>
        <w:trPr>
          <w:trHeight w:val="151" w:hRule="exact"/>
        </w:trPr>
        <w:tc>
          <w:tcPr>
            <w:tcW w:w="1826" w:type="dxa"/>
            <w:vMerge/>
            <w:tcBorders>
              <w:left w:val="single" w:sz="12" w:space="0" w:color="000000"/>
              <w:bottom w:val="nil" w:sz="6" w:space="0" w:color="auto"/>
              <w:right w:val="single" w:sz="6" w:space="0" w:color="000000"/>
            </w:tcBorders>
            <w:shd w:val="clear" w:color="auto" w:fill="D2D2D2"/>
          </w:tcPr>
          <w:p>
            <w:pPr/>
          </w:p>
        </w:tc>
        <w:tc>
          <w:tcPr>
            <w:tcW w:w="1144" w:type="dxa"/>
            <w:vMerge/>
            <w:tcBorders>
              <w:left w:val="single" w:sz="6" w:space="0" w:color="000000"/>
              <w:right w:val="single" w:sz="6" w:space="0" w:color="000000"/>
            </w:tcBorders>
            <w:shd w:val="clear" w:color="auto" w:fill="D2D2D2"/>
          </w:tcPr>
          <w:p>
            <w:pPr/>
          </w:p>
        </w:tc>
        <w:tc>
          <w:tcPr>
            <w:tcW w:w="994" w:type="dxa"/>
            <w:gridSpan w:val="3"/>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3"/>
              <w:ind w:left="55" w:right="54"/>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25"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FFFFFF"/>
            </w:tcBorders>
            <w:shd w:val="clear" w:color="auto" w:fill="D2D2D2"/>
          </w:tcPr>
          <w:p>
            <w:pPr/>
          </w:p>
        </w:tc>
        <w:tc>
          <w:tcPr>
            <w:tcW w:w="1417" w:type="dxa"/>
            <w:vMerge/>
            <w:tcBorders>
              <w:left w:val="single" w:sz="6" w:space="0" w:color="FFFFFF"/>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58" w:hRule="exact"/>
        </w:trPr>
        <w:tc>
          <w:tcPr>
            <w:tcW w:w="182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9"/>
              <w:ind w:right="3"/>
              <w:jc w:val="center"/>
              <w:rPr>
                <w:rFonts w:ascii="宋体" w:hAnsi="宋体" w:cs="宋体" w:eastAsia="宋体" w:hint="default"/>
                <w:sz w:val="15"/>
                <w:szCs w:val="15"/>
              </w:rPr>
            </w:pPr>
            <w:r>
              <w:rPr>
                <w:rFonts w:ascii="宋体" w:hAnsi="宋体" w:cs="宋体" w:eastAsia="宋体" w:hint="default"/>
                <w:sz w:val="15"/>
                <w:szCs w:val="15"/>
              </w:rPr>
              <w:t>项目</w:t>
            </w:r>
          </w:p>
        </w:tc>
        <w:tc>
          <w:tcPr>
            <w:tcW w:w="1144" w:type="dxa"/>
            <w:vMerge/>
            <w:tcBorders>
              <w:left w:val="single" w:sz="6" w:space="0" w:color="000000"/>
              <w:bottom w:val="nil" w:sz="6" w:space="0" w:color="auto"/>
              <w:right w:val="single" w:sz="6" w:space="0" w:color="000000"/>
            </w:tcBorders>
            <w:shd w:val="clear" w:color="auto" w:fill="D2D2D2"/>
          </w:tcPr>
          <w:p>
            <w:pPr/>
          </w:p>
        </w:tc>
        <w:tc>
          <w:tcPr>
            <w:tcW w:w="284"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6"/>
              <w:ind w:left="58" w:right="59"/>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6"/>
              <w:ind w:left="58"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1275"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6"/>
              <w:ind w:left="53" w:right="5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tcBorders>
              <w:left w:val="single" w:sz="6" w:space="0" w:color="000000"/>
              <w:bottom w:val="nil" w:sz="6" w:space="0" w:color="auto"/>
              <w:right w:val="single" w:sz="6" w:space="0" w:color="FFFFFF"/>
            </w:tcBorders>
            <w:shd w:val="clear" w:color="auto" w:fill="D2D2D2"/>
          </w:tcPr>
          <w:p>
            <w:pPr/>
          </w:p>
        </w:tc>
        <w:tc>
          <w:tcPr>
            <w:tcW w:w="1417" w:type="dxa"/>
            <w:vMerge/>
            <w:tcBorders>
              <w:left w:val="single" w:sz="6" w:space="0" w:color="FFFFFF"/>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55" w:hRule="exact"/>
        </w:trPr>
        <w:tc>
          <w:tcPr>
            <w:tcW w:w="1826" w:type="dxa"/>
            <w:vMerge/>
            <w:tcBorders>
              <w:left w:val="single" w:sz="12" w:space="0" w:color="000000"/>
              <w:bottom w:val="nil" w:sz="6" w:space="0" w:color="auto"/>
              <w:right w:val="single" w:sz="6" w:space="0" w:color="000000"/>
            </w:tcBorders>
            <w:shd w:val="clear" w:color="auto" w:fill="D2D2D2"/>
          </w:tcPr>
          <w:p>
            <w:pPr/>
          </w:p>
        </w:tc>
        <w:tc>
          <w:tcPr>
            <w:tcW w:w="114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2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8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6"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FFFFFF"/>
            </w:tcBorders>
            <w:shd w:val="clear" w:color="auto" w:fill="D2D2D2"/>
          </w:tcPr>
          <w:p>
            <w:pPr>
              <w:pStyle w:val="TableParagraph"/>
              <w:spacing w:line="240" w:lineRule="auto" w:before="33"/>
              <w:ind w:left="26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7" w:type="dxa"/>
            <w:vMerge w:val="restart"/>
            <w:tcBorders>
              <w:top w:val="nil" w:sz="6" w:space="0" w:color="auto"/>
              <w:left w:val="single" w:sz="6" w:space="0" w:color="FFFFFF"/>
              <w:right w:val="single" w:sz="6" w:space="0" w:color="000000"/>
            </w:tcBorders>
            <w:shd w:val="clear" w:color="auto" w:fill="D2D2D2"/>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3"/>
              <w:ind w:left="17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7" w:hRule="exact"/>
        </w:trPr>
        <w:tc>
          <w:tcPr>
            <w:tcW w:w="1826" w:type="dxa"/>
            <w:vMerge w:val="restart"/>
            <w:tcBorders>
              <w:top w:val="nil" w:sz="6" w:space="0" w:color="auto"/>
              <w:left w:val="single" w:sz="12" w:space="0" w:color="000000"/>
              <w:right w:val="single" w:sz="6" w:space="0" w:color="000000"/>
            </w:tcBorders>
            <w:shd w:val="clear" w:color="auto" w:fill="D2D2D2"/>
          </w:tcPr>
          <w:p>
            <w:pPr/>
          </w:p>
        </w:tc>
        <w:tc>
          <w:tcPr>
            <w:tcW w:w="1144"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5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FFFFFF"/>
            </w:tcBorders>
            <w:shd w:val="clear" w:color="auto" w:fill="D2D2D2"/>
          </w:tcPr>
          <w:p>
            <w:pPr/>
          </w:p>
        </w:tc>
        <w:tc>
          <w:tcPr>
            <w:tcW w:w="1417" w:type="dxa"/>
            <w:vMerge/>
            <w:tcBorders>
              <w:left w:val="single" w:sz="6" w:space="0" w:color="FFFFFF"/>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1826" w:type="dxa"/>
            <w:vMerge/>
            <w:tcBorders>
              <w:left w:val="single" w:sz="12" w:space="0" w:color="000000"/>
              <w:right w:val="single" w:sz="6" w:space="0" w:color="000000"/>
            </w:tcBorders>
            <w:shd w:val="clear" w:color="auto" w:fill="D2D2D2"/>
          </w:tcPr>
          <w:p>
            <w:pPr/>
          </w:p>
        </w:tc>
        <w:tc>
          <w:tcPr>
            <w:tcW w:w="1144"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275"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6"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FFFFFF"/>
            </w:tcBorders>
            <w:shd w:val="clear" w:color="auto" w:fill="D2D2D2"/>
          </w:tcPr>
          <w:p>
            <w:pPr/>
          </w:p>
        </w:tc>
        <w:tc>
          <w:tcPr>
            <w:tcW w:w="1417" w:type="dxa"/>
            <w:vMerge w:val="restart"/>
            <w:tcBorders>
              <w:top w:val="nil" w:sz="6" w:space="0" w:color="auto"/>
              <w:left w:val="single" w:sz="6" w:space="0" w:color="FFFFFF"/>
              <w:right w:val="single" w:sz="6" w:space="0" w:color="000000"/>
            </w:tcBorders>
            <w:shd w:val="clear" w:color="auto" w:fill="D2D2D2"/>
          </w:tcPr>
          <w:p>
            <w:pPr/>
          </w:p>
        </w:tc>
        <w:tc>
          <w:tcPr>
            <w:tcW w:w="1418" w:type="dxa"/>
            <w:vMerge w:val="restart"/>
            <w:tcBorders>
              <w:top w:val="nil" w:sz="6" w:space="0" w:color="auto"/>
              <w:left w:val="single" w:sz="6" w:space="0" w:color="000000"/>
              <w:right w:val="single" w:sz="12" w:space="0" w:color="000000"/>
            </w:tcBorders>
            <w:shd w:val="clear" w:color="auto" w:fill="D2D2D2"/>
          </w:tcPr>
          <w:p>
            <w:pPr/>
          </w:p>
        </w:tc>
      </w:tr>
      <w:tr>
        <w:trPr>
          <w:trHeight w:val="153" w:hRule="exact"/>
        </w:trPr>
        <w:tc>
          <w:tcPr>
            <w:tcW w:w="1826" w:type="dxa"/>
            <w:vMerge/>
            <w:tcBorders>
              <w:left w:val="single" w:sz="12" w:space="0" w:color="000000"/>
              <w:right w:val="single" w:sz="6" w:space="0" w:color="000000"/>
            </w:tcBorders>
            <w:shd w:val="clear" w:color="auto" w:fill="D2D2D2"/>
          </w:tcPr>
          <w:p>
            <w:pPr/>
          </w:p>
        </w:tc>
        <w:tc>
          <w:tcPr>
            <w:tcW w:w="1144"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275"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FFFFFF"/>
            </w:tcBorders>
            <w:shd w:val="clear" w:color="auto" w:fill="D2D2D2"/>
          </w:tcPr>
          <w:p>
            <w:pPr/>
          </w:p>
        </w:tc>
        <w:tc>
          <w:tcPr>
            <w:tcW w:w="1417" w:type="dxa"/>
            <w:vMerge/>
            <w:tcBorders>
              <w:left w:val="single" w:sz="6" w:space="0" w:color="FFFFFF"/>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70" w:hRule="exact"/>
        </w:trPr>
        <w:tc>
          <w:tcPr>
            <w:tcW w:w="1826" w:type="dxa"/>
            <w:vMerge/>
            <w:tcBorders>
              <w:left w:val="single" w:sz="12" w:space="0" w:color="000000"/>
              <w:bottom w:val="single" w:sz="6" w:space="0" w:color="000000"/>
              <w:right w:val="single" w:sz="6" w:space="0" w:color="000000"/>
            </w:tcBorders>
            <w:shd w:val="clear" w:color="auto" w:fill="D2D2D2"/>
          </w:tcPr>
          <w:p>
            <w:pPr/>
          </w:p>
        </w:tc>
        <w:tc>
          <w:tcPr>
            <w:tcW w:w="1144" w:type="dxa"/>
            <w:vMerge/>
            <w:tcBorders>
              <w:left w:val="single" w:sz="6" w:space="0" w:color="000000"/>
              <w:bottom w:val="single" w:sz="6" w:space="0" w:color="000000"/>
              <w:right w:val="single" w:sz="6" w:space="0" w:color="000000"/>
            </w:tcBorders>
            <w:shd w:val="clear" w:color="auto" w:fill="D2D2D2"/>
          </w:tcPr>
          <w:p>
            <w:pPr/>
          </w:p>
        </w:tc>
        <w:tc>
          <w:tcPr>
            <w:tcW w:w="284"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6" w:type="dxa"/>
            <w:tcBorders>
              <w:top w:val="nil" w:sz="6" w:space="0" w:color="auto"/>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FFFFFF"/>
            </w:tcBorders>
            <w:shd w:val="clear" w:color="auto" w:fill="D2D2D2"/>
          </w:tcPr>
          <w:p>
            <w:pPr/>
          </w:p>
        </w:tc>
        <w:tc>
          <w:tcPr>
            <w:tcW w:w="1417" w:type="dxa"/>
            <w:vMerge/>
            <w:tcBorders>
              <w:left w:val="single" w:sz="6" w:space="0" w:color="FFFFFF"/>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12" w:space="0" w:color="000000"/>
            </w:tcBorders>
            <w:shd w:val="clear" w:color="auto" w:fill="D2D2D2"/>
          </w:tcPr>
          <w:p>
            <w:pP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-4,894,855.44</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1"/>
              <w:jc w:val="right"/>
              <w:rPr>
                <w:rFonts w:ascii="宋体" w:hAnsi="宋体" w:cs="宋体" w:eastAsia="宋体" w:hint="default"/>
                <w:sz w:val="15"/>
                <w:szCs w:val="15"/>
              </w:rPr>
            </w:pPr>
            <w:r>
              <w:rPr>
                <w:rFonts w:ascii="宋体"/>
                <w:spacing w:val="-1"/>
                <w:sz w:val="15"/>
              </w:rPr>
              <w:t>-4,894,855.44</w:t>
            </w:r>
          </w:p>
        </w:tc>
      </w:tr>
      <w:tr>
        <w:trPr>
          <w:trHeight w:val="32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11"/>
              <w:jc w:val="right"/>
              <w:rPr>
                <w:rFonts w:ascii="宋体" w:hAnsi="宋体" w:cs="宋体" w:eastAsia="宋体" w:hint="default"/>
                <w:sz w:val="15"/>
                <w:szCs w:val="15"/>
              </w:rPr>
            </w:pPr>
            <w:r>
              <w:rPr>
                <w:rFonts w:ascii="宋体"/>
                <w:spacing w:val="-1"/>
                <w:sz w:val="15"/>
              </w:rPr>
              <w:t>0.00</w:t>
            </w:r>
          </w:p>
        </w:tc>
      </w:tr>
      <w:tr>
        <w:trPr>
          <w:trHeight w:val="63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2"/>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 分配</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-4,894,855.44</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5"/>
                <w:szCs w:val="15"/>
              </w:rPr>
            </w:pPr>
            <w:r>
              <w:rPr>
                <w:rFonts w:ascii="宋体"/>
                <w:spacing w:val="-1"/>
                <w:sz w:val="15"/>
              </w:rPr>
              <w:t>-4,894,855.44</w:t>
            </w:r>
          </w:p>
        </w:tc>
      </w:tr>
      <w:tr>
        <w:trPr>
          <w:trHeight w:val="32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4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3"/>
              <w:ind w:left="25" w:right="0"/>
              <w:jc w:val="center"/>
              <w:rPr>
                <w:rFonts w:ascii="宋体" w:hAnsi="宋体" w:cs="宋体" w:eastAsia="宋体" w:hint="default"/>
                <w:sz w:val="15"/>
                <w:szCs w:val="15"/>
              </w:rPr>
            </w:pPr>
            <w:r>
              <w:rPr>
                <w:rFonts w:ascii="宋体"/>
                <w:sz w:val="15"/>
              </w:rPr>
              <w:t>249,182,772.00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-249,182,772.00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2"/>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 股本）</w:t>
            </w:r>
          </w:p>
        </w:tc>
        <w:tc>
          <w:tcPr>
            <w:tcW w:w="114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 w:right="0"/>
              <w:jc w:val="center"/>
              <w:rPr>
                <w:rFonts w:ascii="宋体" w:hAnsi="宋体" w:cs="宋体" w:eastAsia="宋体" w:hint="default"/>
                <w:sz w:val="15"/>
                <w:szCs w:val="15"/>
              </w:rPr>
            </w:pPr>
            <w:r>
              <w:rPr>
                <w:rFonts w:ascii="宋体"/>
                <w:sz w:val="15"/>
              </w:rPr>
              <w:t>249,182,772.00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-249,182,772.00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2"/>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 股本）</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44" w:type="dxa"/>
            <w:tcBorders>
              <w:top w:val="single" w:sz="6" w:space="0" w:color="000000"/>
              <w:left w:val="single" w:sz="14"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FFFFFF"/>
            </w:tcBorders>
          </w:tcPr>
          <w:p>
            <w:pPr/>
          </w:p>
        </w:tc>
        <w:tc>
          <w:tcPr>
            <w:tcW w:w="1417" w:type="dxa"/>
            <w:tcBorders>
              <w:top w:val="single" w:sz="6" w:space="0" w:color="000000"/>
              <w:left w:val="single" w:sz="6" w:space="0" w:color="FFFFFF"/>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36" w:hRule="exact"/>
        </w:trPr>
        <w:tc>
          <w:tcPr>
            <w:tcW w:w="182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44"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35"/>
              <w:ind w:left="25" w:right="0"/>
              <w:jc w:val="center"/>
              <w:rPr>
                <w:rFonts w:ascii="宋体" w:hAnsi="宋体" w:cs="宋体" w:eastAsia="宋体" w:hint="default"/>
                <w:sz w:val="15"/>
                <w:szCs w:val="15"/>
              </w:rPr>
            </w:pPr>
            <w:r>
              <w:rPr>
                <w:rFonts w:ascii="宋体"/>
                <w:sz w:val="15"/>
              </w:rPr>
              <w:t>414,849,620.00</w:t>
            </w: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789,626,643.62</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23" w:right="0"/>
              <w:jc w:val="left"/>
              <w:rPr>
                <w:rFonts w:ascii="宋体" w:hAnsi="宋体" w:cs="宋体" w:eastAsia="宋体" w:hint="default"/>
                <w:sz w:val="15"/>
                <w:szCs w:val="15"/>
              </w:rPr>
            </w:pPr>
            <w:r>
              <w:rPr>
                <w:rFonts w:ascii="宋体"/>
                <w:sz w:val="15"/>
              </w:rPr>
              <w:t>54,115,440.00</w:t>
            </w:r>
          </w:p>
        </w:tc>
        <w:tc>
          <w:tcPr>
            <w:tcW w:w="426"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FFFFFF"/>
            </w:tcBorders>
          </w:tcPr>
          <w:p>
            <w:pPr>
              <w:pStyle w:val="TableParagraph"/>
              <w:spacing w:line="240" w:lineRule="auto" w:before="35"/>
              <w:ind w:left="124" w:right="0"/>
              <w:jc w:val="left"/>
              <w:rPr>
                <w:rFonts w:ascii="宋体" w:hAnsi="宋体" w:cs="宋体" w:eastAsia="宋体" w:hint="default"/>
                <w:sz w:val="15"/>
                <w:szCs w:val="15"/>
              </w:rPr>
            </w:pPr>
            <w:r>
              <w:rPr>
                <w:rFonts w:ascii="宋体"/>
                <w:sz w:val="15"/>
              </w:rPr>
              <w:t>21,281,039.35</w:t>
            </w:r>
          </w:p>
        </w:tc>
        <w:tc>
          <w:tcPr>
            <w:tcW w:w="1417" w:type="dxa"/>
            <w:tcBorders>
              <w:top w:val="single" w:sz="6" w:space="0" w:color="000000"/>
              <w:left w:val="single" w:sz="6" w:space="0" w:color="FFFFFF"/>
              <w:bottom w:val="single" w:sz="12" w:space="0" w:color="000000"/>
              <w:right w:val="single" w:sz="6" w:space="0" w:color="000000"/>
            </w:tcBorders>
          </w:tcPr>
          <w:p>
            <w:pPr>
              <w:pStyle w:val="TableParagraph"/>
              <w:spacing w:line="240" w:lineRule="auto" w:before="35"/>
              <w:ind w:right="18"/>
              <w:jc w:val="right"/>
              <w:rPr>
                <w:rFonts w:ascii="宋体" w:hAnsi="宋体" w:cs="宋体" w:eastAsia="宋体" w:hint="default"/>
                <w:sz w:val="15"/>
                <w:szCs w:val="15"/>
              </w:rPr>
            </w:pPr>
            <w:r>
              <w:rPr>
                <w:rFonts w:ascii="宋体"/>
                <w:spacing w:val="-1"/>
                <w:sz w:val="15"/>
              </w:rPr>
              <w:t>-165,863,503.08</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12"/>
              <w:jc w:val="right"/>
              <w:rPr>
                <w:rFonts w:ascii="宋体" w:hAnsi="宋体" w:cs="宋体" w:eastAsia="宋体" w:hint="default"/>
                <w:sz w:val="15"/>
                <w:szCs w:val="15"/>
              </w:rPr>
            </w:pPr>
            <w:r>
              <w:rPr>
                <w:rFonts w:ascii="宋体"/>
                <w:spacing w:val="-1"/>
                <w:sz w:val="15"/>
              </w:rPr>
              <w:t>1,005,778,359.89</w:t>
            </w:r>
          </w:p>
        </w:tc>
      </w:tr>
    </w:tbl>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747" w:footer="1000" w:top="1040" w:bottom="1180" w:left="0" w:right="0"/>
        </w:sectPr>
      </w:pPr>
    </w:p>
    <w:p>
      <w:pPr>
        <w:pStyle w:val="BodyText"/>
        <w:spacing w:line="240" w:lineRule="auto" w:before="35"/>
        <w:ind w:left="1134" w:right="-20"/>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1975" w:space="6945"/>
            <w:col w:w="2990"/>
          </w:cols>
        </w:sectPr>
      </w:pPr>
    </w:p>
    <w:p>
      <w:pPr>
        <w:spacing w:line="240" w:lineRule="auto" w:before="1"/>
        <w:rPr>
          <w:rFonts w:ascii="宋体" w:hAnsi="宋体" w:cs="宋体" w:eastAsia="宋体" w:hint="default"/>
          <w:sz w:val="8"/>
          <w:szCs w:val="8"/>
        </w:rPr>
      </w:pPr>
    </w:p>
    <w:tbl>
      <w:tblPr>
        <w:tblW w:w="0" w:type="auto"/>
        <w:jc w:val="left"/>
        <w:tblInd w:w="343" w:type="dxa"/>
        <w:tblLayout w:type="fixed"/>
        <w:tblCellMar>
          <w:top w:w="0" w:type="dxa"/>
          <w:left w:w="0" w:type="dxa"/>
          <w:bottom w:w="0" w:type="dxa"/>
          <w:right w:w="0" w:type="dxa"/>
        </w:tblCellMar>
        <w:tblLook w:val="01E0"/>
      </w:tblPr>
      <w:tblGrid>
        <w:gridCol w:w="1828"/>
        <w:gridCol w:w="1145"/>
        <w:gridCol w:w="283"/>
        <w:gridCol w:w="283"/>
        <w:gridCol w:w="426"/>
        <w:gridCol w:w="1276"/>
        <w:gridCol w:w="1134"/>
        <w:gridCol w:w="425"/>
        <w:gridCol w:w="425"/>
        <w:gridCol w:w="1134"/>
        <w:gridCol w:w="1277"/>
        <w:gridCol w:w="1559"/>
      </w:tblGrid>
      <w:tr>
        <w:trPr>
          <w:trHeight w:val="334" w:hRule="exact"/>
        </w:trPr>
        <w:tc>
          <w:tcPr>
            <w:tcW w:w="1828" w:type="dxa"/>
            <w:vMerge w:val="restart"/>
            <w:tcBorders>
              <w:top w:val="single" w:sz="12" w:space="0" w:color="000000"/>
              <w:left w:val="single" w:sz="12" w:space="0" w:color="000000"/>
              <w:right w:val="single" w:sz="6" w:space="0" w:color="000000"/>
            </w:tcBorders>
            <w:shd w:val="clear" w:color="auto" w:fill="D2D2D2"/>
          </w:tcPr>
          <w:p>
            <w:pPr/>
          </w:p>
        </w:tc>
        <w:tc>
          <w:tcPr>
            <w:tcW w:w="9367"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6"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170" w:hRule="exact"/>
        </w:trPr>
        <w:tc>
          <w:tcPr>
            <w:tcW w:w="1828" w:type="dxa"/>
            <w:vMerge/>
            <w:tcBorders>
              <w:left w:val="single" w:sz="12" w:space="0" w:color="000000"/>
              <w:right w:val="single" w:sz="6" w:space="0" w:color="000000"/>
            </w:tcBorders>
            <w:shd w:val="clear" w:color="auto" w:fill="D2D2D2"/>
          </w:tcPr>
          <w:p>
            <w:pPr/>
          </w:p>
        </w:tc>
        <w:tc>
          <w:tcPr>
            <w:tcW w:w="1145" w:type="dxa"/>
            <w:vMerge w:val="restart"/>
            <w:tcBorders>
              <w:top w:val="single" w:sz="6" w:space="0" w:color="000000"/>
              <w:left w:val="single" w:sz="6" w:space="0" w:color="000000"/>
              <w:right w:val="single" w:sz="6" w:space="0" w:color="000000"/>
            </w:tcBorders>
            <w:shd w:val="clear" w:color="auto" w:fill="D2D2D2"/>
          </w:tcPr>
          <w:p>
            <w:pPr/>
          </w:p>
        </w:tc>
        <w:tc>
          <w:tcPr>
            <w:tcW w:w="99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3"/>
              <w:ind w:left="3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559" w:type="dxa"/>
            <w:vMerge w:val="restart"/>
            <w:tcBorders>
              <w:top w:val="single" w:sz="6" w:space="0" w:color="000000"/>
              <w:left w:val="single" w:sz="6" w:space="0" w:color="000000"/>
              <w:right w:val="single" w:sz="12" w:space="0" w:color="000000"/>
            </w:tcBorders>
            <w:shd w:val="clear" w:color="auto" w:fill="D2D2D2"/>
          </w:tcPr>
          <w:p>
            <w:pPr/>
          </w:p>
        </w:tc>
      </w:tr>
      <w:tr>
        <w:trPr>
          <w:trHeight w:val="153" w:hRule="exact"/>
        </w:trPr>
        <w:tc>
          <w:tcPr>
            <w:tcW w:w="1828" w:type="dxa"/>
            <w:vMerge/>
            <w:tcBorders>
              <w:left w:val="single" w:sz="12" w:space="0" w:color="000000"/>
              <w:bottom w:val="nil" w:sz="6" w:space="0" w:color="auto"/>
              <w:right w:val="single" w:sz="6" w:space="0" w:color="000000"/>
            </w:tcBorders>
            <w:shd w:val="clear" w:color="auto" w:fill="D2D2D2"/>
          </w:tcPr>
          <w:p>
            <w:pPr/>
          </w:p>
        </w:tc>
        <w:tc>
          <w:tcPr>
            <w:tcW w:w="1145" w:type="dxa"/>
            <w:vMerge/>
            <w:tcBorders>
              <w:left w:val="single" w:sz="6" w:space="0" w:color="000000"/>
              <w:right w:val="single" w:sz="6" w:space="0" w:color="000000"/>
            </w:tcBorders>
            <w:shd w:val="clear" w:color="auto" w:fill="D2D2D2"/>
          </w:tcPr>
          <w:p>
            <w:pPr/>
          </w:p>
        </w:tc>
        <w:tc>
          <w:tcPr>
            <w:tcW w:w="992"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3"/>
              <w:ind w:left="53" w:right="54"/>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25"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right w:val="single" w:sz="12" w:space="0" w:color="000000"/>
            </w:tcBorders>
            <w:shd w:val="clear" w:color="auto" w:fill="D2D2D2"/>
          </w:tcPr>
          <w:p>
            <w:pPr/>
          </w:p>
        </w:tc>
      </w:tr>
      <w:tr>
        <w:trPr>
          <w:trHeight w:val="158" w:hRule="exact"/>
        </w:trPr>
        <w:tc>
          <w:tcPr>
            <w:tcW w:w="1828"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9"/>
              <w:ind w:left="-1" w:right="2"/>
              <w:jc w:val="center"/>
              <w:rPr>
                <w:rFonts w:ascii="宋体" w:hAnsi="宋体" w:cs="宋体" w:eastAsia="宋体" w:hint="default"/>
                <w:sz w:val="15"/>
                <w:szCs w:val="15"/>
              </w:rPr>
            </w:pPr>
            <w:r>
              <w:rPr>
                <w:rFonts w:ascii="宋体" w:hAnsi="宋体" w:cs="宋体" w:eastAsia="宋体" w:hint="default"/>
                <w:sz w:val="15"/>
                <w:szCs w:val="15"/>
              </w:rPr>
              <w:t>项目</w:t>
            </w:r>
          </w:p>
        </w:tc>
        <w:tc>
          <w:tcPr>
            <w:tcW w:w="1145" w:type="dxa"/>
            <w:vMerge/>
            <w:tcBorders>
              <w:left w:val="single" w:sz="6" w:space="0" w:color="000000"/>
              <w:bottom w:val="nil" w:sz="6" w:space="0" w:color="auto"/>
              <w:right w:val="single" w:sz="6" w:space="0" w:color="000000"/>
            </w:tcBorders>
            <w:shd w:val="clear" w:color="auto" w:fill="D2D2D2"/>
          </w:tcPr>
          <w:p>
            <w:pP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6"/>
              <w:ind w:left="58" w:right="59"/>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6"/>
              <w:ind w:left="58"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5"/>
              <w:ind w:left="53" w:right="5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559" w:type="dxa"/>
            <w:vMerge/>
            <w:tcBorders>
              <w:left w:val="single" w:sz="6" w:space="0" w:color="000000"/>
              <w:bottom w:val="nil" w:sz="6" w:space="0" w:color="auto"/>
              <w:right w:val="single" w:sz="12" w:space="0" w:color="000000"/>
            </w:tcBorders>
            <w:shd w:val="clear" w:color="auto" w:fill="D2D2D2"/>
          </w:tcPr>
          <w:p>
            <w:pPr/>
          </w:p>
        </w:tc>
      </w:tr>
      <w:tr>
        <w:trPr>
          <w:trHeight w:val="157" w:hRule="exact"/>
        </w:trPr>
        <w:tc>
          <w:tcPr>
            <w:tcW w:w="1828" w:type="dxa"/>
            <w:vMerge/>
            <w:tcBorders>
              <w:left w:val="single" w:sz="12" w:space="0" w:color="000000"/>
              <w:bottom w:val="nil" w:sz="6" w:space="0" w:color="auto"/>
              <w:right w:val="single" w:sz="6" w:space="0" w:color="000000"/>
            </w:tcBorders>
            <w:shd w:val="clear" w:color="auto" w:fill="D2D2D2"/>
          </w:tcPr>
          <w:p>
            <w:pPr/>
          </w:p>
        </w:tc>
        <w:tc>
          <w:tcPr>
            <w:tcW w:w="114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8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26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5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3"/>
              <w:ind w:left="24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5" w:hRule="exact"/>
        </w:trPr>
        <w:tc>
          <w:tcPr>
            <w:tcW w:w="1828" w:type="dxa"/>
            <w:vMerge w:val="restart"/>
            <w:tcBorders>
              <w:top w:val="nil" w:sz="6" w:space="0" w:color="auto"/>
              <w:left w:val="single" w:sz="12" w:space="0" w:color="000000"/>
              <w:right w:val="single" w:sz="6" w:space="0" w:color="000000"/>
            </w:tcBorders>
            <w:shd w:val="clear" w:color="auto" w:fill="D2D2D2"/>
          </w:tcPr>
          <w:p>
            <w:pPr/>
          </w:p>
        </w:tc>
        <w:tc>
          <w:tcPr>
            <w:tcW w:w="1145"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5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559"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1828" w:type="dxa"/>
            <w:vMerge/>
            <w:tcBorders>
              <w:left w:val="single" w:sz="12" w:space="0" w:color="000000"/>
              <w:right w:val="single" w:sz="6" w:space="0" w:color="000000"/>
            </w:tcBorders>
            <w:shd w:val="clear" w:color="auto" w:fill="D2D2D2"/>
          </w:tcPr>
          <w:p>
            <w:pPr/>
          </w:p>
        </w:tc>
        <w:tc>
          <w:tcPr>
            <w:tcW w:w="1145" w:type="dxa"/>
            <w:vMerge w:val="restart"/>
            <w:tcBorders>
              <w:top w:val="nil" w:sz="6" w:space="0" w:color="auto"/>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1559" w:type="dxa"/>
            <w:vMerge w:val="restart"/>
            <w:tcBorders>
              <w:top w:val="nil" w:sz="6" w:space="0" w:color="auto"/>
              <w:left w:val="single" w:sz="6" w:space="0" w:color="000000"/>
              <w:right w:val="single" w:sz="12" w:space="0" w:color="000000"/>
            </w:tcBorders>
            <w:shd w:val="clear" w:color="auto" w:fill="D2D2D2"/>
          </w:tcPr>
          <w:p>
            <w:pPr/>
          </w:p>
        </w:tc>
      </w:tr>
      <w:tr>
        <w:trPr>
          <w:trHeight w:val="152" w:hRule="exact"/>
        </w:trPr>
        <w:tc>
          <w:tcPr>
            <w:tcW w:w="1828" w:type="dxa"/>
            <w:vMerge/>
            <w:tcBorders>
              <w:left w:val="single" w:sz="12" w:space="0" w:color="000000"/>
              <w:right w:val="single" w:sz="6" w:space="0" w:color="000000"/>
            </w:tcBorders>
            <w:shd w:val="clear" w:color="auto" w:fill="D2D2D2"/>
          </w:tcPr>
          <w:p>
            <w:pPr/>
          </w:p>
        </w:tc>
        <w:tc>
          <w:tcPr>
            <w:tcW w:w="114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right w:val="single" w:sz="12" w:space="0" w:color="000000"/>
            </w:tcBorders>
            <w:shd w:val="clear" w:color="auto" w:fill="D2D2D2"/>
          </w:tcPr>
          <w:p>
            <w:pPr/>
          </w:p>
        </w:tc>
      </w:tr>
      <w:tr>
        <w:trPr>
          <w:trHeight w:val="172" w:hRule="exact"/>
        </w:trPr>
        <w:tc>
          <w:tcPr>
            <w:tcW w:w="1828" w:type="dxa"/>
            <w:vMerge/>
            <w:tcBorders>
              <w:left w:val="single" w:sz="12" w:space="0" w:color="000000"/>
              <w:bottom w:val="single" w:sz="6" w:space="0" w:color="000000"/>
              <w:right w:val="single" w:sz="6" w:space="0" w:color="000000"/>
            </w:tcBorders>
            <w:shd w:val="clear" w:color="auto" w:fill="D2D2D2"/>
          </w:tcPr>
          <w:p>
            <w:pPr/>
          </w:p>
        </w:tc>
        <w:tc>
          <w:tcPr>
            <w:tcW w:w="1145"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tcBorders>
              <w:top w:val="nil" w:sz="6" w:space="0" w:color="auto"/>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12" w:space="0" w:color="000000"/>
            </w:tcBorders>
            <w:shd w:val="clear" w:color="auto" w:fill="D2D2D2"/>
          </w:tcPr>
          <w:p>
            <w:pP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45"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3"/>
              <w:ind w:right="20"/>
              <w:jc w:val="right"/>
              <w:rPr>
                <w:rFonts w:ascii="宋体" w:hAnsi="宋体" w:cs="宋体" w:eastAsia="宋体" w:hint="default"/>
                <w:sz w:val="15"/>
                <w:szCs w:val="15"/>
              </w:rPr>
            </w:pPr>
            <w:r>
              <w:rPr>
                <w:rFonts w:ascii="宋体"/>
                <w:spacing w:val="-1"/>
                <w:sz w:val="15"/>
              </w:rPr>
              <w:t>161,221,848.00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919,207,813.92</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20,423,426.70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7"/>
              <w:jc w:val="right"/>
              <w:rPr>
                <w:rFonts w:ascii="宋体" w:hAnsi="宋体" w:cs="宋体" w:eastAsia="宋体" w:hint="default"/>
                <w:sz w:val="15"/>
                <w:szCs w:val="15"/>
              </w:rPr>
            </w:pPr>
            <w:r>
              <w:rPr>
                <w:rFonts w:ascii="宋体"/>
                <w:spacing w:val="-1"/>
                <w:sz w:val="15"/>
              </w:rPr>
              <w:t>99,803,621.91</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2"/>
              <w:jc w:val="right"/>
              <w:rPr>
                <w:rFonts w:ascii="宋体" w:hAnsi="宋体" w:cs="宋体" w:eastAsia="宋体" w:hint="default"/>
                <w:sz w:val="15"/>
                <w:szCs w:val="15"/>
              </w:rPr>
            </w:pPr>
            <w:r>
              <w:rPr>
                <w:rFonts w:ascii="宋体"/>
                <w:spacing w:val="-1"/>
                <w:sz w:val="15"/>
              </w:rPr>
              <w:t>1,200,656,710.53</w:t>
            </w:r>
          </w:p>
        </w:tc>
      </w:tr>
      <w:tr>
        <w:trPr>
          <w:trHeight w:val="32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297"/>
              <w:jc w:val="right"/>
              <w:rPr>
                <w:rFonts w:ascii="宋体" w:hAnsi="宋体" w:cs="宋体" w:eastAsia="宋体" w:hint="default"/>
                <w:sz w:val="15"/>
                <w:szCs w:val="15"/>
              </w:rPr>
            </w:pPr>
            <w:r>
              <w:rPr>
                <w:rFonts w:ascii="宋体" w:hAnsi="宋体" w:cs="宋体" w:eastAsia="宋体" w:hint="default"/>
                <w:sz w:val="15"/>
                <w:szCs w:val="15"/>
              </w:rPr>
              <w:t>加：会计政策变更</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right="297"/>
              <w:jc w:val="right"/>
              <w:rPr>
                <w:rFonts w:ascii="宋体" w:hAnsi="宋体" w:cs="宋体" w:eastAsia="宋体" w:hint="default"/>
                <w:sz w:val="15"/>
                <w:szCs w:val="15"/>
              </w:rPr>
            </w:pPr>
            <w:r>
              <w:rPr>
                <w:rFonts w:ascii="宋体" w:hAnsi="宋体" w:cs="宋体" w:eastAsia="宋体" w:hint="default"/>
                <w:sz w:val="15"/>
                <w:szCs w:val="15"/>
              </w:rPr>
              <w:t>前期差错更正</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290"/>
              <w:jc w:val="center"/>
              <w:rPr>
                <w:rFonts w:ascii="宋体" w:hAnsi="宋体" w:cs="宋体" w:eastAsia="宋体" w:hint="default"/>
                <w:sz w:val="15"/>
                <w:szCs w:val="15"/>
              </w:rPr>
            </w:pPr>
            <w:r>
              <w:rPr>
                <w:rFonts w:ascii="宋体" w:hAnsi="宋体" w:cs="宋体" w:eastAsia="宋体" w:hint="default"/>
                <w:sz w:val="15"/>
                <w:szCs w:val="15"/>
              </w:rPr>
              <w:t>其他</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45"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3"/>
              <w:ind w:right="20"/>
              <w:jc w:val="right"/>
              <w:rPr>
                <w:rFonts w:ascii="宋体" w:hAnsi="宋体" w:cs="宋体" w:eastAsia="宋体" w:hint="default"/>
                <w:sz w:val="15"/>
                <w:szCs w:val="15"/>
              </w:rPr>
            </w:pPr>
            <w:r>
              <w:rPr>
                <w:rFonts w:ascii="宋体"/>
                <w:spacing w:val="-1"/>
                <w:sz w:val="15"/>
              </w:rPr>
              <w:t>161,221,848.00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919,207,813.92</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20,423,426.70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7"/>
              <w:jc w:val="right"/>
              <w:rPr>
                <w:rFonts w:ascii="宋体" w:hAnsi="宋体" w:cs="宋体" w:eastAsia="宋体" w:hint="default"/>
                <w:sz w:val="15"/>
                <w:szCs w:val="15"/>
              </w:rPr>
            </w:pPr>
            <w:r>
              <w:rPr>
                <w:rFonts w:ascii="宋体"/>
                <w:spacing w:val="-1"/>
                <w:sz w:val="15"/>
              </w:rPr>
              <w:t>99,803,621.91</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2"/>
              <w:jc w:val="right"/>
              <w:rPr>
                <w:rFonts w:ascii="宋体" w:hAnsi="宋体" w:cs="宋体" w:eastAsia="宋体" w:hint="default"/>
                <w:sz w:val="15"/>
                <w:szCs w:val="15"/>
              </w:rPr>
            </w:pPr>
            <w:r>
              <w:rPr>
                <w:rFonts w:ascii="宋体"/>
                <w:spacing w:val="-1"/>
                <w:sz w:val="15"/>
              </w:rPr>
              <w:t>1,200,656,710.53</w:t>
            </w:r>
          </w:p>
        </w:tc>
      </w:tr>
      <w:tr>
        <w:trPr>
          <w:trHeight w:val="640"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9"/>
              <w:jc w:val="left"/>
              <w:rPr>
                <w:rFonts w:ascii="宋体" w:hAnsi="宋体" w:cs="宋体" w:eastAsia="宋体" w:hint="default"/>
                <w:sz w:val="15"/>
                <w:szCs w:val="15"/>
              </w:rPr>
            </w:pPr>
            <w:r>
              <w:rPr>
                <w:rFonts w:ascii="宋体" w:hAnsi="宋体" w:cs="宋体" w:eastAsia="宋体" w:hint="default"/>
                <w:sz w:val="15"/>
                <w:szCs w:val="15"/>
              </w:rPr>
              <w:t>三、本期增减变动金额（减 少以“－”号填列）</w:t>
            </w:r>
          </w:p>
        </w:tc>
        <w:tc>
          <w:tcPr>
            <w:tcW w:w="1145"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4,900,000.00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100,253,653.63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95,452,000.00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857,612.65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4,494,076.85</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15,053,343.13</w:t>
            </w: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7"/>
              <w:jc w:val="right"/>
              <w:rPr>
                <w:rFonts w:ascii="宋体" w:hAnsi="宋体" w:cs="宋体" w:eastAsia="宋体" w:hint="default"/>
                <w:sz w:val="15"/>
                <w:szCs w:val="15"/>
              </w:rPr>
            </w:pPr>
            <w:r>
              <w:rPr>
                <w:rFonts w:ascii="宋体"/>
                <w:spacing w:val="-1"/>
                <w:sz w:val="15"/>
              </w:rPr>
              <w:t>8,576,126.46</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0"/>
              <w:jc w:val="right"/>
              <w:rPr>
                <w:rFonts w:ascii="宋体" w:hAnsi="宋体" w:cs="宋体" w:eastAsia="宋体" w:hint="default"/>
                <w:sz w:val="15"/>
                <w:szCs w:val="15"/>
              </w:rPr>
            </w:pPr>
            <w:r>
              <w:rPr>
                <w:rFonts w:ascii="宋体"/>
                <w:spacing w:val="-1"/>
                <w:sz w:val="15"/>
              </w:rPr>
              <w:t>8,576,126.46</w:t>
            </w:r>
          </w:p>
        </w:tc>
      </w:tr>
      <w:tr>
        <w:trPr>
          <w:trHeight w:val="640"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9"/>
              <w:jc w:val="left"/>
              <w:rPr>
                <w:rFonts w:ascii="宋体" w:hAnsi="宋体" w:cs="宋体" w:eastAsia="宋体" w:hint="default"/>
                <w:sz w:val="15"/>
                <w:szCs w:val="15"/>
              </w:rPr>
            </w:pPr>
            <w:r>
              <w:rPr>
                <w:rFonts w:ascii="宋体" w:hAnsi="宋体" w:cs="宋体" w:eastAsia="宋体" w:hint="default"/>
                <w:sz w:val="15"/>
                <w:szCs w:val="15"/>
              </w:rPr>
              <w:t>（二）所有者投入和减少资 本</w:t>
            </w:r>
          </w:p>
        </w:tc>
        <w:tc>
          <w:tcPr>
            <w:tcW w:w="1145"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4,900,000.00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100,253,653.63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95,452,000.00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9,701,653.63</w:t>
            </w: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145"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4,900,000.00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90,552,000.00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95,452,000.00</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7" w:hRule="exact"/>
        </w:trPr>
        <w:tc>
          <w:tcPr>
            <w:tcW w:w="182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81" w:lineRule="auto" w:before="35"/>
              <w:ind w:left="6" w:right="72"/>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 入资本</w:t>
            </w:r>
          </w:p>
        </w:tc>
        <w:tc>
          <w:tcPr>
            <w:tcW w:w="1145" w:type="dxa"/>
            <w:tcBorders>
              <w:top w:val="single" w:sz="6" w:space="0" w:color="000000"/>
              <w:left w:val="single" w:sz="14" w:space="0" w:color="D2D2D2"/>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343" w:type="dxa"/>
        <w:tblLayout w:type="fixed"/>
        <w:tblCellMar>
          <w:top w:w="0" w:type="dxa"/>
          <w:left w:w="0" w:type="dxa"/>
          <w:bottom w:w="0" w:type="dxa"/>
          <w:right w:w="0" w:type="dxa"/>
        </w:tblCellMar>
        <w:tblLook w:val="01E0"/>
      </w:tblPr>
      <w:tblGrid>
        <w:gridCol w:w="1828"/>
        <w:gridCol w:w="1145"/>
        <w:gridCol w:w="283"/>
        <w:gridCol w:w="283"/>
        <w:gridCol w:w="426"/>
        <w:gridCol w:w="1276"/>
        <w:gridCol w:w="1134"/>
        <w:gridCol w:w="425"/>
        <w:gridCol w:w="425"/>
        <w:gridCol w:w="1134"/>
        <w:gridCol w:w="1277"/>
        <w:gridCol w:w="1559"/>
      </w:tblGrid>
      <w:tr>
        <w:trPr>
          <w:trHeight w:val="334" w:hRule="exact"/>
        </w:trPr>
        <w:tc>
          <w:tcPr>
            <w:tcW w:w="1828" w:type="dxa"/>
            <w:vMerge w:val="restart"/>
            <w:tcBorders>
              <w:top w:val="single" w:sz="12" w:space="0" w:color="000000"/>
              <w:left w:val="single" w:sz="12" w:space="0" w:color="000000"/>
              <w:right w:val="single" w:sz="6" w:space="0" w:color="000000"/>
            </w:tcBorders>
            <w:shd w:val="clear" w:color="auto" w:fill="D2D2D2"/>
          </w:tcPr>
          <w:p>
            <w:pPr/>
          </w:p>
        </w:tc>
        <w:tc>
          <w:tcPr>
            <w:tcW w:w="9367"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3"/>
              <w:ind w:left="16"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172" w:hRule="exact"/>
        </w:trPr>
        <w:tc>
          <w:tcPr>
            <w:tcW w:w="1828" w:type="dxa"/>
            <w:vMerge/>
            <w:tcBorders>
              <w:left w:val="single" w:sz="12" w:space="0" w:color="000000"/>
              <w:right w:val="single" w:sz="6" w:space="0" w:color="000000"/>
            </w:tcBorders>
            <w:shd w:val="clear" w:color="auto" w:fill="D2D2D2"/>
          </w:tcPr>
          <w:p>
            <w:pPr/>
          </w:p>
        </w:tc>
        <w:tc>
          <w:tcPr>
            <w:tcW w:w="1145" w:type="dxa"/>
            <w:vMerge w:val="restart"/>
            <w:tcBorders>
              <w:top w:val="single" w:sz="6" w:space="0" w:color="000000"/>
              <w:left w:val="single" w:sz="6" w:space="0" w:color="000000"/>
              <w:right w:val="single" w:sz="6" w:space="0" w:color="000000"/>
            </w:tcBorders>
            <w:shd w:val="clear" w:color="auto" w:fill="D2D2D2"/>
          </w:tcPr>
          <w:p>
            <w:pPr/>
          </w:p>
        </w:tc>
        <w:tc>
          <w:tcPr>
            <w:tcW w:w="99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3"/>
              <w:ind w:left="3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6"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559" w:type="dxa"/>
            <w:vMerge w:val="restart"/>
            <w:tcBorders>
              <w:top w:val="single" w:sz="6" w:space="0" w:color="000000"/>
              <w:left w:val="single" w:sz="6" w:space="0" w:color="000000"/>
              <w:right w:val="single" w:sz="12" w:space="0" w:color="000000"/>
            </w:tcBorders>
            <w:shd w:val="clear" w:color="auto" w:fill="D2D2D2"/>
          </w:tcPr>
          <w:p>
            <w:pPr/>
          </w:p>
        </w:tc>
      </w:tr>
      <w:tr>
        <w:trPr>
          <w:trHeight w:val="151" w:hRule="exact"/>
        </w:trPr>
        <w:tc>
          <w:tcPr>
            <w:tcW w:w="1828" w:type="dxa"/>
            <w:vMerge/>
            <w:tcBorders>
              <w:left w:val="single" w:sz="12" w:space="0" w:color="000000"/>
              <w:bottom w:val="nil" w:sz="6" w:space="0" w:color="auto"/>
              <w:right w:val="single" w:sz="6" w:space="0" w:color="000000"/>
            </w:tcBorders>
            <w:shd w:val="clear" w:color="auto" w:fill="D2D2D2"/>
          </w:tcPr>
          <w:p>
            <w:pPr/>
          </w:p>
        </w:tc>
        <w:tc>
          <w:tcPr>
            <w:tcW w:w="1145" w:type="dxa"/>
            <w:vMerge/>
            <w:tcBorders>
              <w:left w:val="single" w:sz="6" w:space="0" w:color="000000"/>
              <w:right w:val="single" w:sz="6" w:space="0" w:color="000000"/>
            </w:tcBorders>
            <w:shd w:val="clear" w:color="auto" w:fill="D2D2D2"/>
          </w:tcPr>
          <w:p>
            <w:pPr/>
          </w:p>
        </w:tc>
        <w:tc>
          <w:tcPr>
            <w:tcW w:w="992" w:type="dxa"/>
            <w:gridSpan w:val="3"/>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3"/>
              <w:ind w:left="53" w:right="54"/>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425"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right w:val="single" w:sz="12" w:space="0" w:color="000000"/>
            </w:tcBorders>
            <w:shd w:val="clear" w:color="auto" w:fill="D2D2D2"/>
          </w:tcPr>
          <w:p>
            <w:pPr/>
          </w:p>
        </w:tc>
      </w:tr>
      <w:tr>
        <w:trPr>
          <w:trHeight w:val="158" w:hRule="exact"/>
        </w:trPr>
        <w:tc>
          <w:tcPr>
            <w:tcW w:w="1828"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9"/>
              <w:ind w:left="-1" w:right="2"/>
              <w:jc w:val="center"/>
              <w:rPr>
                <w:rFonts w:ascii="宋体" w:hAnsi="宋体" w:cs="宋体" w:eastAsia="宋体" w:hint="default"/>
                <w:sz w:val="15"/>
                <w:szCs w:val="15"/>
              </w:rPr>
            </w:pPr>
            <w:r>
              <w:rPr>
                <w:rFonts w:ascii="宋体" w:hAnsi="宋体" w:cs="宋体" w:eastAsia="宋体" w:hint="default"/>
                <w:sz w:val="15"/>
                <w:szCs w:val="15"/>
              </w:rPr>
              <w:t>项目</w:t>
            </w:r>
          </w:p>
        </w:tc>
        <w:tc>
          <w:tcPr>
            <w:tcW w:w="1145" w:type="dxa"/>
            <w:vMerge/>
            <w:tcBorders>
              <w:left w:val="single" w:sz="6" w:space="0" w:color="000000"/>
              <w:bottom w:val="nil" w:sz="6" w:space="0" w:color="auto"/>
              <w:right w:val="single" w:sz="6" w:space="0" w:color="000000"/>
            </w:tcBorders>
            <w:shd w:val="clear" w:color="auto" w:fill="D2D2D2"/>
          </w:tcPr>
          <w:p>
            <w:pP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6"/>
              <w:ind w:left="58" w:right="59"/>
              <w:jc w:val="both"/>
              <w:rPr>
                <w:rFonts w:ascii="宋体" w:hAnsi="宋体" w:cs="宋体" w:eastAsia="宋体" w:hint="default"/>
                <w:sz w:val="15"/>
                <w:szCs w:val="15"/>
              </w:rPr>
            </w:pPr>
            <w:r>
              <w:rPr>
                <w:rFonts w:ascii="宋体" w:hAnsi="宋体" w:cs="宋体" w:eastAsia="宋体" w:hint="default"/>
                <w:sz w:val="15"/>
                <w:szCs w:val="15"/>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81" w:lineRule="auto" w:before="36"/>
              <w:ind w:left="58" w:right="59"/>
              <w:jc w:val="both"/>
              <w:rPr>
                <w:rFonts w:ascii="宋体" w:hAnsi="宋体" w:cs="宋体" w:eastAsia="宋体" w:hint="default"/>
                <w:sz w:val="15"/>
                <w:szCs w:val="15"/>
              </w:rPr>
            </w:pPr>
            <w:r>
              <w:rPr>
                <w:rFonts w:ascii="宋体" w:hAnsi="宋体" w:cs="宋体" w:eastAsia="宋体" w:hint="default"/>
                <w:sz w:val="15"/>
                <w:szCs w:val="15"/>
              </w:rPr>
              <w:t>永 续 债</w:t>
            </w:r>
          </w:p>
        </w:tc>
        <w:tc>
          <w:tcPr>
            <w:tcW w:w="426" w:type="dxa"/>
            <w:vMerge w:val="restart"/>
            <w:tcBorders>
              <w:top w:val="single" w:sz="6" w:space="0" w:color="000000"/>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81" w:lineRule="auto" w:before="36"/>
              <w:ind w:left="53" w:right="5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134"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559" w:type="dxa"/>
            <w:vMerge/>
            <w:tcBorders>
              <w:left w:val="single" w:sz="6" w:space="0" w:color="000000"/>
              <w:bottom w:val="nil" w:sz="6" w:space="0" w:color="auto"/>
              <w:right w:val="single" w:sz="12" w:space="0" w:color="000000"/>
            </w:tcBorders>
            <w:shd w:val="clear" w:color="auto" w:fill="D2D2D2"/>
          </w:tcPr>
          <w:p>
            <w:pPr/>
          </w:p>
        </w:tc>
      </w:tr>
      <w:tr>
        <w:trPr>
          <w:trHeight w:val="155" w:hRule="exact"/>
        </w:trPr>
        <w:tc>
          <w:tcPr>
            <w:tcW w:w="1828" w:type="dxa"/>
            <w:vMerge/>
            <w:tcBorders>
              <w:left w:val="single" w:sz="12" w:space="0" w:color="000000"/>
              <w:bottom w:val="nil" w:sz="6" w:space="0" w:color="auto"/>
              <w:right w:val="single" w:sz="6" w:space="0" w:color="000000"/>
            </w:tcBorders>
            <w:shd w:val="clear" w:color="auto" w:fill="D2D2D2"/>
          </w:tcPr>
          <w:p>
            <w:pPr/>
          </w:p>
        </w:tc>
        <w:tc>
          <w:tcPr>
            <w:tcW w:w="114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33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18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26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3"/>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5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3"/>
              <w:ind w:left="24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57" w:hRule="exact"/>
        </w:trPr>
        <w:tc>
          <w:tcPr>
            <w:tcW w:w="1828" w:type="dxa"/>
            <w:vMerge w:val="restart"/>
            <w:tcBorders>
              <w:top w:val="nil" w:sz="6" w:space="0" w:color="auto"/>
              <w:left w:val="single" w:sz="12" w:space="0" w:color="000000"/>
              <w:right w:val="single" w:sz="6" w:space="0" w:color="000000"/>
            </w:tcBorders>
            <w:shd w:val="clear" w:color="auto" w:fill="D2D2D2"/>
          </w:tcPr>
          <w:p>
            <w:pPr/>
          </w:p>
        </w:tc>
        <w:tc>
          <w:tcPr>
            <w:tcW w:w="1145"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1"/>
              <w:ind w:left="5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6"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559" w:type="dxa"/>
            <w:vMerge/>
            <w:tcBorders>
              <w:left w:val="single" w:sz="6" w:space="0" w:color="000000"/>
              <w:bottom w:val="nil" w:sz="6" w:space="0" w:color="auto"/>
              <w:right w:val="single" w:sz="12" w:space="0" w:color="000000"/>
            </w:tcBorders>
            <w:shd w:val="clear" w:color="auto" w:fill="D2D2D2"/>
          </w:tcPr>
          <w:p>
            <w:pPr/>
          </w:p>
        </w:tc>
      </w:tr>
      <w:tr>
        <w:trPr>
          <w:trHeight w:val="160" w:hRule="exact"/>
        </w:trPr>
        <w:tc>
          <w:tcPr>
            <w:tcW w:w="1828" w:type="dxa"/>
            <w:vMerge/>
            <w:tcBorders>
              <w:left w:val="single" w:sz="12" w:space="0" w:color="000000"/>
              <w:right w:val="single" w:sz="6" w:space="0" w:color="000000"/>
            </w:tcBorders>
            <w:shd w:val="clear" w:color="auto" w:fill="D2D2D2"/>
          </w:tcPr>
          <w:p>
            <w:pPr/>
          </w:p>
        </w:tc>
        <w:tc>
          <w:tcPr>
            <w:tcW w:w="1145" w:type="dxa"/>
            <w:vMerge w:val="restart"/>
            <w:tcBorders>
              <w:top w:val="nil" w:sz="6" w:space="0" w:color="auto"/>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1559" w:type="dxa"/>
            <w:vMerge w:val="restart"/>
            <w:tcBorders>
              <w:top w:val="nil" w:sz="6" w:space="0" w:color="auto"/>
              <w:left w:val="single" w:sz="6" w:space="0" w:color="000000"/>
              <w:right w:val="single" w:sz="12" w:space="0" w:color="000000"/>
            </w:tcBorders>
            <w:shd w:val="clear" w:color="auto" w:fill="D2D2D2"/>
          </w:tcPr>
          <w:p>
            <w:pPr/>
          </w:p>
        </w:tc>
      </w:tr>
      <w:tr>
        <w:trPr>
          <w:trHeight w:val="153" w:hRule="exact"/>
        </w:trPr>
        <w:tc>
          <w:tcPr>
            <w:tcW w:w="1828" w:type="dxa"/>
            <w:vMerge/>
            <w:tcBorders>
              <w:left w:val="single" w:sz="12" w:space="0" w:color="000000"/>
              <w:right w:val="single" w:sz="6" w:space="0" w:color="000000"/>
            </w:tcBorders>
            <w:shd w:val="clear" w:color="auto" w:fill="D2D2D2"/>
          </w:tcPr>
          <w:p>
            <w:pPr/>
          </w:p>
        </w:tc>
        <w:tc>
          <w:tcPr>
            <w:tcW w:w="114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426"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right w:val="single" w:sz="12" w:space="0" w:color="000000"/>
            </w:tcBorders>
            <w:shd w:val="clear" w:color="auto" w:fill="D2D2D2"/>
          </w:tcPr>
          <w:p>
            <w:pPr/>
          </w:p>
        </w:tc>
      </w:tr>
      <w:tr>
        <w:trPr>
          <w:trHeight w:val="170" w:hRule="exact"/>
        </w:trPr>
        <w:tc>
          <w:tcPr>
            <w:tcW w:w="1828" w:type="dxa"/>
            <w:vMerge/>
            <w:tcBorders>
              <w:left w:val="single" w:sz="12" w:space="0" w:color="000000"/>
              <w:bottom w:val="single" w:sz="6" w:space="0" w:color="000000"/>
              <w:right w:val="single" w:sz="6" w:space="0" w:color="000000"/>
            </w:tcBorders>
            <w:shd w:val="clear" w:color="auto" w:fill="D2D2D2"/>
          </w:tcPr>
          <w:p>
            <w:pPr/>
          </w:p>
        </w:tc>
        <w:tc>
          <w:tcPr>
            <w:tcW w:w="1145"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426"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425" w:type="dxa"/>
            <w:tcBorders>
              <w:top w:val="nil" w:sz="6" w:space="0" w:color="auto"/>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12" w:space="0" w:color="000000"/>
            </w:tcBorders>
            <w:shd w:val="clear" w:color="auto" w:fill="D2D2D2"/>
          </w:tcPr>
          <w:p>
            <w:pPr/>
          </w:p>
        </w:tc>
      </w:tr>
      <w:tr>
        <w:trPr>
          <w:trHeight w:val="63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2"/>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 益的金额</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9,701,653.63</w:t>
            </w: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9,701,653.63</w:t>
            </w:r>
          </w:p>
        </w:tc>
      </w:tr>
      <w:tr>
        <w:trPr>
          <w:trHeight w:val="32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857,612.65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7"/>
              <w:jc w:val="right"/>
              <w:rPr>
                <w:rFonts w:ascii="宋体" w:hAnsi="宋体" w:cs="宋体" w:eastAsia="宋体" w:hint="default"/>
                <w:sz w:val="15"/>
                <w:szCs w:val="15"/>
              </w:rPr>
            </w:pPr>
            <w:r>
              <w:rPr>
                <w:rFonts w:ascii="宋体"/>
                <w:spacing w:val="-1"/>
                <w:sz w:val="15"/>
              </w:rPr>
              <w:t>-4,082,049.61</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0"/>
              <w:jc w:val="right"/>
              <w:rPr>
                <w:rFonts w:ascii="宋体" w:hAnsi="宋体" w:cs="宋体" w:eastAsia="宋体" w:hint="default"/>
                <w:sz w:val="15"/>
                <w:szCs w:val="15"/>
              </w:rPr>
            </w:pPr>
            <w:r>
              <w:rPr>
                <w:rFonts w:ascii="宋体"/>
                <w:spacing w:val="-1"/>
                <w:sz w:val="15"/>
              </w:rPr>
              <w:t>-3,224,436.96</w:t>
            </w:r>
          </w:p>
        </w:tc>
      </w:tr>
      <w:tr>
        <w:trPr>
          <w:trHeight w:val="32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8"/>
              <w:jc w:val="right"/>
              <w:rPr>
                <w:rFonts w:ascii="宋体" w:hAnsi="宋体" w:cs="宋体" w:eastAsia="宋体" w:hint="default"/>
                <w:sz w:val="15"/>
                <w:szCs w:val="15"/>
              </w:rPr>
            </w:pPr>
            <w:r>
              <w:rPr>
                <w:rFonts w:ascii="宋体"/>
                <w:spacing w:val="-1"/>
                <w:sz w:val="15"/>
              </w:rPr>
              <w:t>857,612.65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7"/>
              <w:jc w:val="right"/>
              <w:rPr>
                <w:rFonts w:ascii="宋体" w:hAnsi="宋体" w:cs="宋体" w:eastAsia="宋体" w:hint="default"/>
                <w:sz w:val="15"/>
                <w:szCs w:val="15"/>
              </w:rPr>
            </w:pPr>
            <w:r>
              <w:rPr>
                <w:rFonts w:ascii="宋体"/>
                <w:spacing w:val="-1"/>
                <w:sz w:val="15"/>
              </w:rPr>
              <w:t>-857,612.65</w:t>
            </w: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2"/>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 分配</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-3,224,436.96</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5"/>
                <w:szCs w:val="15"/>
              </w:rPr>
            </w:pPr>
            <w:r>
              <w:rPr>
                <w:rFonts w:ascii="宋体"/>
                <w:spacing w:val="-1"/>
                <w:sz w:val="15"/>
              </w:rPr>
              <w:t>-3,224,436.96</w:t>
            </w:r>
          </w:p>
        </w:tc>
      </w:tr>
      <w:tr>
        <w:trPr>
          <w:trHeight w:val="32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5"/>
              <w:ind w:left="6" w:right="72"/>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 股本）</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81" w:lineRule="auto" w:before="33"/>
              <w:ind w:left="6" w:right="72"/>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 股本）</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7"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2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3"/>
              <w:ind w:left="6"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45"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182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45"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35"/>
              <w:ind w:left="47" w:right="0"/>
              <w:jc w:val="left"/>
              <w:rPr>
                <w:rFonts w:ascii="宋体" w:hAnsi="宋体" w:cs="宋体" w:eastAsia="宋体" w:hint="default"/>
                <w:sz w:val="15"/>
                <w:szCs w:val="15"/>
              </w:rPr>
            </w:pPr>
            <w:r>
              <w:rPr>
                <w:rFonts w:ascii="宋体"/>
                <w:sz w:val="15"/>
              </w:rPr>
              <w:t>166,121,848.00</w:t>
            </w: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1,019,461,467.55</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23" w:right="0"/>
              <w:jc w:val="left"/>
              <w:rPr>
                <w:rFonts w:ascii="宋体" w:hAnsi="宋体" w:cs="宋体" w:eastAsia="宋体" w:hint="default"/>
                <w:sz w:val="15"/>
                <w:szCs w:val="15"/>
              </w:rPr>
            </w:pPr>
            <w:r>
              <w:rPr>
                <w:rFonts w:ascii="宋体"/>
                <w:sz w:val="15"/>
              </w:rPr>
              <w:t>95,452,000.00</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21,281,039.35</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7"/>
              <w:jc w:val="right"/>
              <w:rPr>
                <w:rFonts w:ascii="宋体" w:hAnsi="宋体" w:cs="宋体" w:eastAsia="宋体" w:hint="default"/>
                <w:sz w:val="15"/>
                <w:szCs w:val="15"/>
              </w:rPr>
            </w:pPr>
            <w:r>
              <w:rPr>
                <w:rFonts w:ascii="宋体"/>
                <w:spacing w:val="-1"/>
                <w:sz w:val="15"/>
              </w:rPr>
              <w:t>104,297,698.76</w:t>
            </w:r>
          </w:p>
        </w:tc>
        <w:tc>
          <w:tcPr>
            <w:tcW w:w="15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12"/>
              <w:jc w:val="right"/>
              <w:rPr>
                <w:rFonts w:ascii="宋体" w:hAnsi="宋体" w:cs="宋体" w:eastAsia="宋体" w:hint="default"/>
                <w:sz w:val="15"/>
                <w:szCs w:val="15"/>
              </w:rPr>
            </w:pPr>
            <w:r>
              <w:rPr>
                <w:rFonts w:ascii="宋体"/>
                <w:spacing w:val="-1"/>
                <w:sz w:val="15"/>
              </w:rPr>
              <w:t>1,215,710,053.66</w:t>
            </w:r>
          </w:p>
        </w:tc>
      </w:tr>
    </w:tbl>
    <w:p>
      <w:pPr>
        <w:spacing w:line="240" w:lineRule="auto" w:before="0"/>
        <w:rPr>
          <w:rFonts w:ascii="宋体" w:hAnsi="宋体" w:cs="宋体" w:eastAsia="宋体" w:hint="default"/>
          <w:sz w:val="20"/>
          <w:szCs w:val="20"/>
        </w:rPr>
      </w:pPr>
    </w:p>
    <w:p>
      <w:pPr>
        <w:pStyle w:val="Heading2"/>
        <w:spacing w:line="240" w:lineRule="auto" w:before="170"/>
        <w:ind w:right="1121"/>
        <w:jc w:val="left"/>
        <w:rPr>
          <w:b w:val="0"/>
          <w:bCs w:val="0"/>
        </w:rPr>
      </w:pPr>
      <w:bookmarkStart w:name="三、公司基本情况" w:id="163"/>
      <w:bookmarkEnd w:id="163"/>
      <w:r>
        <w:rPr>
          <w:b w:val="0"/>
          <w:bCs w:val="0"/>
        </w:rPr>
      </w:r>
      <w:r>
        <w:rPr/>
        <w:t>三、公司基本情况</w:t>
      </w:r>
      <w:r>
        <w:rPr>
          <w:b w:val="0"/>
          <w:bCs w:val="0"/>
        </w:rPr>
      </w:r>
    </w:p>
    <w:p>
      <w:pPr>
        <w:pStyle w:val="BodyText"/>
        <w:spacing w:line="408" w:lineRule="auto" w:before="177"/>
        <w:ind w:right="0" w:firstLine="420"/>
        <w:jc w:val="left"/>
      </w:pPr>
      <w:r>
        <w:rPr/>
        <w:t>光一科技股份有限公司</w:t>
      </w:r>
      <w:r>
        <w:rPr>
          <w:rFonts w:ascii="宋体" w:hAnsi="宋体" w:cs="宋体" w:eastAsia="宋体" w:hint="default"/>
        </w:rPr>
        <w:t>(</w:t>
      </w:r>
      <w:r>
        <w:rPr/>
        <w:t>以下简称“本公司”)为境内公开发行</w:t>
      </w:r>
      <w:r>
        <w:rPr>
          <w:rFonts w:ascii="宋体" w:hAnsi="宋体" w:cs="宋体" w:eastAsia="宋体" w:hint="default"/>
        </w:rPr>
        <w:t>A</w:t>
      </w:r>
      <w:r>
        <w:rPr/>
        <w:t>股股票并在深圳证券交易所上市的股 份有限公司。本公司于</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11</w:t>
      </w:r>
      <w:r>
        <w:rPr/>
        <w:t>日经批准由江苏光一科技有限责任公司改制成为股份有限公司，持有 江苏省南京市工商行政管理局换发的统一社会信用代码为</w:t>
      </w:r>
      <w:r>
        <w:rPr>
          <w:rFonts w:ascii="宋体" w:hAnsi="宋体" w:cs="宋体" w:eastAsia="宋体" w:hint="default"/>
        </w:rPr>
        <w:t>913201007217504263</w:t>
      </w:r>
      <w:r>
        <w:rPr/>
        <w:t>的《企业法人营业执照》， 注册资本为人民币</w:t>
      </w:r>
      <w:r>
        <w:rPr>
          <w:rFonts w:ascii="宋体" w:hAnsi="宋体" w:cs="宋体" w:eastAsia="宋体" w:hint="default"/>
        </w:rPr>
        <w:t>414,849,620.00</w:t>
      </w:r>
      <w:r>
        <w:rPr/>
        <w:t>元，注册地址为南京市江宁经济技术开发区胜太路</w:t>
      </w:r>
      <w:r>
        <w:rPr>
          <w:rFonts w:ascii="宋体" w:hAnsi="宋体" w:cs="宋体" w:eastAsia="宋体" w:hint="default"/>
        </w:rPr>
        <w:t>88</w:t>
      </w:r>
      <w:r>
        <w:rPr/>
        <w:t>号。本公司经营范 </w:t>
      </w:r>
      <w:r>
        <w:rPr>
          <w:spacing w:val="-3"/>
        </w:rPr>
        <w:t>围为电力设备、仪器仪表、计算机软硬件的开发、设计、制造、销售及服务；信息系统设计、销售、施工、</w:t>
      </w:r>
      <w:r>
        <w:rPr>
          <w:spacing w:val="-92"/>
        </w:rPr>
        <w:t> </w:t>
      </w:r>
      <w:r>
        <w:rPr>
          <w:spacing w:val="-92"/>
        </w:rPr>
      </w:r>
      <w:r>
        <w:rPr/>
        <w:t>服务及技术咨询；电子设备与器件、通信产品（不含地面卫星接收设备）的销售、服务及技术咨询；实业</w:t>
      </w:r>
      <w:r>
        <w:rPr/>
        <w:t> 投资；电力工程、建筑工程承包，输变电工程、电气工程、机电设备安装的施工及承包；承装、承修、承 试电力设施。</w:t>
      </w:r>
    </w:p>
    <w:p>
      <w:pPr>
        <w:pStyle w:val="BodyText"/>
        <w:spacing w:line="408" w:lineRule="auto"/>
        <w:ind w:right="1018" w:firstLine="420"/>
        <w:jc w:val="left"/>
      </w:pPr>
      <w:r>
        <w:rPr>
          <w:spacing w:val="-3"/>
        </w:rPr>
        <w:t>本年度合并财务报表范围为本公司及子公司，具体详见“本附注八、合并范围的变更”和“本附注九、</w:t>
      </w:r>
      <w:r>
        <w:rPr/>
        <w:t> 在其他主体中权益的披露”。</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pStyle w:val="Heading2"/>
        <w:spacing w:line="240" w:lineRule="auto" w:before="161"/>
        <w:ind w:left="1133" w:right="1121"/>
        <w:jc w:val="left"/>
        <w:rPr>
          <w:b w:val="0"/>
          <w:bCs w:val="0"/>
        </w:rPr>
      </w:pPr>
      <w:bookmarkStart w:name="四、财务报表的编制基础" w:id="164"/>
      <w:bookmarkEnd w:id="164"/>
      <w:r>
        <w:rPr>
          <w:b w:val="0"/>
          <w:bCs w:val="0"/>
        </w:rPr>
      </w:r>
      <w:r>
        <w:rPr/>
        <w:t>四、财务报表的编制基础</w:t>
      </w:r>
      <w:r>
        <w:rPr>
          <w:b w:val="0"/>
          <w:bCs w:val="0"/>
        </w:rPr>
      </w:r>
    </w:p>
    <w:p>
      <w:pPr>
        <w:pStyle w:val="Heading4"/>
        <w:spacing w:line="240" w:lineRule="auto" w:before="177"/>
        <w:ind w:left="1133" w:right="1121"/>
        <w:jc w:val="left"/>
        <w:rPr>
          <w:b w:val="0"/>
          <w:bCs w:val="0"/>
        </w:rPr>
      </w:pPr>
      <w:bookmarkStart w:name="1、编制基础" w:id="165"/>
      <w:bookmarkEnd w:id="165"/>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21" w:firstLine="420"/>
        <w:jc w:val="left"/>
      </w:pPr>
      <w:r>
        <w:rPr>
          <w:spacing w:val="-1"/>
        </w:rPr>
        <w:t>本公司以持续经营为基础，根据实际发生的交易和事项，按照《企业会计准则—基本准则》和其他各</w:t>
      </w:r>
      <w:r>
        <w:rPr/>
        <w:t> 项会计准则的规定进行确认和计量，在此基础上编制财务报表。</w:t>
      </w:r>
    </w:p>
    <w:p>
      <w:pPr>
        <w:pStyle w:val="Heading4"/>
        <w:spacing w:line="240" w:lineRule="auto" w:before="46"/>
        <w:ind w:left="1133" w:right="1121"/>
        <w:jc w:val="left"/>
        <w:rPr>
          <w:b w:val="0"/>
          <w:bCs w:val="0"/>
        </w:rPr>
      </w:pPr>
      <w:bookmarkStart w:name="2、持续经营" w:id="166"/>
      <w:bookmarkEnd w:id="166"/>
      <w:r>
        <w:rPr>
          <w:b w:val="0"/>
          <w:bCs w:val="0"/>
        </w:rPr>
      </w:r>
      <w:r>
        <w:rPr>
          <w:rFonts w:ascii="宋体" w:hAnsi="宋体" w:cs="宋体" w:eastAsia="宋体" w:hint="default"/>
        </w:rPr>
        <w:t>2</w:t>
      </w:r>
      <w:r>
        <w:rPr/>
        <w:t>、持续经营</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21" w:firstLine="420"/>
        <w:jc w:val="left"/>
      </w:pPr>
      <w:r>
        <w:rPr>
          <w:spacing w:val="-1"/>
        </w:rPr>
        <w:t>经本公司评估，自本报告期末起的</w:t>
      </w:r>
      <w:r>
        <w:rPr>
          <w:rFonts w:ascii="宋体" w:hAnsi="宋体" w:cs="宋体" w:eastAsia="宋体" w:hint="default"/>
          <w:spacing w:val="-1"/>
        </w:rPr>
        <w:t>12</w:t>
      </w:r>
      <w:r>
        <w:rPr>
          <w:spacing w:val="-1"/>
        </w:rPr>
        <w:t>个月内，本公司持续经营能力良好，不存在导致对本公司持续经</w:t>
      </w:r>
      <w:r>
        <w:rPr/>
        <w:t> 营能力产生重大怀疑的因素。</w:t>
      </w:r>
    </w:p>
    <w:p>
      <w:pPr>
        <w:pStyle w:val="Heading2"/>
        <w:spacing w:line="240" w:lineRule="auto" w:before="179"/>
        <w:ind w:left="1133" w:right="1121"/>
        <w:jc w:val="left"/>
        <w:rPr>
          <w:b w:val="0"/>
          <w:bCs w:val="0"/>
        </w:rPr>
      </w:pPr>
      <w:bookmarkStart w:name="五、重要会计政策及会计估计" w:id="167"/>
      <w:bookmarkEnd w:id="167"/>
      <w:r>
        <w:rPr>
          <w:b w:val="0"/>
          <w:bCs w:val="0"/>
        </w:rPr>
      </w:r>
      <w:r>
        <w:rPr/>
        <w:t>五、重要会计政策及会计估计</w:t>
      </w:r>
      <w:r>
        <w:rPr>
          <w:b w:val="0"/>
          <w:bCs w:val="0"/>
        </w:rPr>
      </w:r>
    </w:p>
    <w:p>
      <w:pPr>
        <w:pStyle w:val="BodyText"/>
        <w:spacing w:line="240" w:lineRule="auto" w:before="177"/>
        <w:ind w:right="1121"/>
        <w:jc w:val="left"/>
      </w:pPr>
      <w:r>
        <w:rPr/>
        <w:t>公司是否需要遵守特殊行业的披露要求</w:t>
      </w:r>
    </w:p>
    <w:p>
      <w:pPr>
        <w:spacing w:line="240" w:lineRule="auto" w:before="10"/>
        <w:rPr>
          <w:rFonts w:ascii="宋体" w:hAnsi="宋体" w:cs="宋体" w:eastAsia="宋体" w:hint="default"/>
          <w:sz w:val="14"/>
          <w:szCs w:val="14"/>
        </w:rPr>
      </w:pPr>
    </w:p>
    <w:p>
      <w:pPr>
        <w:pStyle w:val="BodyText"/>
        <w:spacing w:line="408" w:lineRule="auto" w:before="0"/>
        <w:ind w:right="7813"/>
        <w:jc w:val="left"/>
      </w:pPr>
      <w:r>
        <w:rPr/>
        <w:t>□ 是 √ 否 具体会计政策和会计估计提示：</w:t>
      </w:r>
    </w:p>
    <w:p>
      <w:pPr>
        <w:pStyle w:val="BodyText"/>
        <w:spacing w:line="408" w:lineRule="auto"/>
        <w:ind w:left="1134" w:right="1023" w:firstLine="420"/>
        <w:jc w:val="left"/>
      </w:pPr>
      <w:r>
        <w:rPr/>
        <w:t>本公司根据实际生产经营特点，依据相关企业会计准则的规定，对应收款项坏帐准备计提、固定资产 </w:t>
      </w:r>
      <w:r>
        <w:rPr>
          <w:spacing w:val="-3"/>
        </w:rPr>
        <w:t>折旧、无形资产摊销、存货跌价准备、收入确认、商誉减值等交易或事项制定了具体会计政策和会计估计，</w:t>
      </w:r>
      <w:r>
        <w:rPr>
          <w:spacing w:val="-96"/>
        </w:rPr>
        <w:t> </w:t>
      </w:r>
      <w:r>
        <w:rPr>
          <w:spacing w:val="-96"/>
        </w:rPr>
      </w:r>
      <w:r>
        <w:rPr/>
        <w:t>请参阅本节重要会计政策及会计估计中的各项具体描述。</w:t>
      </w:r>
    </w:p>
    <w:p>
      <w:pPr>
        <w:spacing w:line="408" w:lineRule="auto" w:before="46"/>
        <w:ind w:left="1553" w:right="1121" w:hanging="420"/>
        <w:jc w:val="left"/>
        <w:rPr>
          <w:rFonts w:ascii="宋体" w:hAnsi="宋体" w:cs="宋体" w:eastAsia="宋体" w:hint="default"/>
          <w:sz w:val="21"/>
          <w:szCs w:val="21"/>
        </w:rPr>
      </w:pPr>
      <w:bookmarkStart w:name="1、遵循企业会计准则的声明" w:id="168"/>
      <w:bookmarkEnd w:id="168"/>
      <w:r>
        <w:rPr/>
      </w: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本公司所编制的财务报表符合企业会计准则的要求，真实、完整地反映了本公司的财务状况、经营成</w:t>
      </w:r>
    </w:p>
    <w:p>
      <w:pPr>
        <w:spacing w:line="408" w:lineRule="auto" w:before="46"/>
        <w:ind w:left="1134" w:right="6552" w:firstLine="0"/>
        <w:jc w:val="left"/>
        <w:rPr>
          <w:rFonts w:ascii="宋体" w:hAnsi="宋体" w:cs="宋体" w:eastAsia="宋体" w:hint="default"/>
          <w:sz w:val="21"/>
          <w:szCs w:val="21"/>
        </w:rPr>
      </w:pPr>
      <w:r>
        <w:rPr>
          <w:rFonts w:ascii="宋体" w:hAnsi="宋体" w:cs="宋体" w:eastAsia="宋体" w:hint="default"/>
          <w:sz w:val="21"/>
          <w:szCs w:val="21"/>
        </w:rPr>
        <w:t>果、所有者权益变动和现金流量等有关信息。 </w:t>
      </w:r>
      <w:bookmarkStart w:name="2、会计期间" w:id="169"/>
      <w:bookmarkEnd w:id="169"/>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408" w:lineRule="auto" w:before="46"/>
        <w:ind w:left="1134" w:right="6552" w:firstLine="420"/>
        <w:jc w:val="left"/>
        <w:rPr>
          <w:rFonts w:ascii="宋体" w:hAnsi="宋体" w:cs="宋体" w:eastAsia="宋体" w:hint="default"/>
          <w:sz w:val="21"/>
          <w:szCs w:val="21"/>
        </w:rPr>
      </w:pPr>
      <w:r>
        <w:rPr>
          <w:rFonts w:ascii="宋体" w:hAnsi="宋体" w:cs="宋体" w:eastAsia="宋体" w:hint="default"/>
          <w:sz w:val="21"/>
          <w:szCs w:val="21"/>
        </w:rPr>
        <w:t>会计期间自公历</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 </w:t>
      </w:r>
      <w:bookmarkStart w:name="3、营业周期" w:id="170"/>
      <w:bookmarkEnd w:id="170"/>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408" w:lineRule="auto"/>
        <w:ind w:left="1134" w:right="1121" w:firstLine="420"/>
        <w:jc w:val="left"/>
      </w:pPr>
      <w:r>
        <w:rPr>
          <w:spacing w:val="-1"/>
        </w:rPr>
        <w:t>营业周期是指本公司从购买用于加工的资产起至实现现金或现金等价物的期间。本公司以</w:t>
      </w:r>
      <w:r>
        <w:rPr>
          <w:rFonts w:ascii="宋体" w:hAnsi="宋体" w:cs="宋体" w:eastAsia="宋体" w:hint="default"/>
          <w:spacing w:val="-1"/>
        </w:rPr>
        <w:t>12</w:t>
      </w:r>
      <w:r>
        <w:rPr>
          <w:spacing w:val="-1"/>
        </w:rPr>
        <w:t>个月作为</w:t>
      </w:r>
      <w:r>
        <w:rPr/>
        <w:t> 一个营业周期，并以其作为资产和负债的流动性划分标准。</w:t>
      </w:r>
    </w:p>
    <w:p>
      <w:pPr>
        <w:spacing w:line="408" w:lineRule="auto" w:before="46"/>
        <w:ind w:left="1134" w:right="8652" w:firstLine="0"/>
        <w:jc w:val="left"/>
        <w:rPr>
          <w:rFonts w:ascii="宋体" w:hAnsi="宋体" w:cs="宋体" w:eastAsia="宋体" w:hint="default"/>
          <w:sz w:val="21"/>
          <w:szCs w:val="21"/>
        </w:rPr>
      </w:pPr>
      <w:bookmarkStart w:name="4、记账本位币" w:id="171"/>
      <w:bookmarkEnd w:id="171"/>
      <w:r>
        <w:rPr/>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记账本位币为人民币。</w:t>
      </w:r>
    </w:p>
    <w:p>
      <w:pPr>
        <w:pStyle w:val="Heading4"/>
        <w:spacing w:line="240" w:lineRule="auto" w:before="46"/>
        <w:ind w:right="1121"/>
        <w:jc w:val="left"/>
        <w:rPr>
          <w:b w:val="0"/>
          <w:bCs w:val="0"/>
        </w:rPr>
      </w:pPr>
      <w:bookmarkStart w:name="5、同一控制下和非同一控制下企业合并的会计处理方法" w:id="172"/>
      <w:bookmarkEnd w:id="172"/>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54" w:right="1121" w:hanging="420"/>
        <w:jc w:val="left"/>
      </w:pPr>
      <w:r>
        <w:rPr>
          <w:rFonts w:ascii="宋体" w:hAnsi="宋体" w:cs="宋体" w:eastAsia="宋体" w:hint="default"/>
        </w:rPr>
        <w:t>5.1 </w:t>
      </w:r>
      <w:r>
        <w:rPr/>
        <w:t>同一控制下的企业合并 </w:t>
      </w:r>
      <w:r>
        <w:rPr>
          <w:spacing w:val="-1"/>
        </w:rPr>
        <w:t>参与合并的企业在合并前后均受同一方或相同的多方最终控制且该控制并非暂时性的，认定为同一控</w:t>
      </w:r>
    </w:p>
    <w:p>
      <w:pPr>
        <w:pStyle w:val="BodyText"/>
        <w:spacing w:line="408" w:lineRule="auto"/>
        <w:ind w:left="1553" w:right="1121" w:hanging="420"/>
        <w:jc w:val="left"/>
      </w:pPr>
      <w:r>
        <w:rPr/>
        <w:t>制下的企业合并。 </w:t>
      </w:r>
      <w:r>
        <w:rPr>
          <w:spacing w:val="-1"/>
        </w:rPr>
        <w:t>合并方以支付现金、转让非现金资产或承担债务方式作为合并对价的，在合并日按照被合并方所有者</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1"/>
        <w:jc w:val="both"/>
      </w:pPr>
      <w:r>
        <w:rPr>
          <w:spacing w:val="-1"/>
        </w:rPr>
        <w:t>权益在最终控制方合并财务报表中的账面价值的份额作为长期股权投资的初始投资成本。长期股权投资初</w:t>
      </w:r>
      <w:r>
        <w:rPr>
          <w:spacing w:val="-81"/>
        </w:rPr>
        <w:t> </w:t>
      </w:r>
      <w:r>
        <w:rPr>
          <w:spacing w:val="-81"/>
        </w:rPr>
      </w:r>
      <w:r>
        <w:rPr>
          <w:spacing w:val="-1"/>
        </w:rPr>
        <w:t>始投资成本与支付的现金、转让的非现金资产以及所承担债务账面价值之间的差额，调整资本公积；资本</w:t>
      </w:r>
      <w:r>
        <w:rPr>
          <w:spacing w:val="-83"/>
        </w:rPr>
        <w:t> </w:t>
      </w:r>
      <w:r>
        <w:rPr>
          <w:spacing w:val="-83"/>
        </w:rPr>
      </w:r>
      <w:r>
        <w:rPr/>
        <w:t>公积不足冲减的，调整留存收益。</w:t>
      </w:r>
    </w:p>
    <w:p>
      <w:pPr>
        <w:pStyle w:val="BodyText"/>
        <w:spacing w:line="408" w:lineRule="auto"/>
        <w:ind w:right="1131" w:firstLine="420"/>
        <w:jc w:val="both"/>
      </w:pPr>
      <w:r>
        <w:rPr>
          <w:spacing w:val="-1"/>
        </w:rPr>
        <w:t>合并方以发行权益性证券作为合并对价的，在合并日按照被合并方所有者权益在最终控制方合并财务</w:t>
      </w:r>
      <w:r>
        <w:rPr/>
        <w:t> </w:t>
      </w:r>
      <w:r>
        <w:rPr>
          <w:spacing w:val="-1"/>
        </w:rPr>
        <w:t>报表中的账面价值的份额作为长期股权投资的初始投资成本。按照发行股份的面值总额作为股本，长期股</w:t>
      </w:r>
      <w:r>
        <w:rPr>
          <w:spacing w:val="-81"/>
        </w:rPr>
        <w:t> </w:t>
      </w:r>
      <w:r>
        <w:rPr>
          <w:spacing w:val="-81"/>
        </w:rPr>
      </w:r>
      <w:r>
        <w:rPr>
          <w:spacing w:val="-1"/>
        </w:rPr>
        <w:t>权投资初始投资成本与所发行股份面值总额之间的差额，调整资本公积；资本公积不足冲减的，调整留存</w:t>
      </w:r>
      <w:r>
        <w:rPr>
          <w:spacing w:val="-83"/>
        </w:rPr>
        <w:t> </w:t>
      </w:r>
      <w:r>
        <w:rPr>
          <w:spacing w:val="-83"/>
        </w:rPr>
      </w:r>
      <w:r>
        <w:rPr/>
        <w:t>收益。</w:t>
      </w:r>
    </w:p>
    <w:p>
      <w:pPr>
        <w:pStyle w:val="BodyText"/>
        <w:spacing w:line="408" w:lineRule="auto"/>
        <w:ind w:right="1121" w:firstLine="315"/>
        <w:jc w:val="left"/>
      </w:pPr>
      <w:r>
        <w:rPr/>
        <w:t>合并方为企业合并发生的审计、法律服务、评估咨询等中介费用以及其他相关管理费用，于发生时计 入当期损益。</w:t>
      </w:r>
    </w:p>
    <w:p>
      <w:pPr>
        <w:pStyle w:val="BodyText"/>
        <w:spacing w:line="408" w:lineRule="auto"/>
        <w:ind w:left="1553" w:right="1093" w:hanging="420"/>
        <w:jc w:val="left"/>
      </w:pPr>
      <w:r>
        <w:rPr>
          <w:rFonts w:ascii="宋体" w:hAnsi="宋体" w:cs="宋体" w:eastAsia="宋体" w:hint="default"/>
        </w:rPr>
        <w:t>5.2 </w:t>
      </w:r>
      <w:r>
        <w:rPr/>
        <w:t>非同一控制下的企业合并 参与合并的各方在合并前后不受同一方或相同的多方最终控制的，认定为非同一控制下的企业合并。</w:t>
      </w:r>
    </w:p>
    <w:p>
      <w:pPr>
        <w:pStyle w:val="BodyText"/>
        <w:spacing w:line="408" w:lineRule="auto"/>
        <w:ind w:right="1024"/>
        <w:jc w:val="left"/>
      </w:pPr>
      <w:r>
        <w:rPr/>
        <w:t>购买方通过一次交换交易实现的企业合并，合并成本为购买方在购买日为取得对被购买方的控制权而付出 </w:t>
      </w:r>
      <w:r>
        <w:rPr>
          <w:spacing w:val="-3"/>
        </w:rPr>
        <w:t>的资产、发生或承担的负债以及发行的权益性证券的公允价值。购买方为企业合并发生的审计、法律服务、</w:t>
      </w:r>
      <w:r>
        <w:rPr>
          <w:spacing w:val="-90"/>
        </w:rPr>
        <w:t> </w:t>
      </w:r>
      <w:r>
        <w:rPr>
          <w:spacing w:val="-90"/>
        </w:rPr>
      </w:r>
      <w:r>
        <w:rPr/>
        <w:t>评估咨询等中介费用以及其他相关管理费用，于发生时计入当期损益；购买方作为合并对价发行的权益性</w:t>
      </w:r>
      <w:r>
        <w:rPr/>
        <w:t> 证券或债务性证券的交易费用，计入权益性证券或债务性证券的初始确认金额。</w:t>
      </w:r>
    </w:p>
    <w:p>
      <w:pPr>
        <w:pStyle w:val="BodyText"/>
        <w:spacing w:line="408" w:lineRule="auto"/>
        <w:ind w:right="1131" w:firstLine="420"/>
        <w:jc w:val="both"/>
      </w:pPr>
      <w:r>
        <w:rPr>
          <w:spacing w:val="-1"/>
        </w:rPr>
        <w:t>购买方的合并成本和购买方在合并中取得的可辨认净资产按购买日的公允价值计量。合并成本大于合</w:t>
      </w:r>
      <w:r>
        <w:rPr/>
        <w:t> </w:t>
      </w:r>
      <w:r>
        <w:rPr>
          <w:spacing w:val="-1"/>
        </w:rPr>
        <w:t>并中取得的被购买方于购买日可辨认净资产公允价值份额的差额，确认为商誉；合并成本小于合并中取得</w:t>
      </w:r>
      <w:r>
        <w:rPr>
          <w:spacing w:val="-81"/>
        </w:rPr>
        <w:t> </w:t>
      </w:r>
      <w:r>
        <w:rPr>
          <w:spacing w:val="-81"/>
        </w:rPr>
      </w:r>
      <w:r>
        <w:rPr/>
        <w:t>的被购买方可辨认净资产公允价值份额的差额，计入当期损益。</w:t>
      </w:r>
    </w:p>
    <w:p>
      <w:pPr>
        <w:pStyle w:val="BodyText"/>
        <w:spacing w:line="408" w:lineRule="auto"/>
        <w:ind w:left="1553" w:right="1121" w:hanging="420"/>
        <w:jc w:val="left"/>
      </w:pPr>
      <w:r>
        <w:rPr>
          <w:rFonts w:ascii="宋体" w:hAnsi="宋体" w:cs="宋体" w:eastAsia="宋体" w:hint="default"/>
        </w:rPr>
        <w:t>5.3 </w:t>
      </w:r>
      <w:r>
        <w:rPr/>
        <w:t>因追加投资等原因能够对非同一控制下的被投资单位实施控制的 </w:t>
      </w:r>
      <w:r>
        <w:rPr>
          <w:spacing w:val="-1"/>
        </w:rPr>
        <w:t>在编制个别财务报表时，按照原持有的股权投资账面价值加上新增投资成本之和，作为改按成本法核</w:t>
      </w:r>
    </w:p>
    <w:p>
      <w:pPr>
        <w:pStyle w:val="BodyText"/>
        <w:spacing w:line="408" w:lineRule="auto"/>
        <w:ind w:right="1131"/>
        <w:jc w:val="both"/>
      </w:pPr>
      <w:r>
        <w:rPr>
          <w:spacing w:val="-1"/>
        </w:rPr>
        <w:t>算的初始投资成本。购买日之前持有的股权投资因采用权益法核算而确认的其他综合收益，在处置该项投</w:t>
      </w:r>
      <w:r>
        <w:rPr>
          <w:spacing w:val="-81"/>
        </w:rPr>
        <w:t> </w:t>
      </w:r>
      <w:r>
        <w:rPr>
          <w:spacing w:val="-81"/>
        </w:rPr>
      </w:r>
      <w:r>
        <w:rPr>
          <w:spacing w:val="-1"/>
        </w:rPr>
        <w:t>资时采用与被投资单位直接处置相关资产或负债相同的基础进行会计处理。购买日之前持有的股权投资按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号——金融工具确认和计量》的有关规定进行会计处理的，原计入其他综合收益的</w:t>
      </w:r>
      <w:r>
        <w:rPr>
          <w:spacing w:val="-83"/>
        </w:rPr>
        <w:t> </w:t>
      </w:r>
      <w:r>
        <w:rPr>
          <w:spacing w:val="-83"/>
        </w:rPr>
      </w:r>
      <w:r>
        <w:rPr/>
        <w:t>累计公允价值变动在改按成本法核算时转入当期损益。</w:t>
      </w:r>
    </w:p>
    <w:p>
      <w:pPr>
        <w:pStyle w:val="BodyText"/>
        <w:spacing w:line="408" w:lineRule="auto"/>
        <w:ind w:right="1121" w:firstLine="420"/>
        <w:jc w:val="left"/>
        <w:rPr>
          <w:rFonts w:ascii="宋体" w:hAnsi="宋体" w:cs="宋体" w:eastAsia="宋体" w:hint="default"/>
        </w:rPr>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新计量，公允价值与其账面价值的差额计入当期投资收益；购买日之前持有的被购买方的股权涉及权益法</w:t>
      </w:r>
      <w:r>
        <w:rPr>
          <w:spacing w:val="-80"/>
        </w:rPr>
        <w:t> </w:t>
      </w:r>
      <w:r>
        <w:rPr>
          <w:spacing w:val="-80"/>
        </w:rPr>
      </w:r>
      <w:r>
        <w:rPr/>
        <w:t>核算下的其他综合收益等的，与其相关的其他综合收益等应当转为购买日所属当期收益。 </w:t>
      </w:r>
      <w:bookmarkStart w:name="6、合并财务报表的编制方法" w:id="173"/>
      <w:bookmarkEnd w:id="173"/>
      <w:r>
        <w:rPr/>
      </w:r>
      <w:r>
        <w:rPr>
          <w:rFonts w:ascii="宋体" w:hAnsi="宋体" w:cs="宋体" w:eastAsia="宋体" w:hint="default"/>
          <w:b/>
          <w:bCs/>
        </w:rPr>
        <w:t>6</w:t>
      </w:r>
      <w:r>
        <w:rPr>
          <w:rFonts w:ascii="宋体" w:hAnsi="宋体" w:cs="宋体" w:eastAsia="宋体" w:hint="default"/>
          <w:b/>
          <w:bCs/>
        </w:rPr>
        <w:t>、合并财务报表的编制方法</w:t>
      </w:r>
      <w:r>
        <w:rPr>
          <w:rFonts w:ascii="宋体" w:hAnsi="宋体" w:cs="宋体" w:eastAsia="宋体" w:hint="default"/>
        </w:rPr>
      </w:r>
    </w:p>
    <w:p>
      <w:pPr>
        <w:pStyle w:val="BodyText"/>
        <w:spacing w:line="240" w:lineRule="auto"/>
        <w:ind w:right="1121"/>
        <w:jc w:val="left"/>
      </w:pPr>
      <w:r>
        <w:rPr>
          <w:rFonts w:ascii="宋体" w:hAnsi="宋体" w:cs="宋体" w:eastAsia="宋体" w:hint="default"/>
        </w:rPr>
        <w:t>6.1</w:t>
      </w:r>
      <w:r>
        <w:rPr/>
        <w:t>合并范围</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t>合并财务报表的合并范围包括本公司及子公司。合并财务报表的合并范围以控制为基础予以确定。</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rFonts w:ascii="宋体" w:hAnsi="宋体" w:cs="宋体" w:eastAsia="宋体" w:hint="default"/>
        </w:rPr>
        <w:t>6.2</w:t>
      </w:r>
      <w:r>
        <w:rPr/>
        <w:t>控制的依据</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spacing w:val="-1"/>
        </w:rPr>
        <w:t>投资方拥有对被投资方的权力，通过参与被投资方的相关活动而享有可变回报，并且有能力运用对被</w:t>
      </w:r>
      <w:r>
        <w:rPr/>
        <w:t> </w:t>
      </w:r>
      <w:r>
        <w:rPr>
          <w:spacing w:val="-1"/>
        </w:rPr>
        <w:t>投资方的权力影响其回报金额，视为投资方控制被投资方。相关活动，系为对被投资方的回报产生重大影</w:t>
      </w:r>
      <w:r>
        <w:rPr>
          <w:spacing w:val="-83"/>
        </w:rPr>
        <w:t> </w:t>
      </w:r>
      <w:r>
        <w:rPr>
          <w:spacing w:val="-83"/>
        </w:rPr>
      </w:r>
      <w:r>
        <w:rPr/>
        <w:t>响的活动。</w:t>
      </w:r>
    </w:p>
    <w:p>
      <w:pPr>
        <w:pStyle w:val="BodyText"/>
        <w:spacing w:line="408" w:lineRule="auto"/>
        <w:ind w:left="1553" w:right="1121" w:hanging="420"/>
        <w:jc w:val="left"/>
      </w:pPr>
      <w:r>
        <w:rPr>
          <w:rFonts w:ascii="宋体" w:hAnsi="宋体" w:cs="宋体" w:eastAsia="宋体" w:hint="default"/>
        </w:rPr>
        <w:t>6.3</w:t>
      </w:r>
      <w:r>
        <w:rPr/>
        <w:t>决策者和代理人 </w:t>
      </w:r>
      <w:r>
        <w:rPr>
          <w:spacing w:val="-1"/>
        </w:rPr>
        <w:t>代理人仅代表主要责任人行使决策权，不控制被投资方。投资方将被投资方相关活动的决策权委托给</w:t>
      </w:r>
    </w:p>
    <w:p>
      <w:pPr>
        <w:pStyle w:val="BodyText"/>
        <w:spacing w:line="408" w:lineRule="auto"/>
        <w:ind w:left="1553" w:right="1513" w:hanging="420"/>
        <w:jc w:val="left"/>
      </w:pPr>
      <w:r>
        <w:rPr/>
        <w:t>代理人的，将该决策权视为自身直接持有。 在确定决策者是否为代理人时，公司综合考虑该决策者与被投资方以及其他投资方之间的关系。 </w:t>
      </w:r>
      <w:r>
        <w:rPr>
          <w:rFonts w:ascii="宋体" w:hAnsi="宋体" w:cs="宋体" w:eastAsia="宋体" w:hint="default"/>
        </w:rPr>
        <w:t>1</w:t>
      </w:r>
      <w:r>
        <w:rPr/>
        <w:t>）存在单独一方拥有实质性权利可以无条件罢免决策者的，该决策者为代理人。</w:t>
      </w:r>
    </w:p>
    <w:p>
      <w:pPr>
        <w:pStyle w:val="BodyText"/>
        <w:spacing w:line="408" w:lineRule="auto"/>
        <w:ind w:left="1134" w:right="1121" w:firstLine="420"/>
        <w:jc w:val="left"/>
      </w:pPr>
      <w:r>
        <w:rPr>
          <w:rFonts w:ascii="宋体" w:hAnsi="宋体" w:cs="宋体" w:eastAsia="宋体" w:hint="default"/>
          <w:spacing w:val="-1"/>
        </w:rPr>
        <w:t>2</w:t>
      </w:r>
      <w:r>
        <w:rPr>
          <w:spacing w:val="-1"/>
        </w:rPr>
        <w:t>）除</w:t>
      </w:r>
      <w:r>
        <w:rPr>
          <w:rFonts w:ascii="宋体" w:hAnsi="宋体" w:cs="宋体" w:eastAsia="宋体" w:hint="default"/>
          <w:spacing w:val="-1"/>
        </w:rPr>
        <w:t>1</w:t>
      </w:r>
      <w:r>
        <w:rPr>
          <w:spacing w:val="-1"/>
        </w:rPr>
        <w:t>）以外的情况下，综合考虑决策者对被投资方的决策权范围、其他方享有的实质性权利、决策</w:t>
      </w:r>
      <w:r>
        <w:rPr/>
        <w:t> 者的薪酬水平、决策者因持有被投资方中的其他权益所承担可变回报的风险等相关因素进行判断。 </w:t>
      </w:r>
      <w:r>
        <w:rPr>
          <w:rFonts w:ascii="宋体" w:hAnsi="宋体" w:cs="宋体" w:eastAsia="宋体" w:hint="default"/>
        </w:rPr>
        <w:t>6.4</w:t>
      </w:r>
      <w:r>
        <w:rPr/>
        <w:t>投资性主体</w:t>
      </w:r>
    </w:p>
    <w:p>
      <w:pPr>
        <w:pStyle w:val="BodyText"/>
        <w:spacing w:line="408" w:lineRule="auto"/>
        <w:ind w:left="1554" w:right="2457"/>
        <w:jc w:val="left"/>
      </w:pPr>
      <w:r>
        <w:rPr/>
        <w:t>当同时满足下列条件时，视为投资性主体： </w:t>
      </w:r>
      <w:r>
        <w:rPr>
          <w:rFonts w:ascii="宋体" w:hAnsi="宋体" w:cs="宋体" w:eastAsia="宋体" w:hint="default"/>
        </w:rPr>
        <w:t>1</w:t>
      </w:r>
      <w:r>
        <w:rPr/>
        <w:t>）该公司是以向投资者提供投资管理服务为目的，从一个或多个投资者处获取资金；</w:t>
      </w:r>
    </w:p>
    <w:p>
      <w:pPr>
        <w:pStyle w:val="BodyText"/>
        <w:spacing w:line="240" w:lineRule="auto"/>
        <w:ind w:left="1554" w:right="1121"/>
        <w:jc w:val="left"/>
      </w:pPr>
      <w:r>
        <w:rPr>
          <w:rFonts w:ascii="宋体" w:hAnsi="宋体" w:cs="宋体" w:eastAsia="宋体" w:hint="default"/>
        </w:rPr>
        <w:t>2</w:t>
      </w:r>
      <w:r>
        <w:rPr/>
        <w:t>）该公司的唯一经营目的，是通过资本增值、投资收益或两者兼有而让投资者获得回报；</w:t>
      </w:r>
    </w:p>
    <w:p>
      <w:pPr>
        <w:spacing w:line="240" w:lineRule="auto" w:before="10"/>
        <w:rPr>
          <w:rFonts w:ascii="宋体" w:hAnsi="宋体" w:cs="宋体" w:eastAsia="宋体" w:hint="default"/>
          <w:sz w:val="14"/>
          <w:szCs w:val="14"/>
        </w:rPr>
      </w:pPr>
    </w:p>
    <w:p>
      <w:pPr>
        <w:pStyle w:val="BodyText"/>
        <w:spacing w:line="408" w:lineRule="auto" w:before="0"/>
        <w:ind w:left="1554" w:right="4347"/>
        <w:jc w:val="left"/>
      </w:pPr>
      <w:r>
        <w:rPr>
          <w:rFonts w:ascii="宋体" w:hAnsi="宋体" w:cs="宋体" w:eastAsia="宋体" w:hint="default"/>
        </w:rPr>
        <w:t>3</w:t>
      </w:r>
      <w:r>
        <w:rPr/>
        <w:t>）该公司按照公允价值对几乎所有投资的业绩进行考量和评价。 属于投资性主体的，通常情况下符合下列所有特征： </w:t>
      </w:r>
      <w:r>
        <w:rPr>
          <w:rFonts w:ascii="宋体" w:hAnsi="宋体" w:cs="宋体" w:eastAsia="宋体" w:hint="default"/>
        </w:rPr>
        <w:t>1</w:t>
      </w:r>
      <w:r>
        <w:rPr/>
        <w:t>）拥有一个以上投资；</w:t>
      </w:r>
    </w:p>
    <w:p>
      <w:pPr>
        <w:pStyle w:val="BodyText"/>
        <w:spacing w:line="240" w:lineRule="auto"/>
        <w:ind w:left="1554" w:right="1121"/>
        <w:jc w:val="left"/>
      </w:pPr>
      <w:r>
        <w:rPr>
          <w:rFonts w:ascii="宋体" w:hAnsi="宋体" w:cs="宋体" w:eastAsia="宋体" w:hint="default"/>
        </w:rPr>
        <w:t>2</w:t>
      </w:r>
      <w:r>
        <w:rPr/>
        <w:t>）拥有一个以上投资者；</w:t>
      </w:r>
    </w:p>
    <w:p>
      <w:pPr>
        <w:spacing w:line="240" w:lineRule="auto" w:before="10"/>
        <w:rPr>
          <w:rFonts w:ascii="宋体" w:hAnsi="宋体" w:cs="宋体" w:eastAsia="宋体" w:hint="default"/>
          <w:sz w:val="14"/>
          <w:szCs w:val="14"/>
        </w:rPr>
      </w:pPr>
    </w:p>
    <w:p>
      <w:pPr>
        <w:pStyle w:val="BodyText"/>
        <w:spacing w:line="240" w:lineRule="auto" w:before="0"/>
        <w:ind w:left="1554" w:right="1121"/>
        <w:jc w:val="left"/>
      </w:pPr>
      <w:r>
        <w:rPr>
          <w:rFonts w:ascii="宋体" w:hAnsi="宋体" w:cs="宋体" w:eastAsia="宋体" w:hint="default"/>
        </w:rPr>
        <w:t>3</w:t>
      </w:r>
      <w:r>
        <w:rPr/>
        <w:t>）投资者不是该主体的关联方；</w:t>
      </w:r>
    </w:p>
    <w:p>
      <w:pPr>
        <w:spacing w:line="240" w:lineRule="auto" w:before="10"/>
        <w:rPr>
          <w:rFonts w:ascii="宋体" w:hAnsi="宋体" w:cs="宋体" w:eastAsia="宋体" w:hint="default"/>
          <w:sz w:val="14"/>
          <w:szCs w:val="14"/>
        </w:rPr>
      </w:pPr>
    </w:p>
    <w:p>
      <w:pPr>
        <w:pStyle w:val="BodyText"/>
        <w:spacing w:line="408" w:lineRule="auto" w:before="0"/>
        <w:ind w:left="1554" w:right="1121"/>
        <w:jc w:val="left"/>
      </w:pPr>
      <w:r>
        <w:rPr>
          <w:rFonts w:ascii="宋体" w:hAnsi="宋体" w:cs="宋体" w:eastAsia="宋体" w:hint="default"/>
        </w:rPr>
        <w:t>4</w:t>
      </w:r>
      <w:r>
        <w:rPr/>
        <w:t>）其所有者权益以股权或类似权益方式存在。 </w:t>
      </w:r>
      <w:r>
        <w:rPr>
          <w:spacing w:val="-1"/>
        </w:rPr>
        <w:t>如果母公司是投资性主体，则母公司仅将为其投资活动提供相关服务的子公司</w:t>
      </w:r>
      <w:r>
        <w:rPr>
          <w:rFonts w:ascii="宋体" w:hAnsi="宋体" w:cs="宋体" w:eastAsia="宋体" w:hint="default"/>
          <w:spacing w:val="-1"/>
        </w:rPr>
        <w:t>(</w:t>
      </w:r>
      <w:r>
        <w:rPr>
          <w:spacing w:val="-1"/>
        </w:rPr>
        <w:t>如有</w:t>
      </w:r>
      <w:r>
        <w:rPr>
          <w:rFonts w:ascii="宋体" w:hAnsi="宋体" w:cs="宋体" w:eastAsia="宋体" w:hint="default"/>
          <w:spacing w:val="-1"/>
        </w:rPr>
        <w:t>)</w:t>
      </w:r>
      <w:r>
        <w:rPr>
          <w:spacing w:val="-1"/>
        </w:rPr>
        <w:t>纳入合并范围并</w:t>
      </w:r>
    </w:p>
    <w:p>
      <w:pPr>
        <w:pStyle w:val="BodyText"/>
        <w:spacing w:line="408" w:lineRule="auto"/>
        <w:ind w:left="1134" w:right="1121"/>
        <w:jc w:val="left"/>
      </w:pPr>
      <w:r>
        <w:rPr>
          <w:spacing w:val="-1"/>
        </w:rPr>
        <w:t>编制合并财务报表；其他子公司不予以合并，母公司对其他子公司的投资按照公允价值计量且其变动计入</w:t>
      </w:r>
      <w:r>
        <w:rPr>
          <w:spacing w:val="-80"/>
        </w:rPr>
        <w:t> </w:t>
      </w:r>
      <w:r>
        <w:rPr>
          <w:spacing w:val="-80"/>
        </w:rPr>
      </w:r>
      <w:r>
        <w:rPr/>
        <w:t>当期损益。</w:t>
      </w:r>
    </w:p>
    <w:p>
      <w:pPr>
        <w:pStyle w:val="BodyText"/>
        <w:spacing w:line="408" w:lineRule="auto"/>
        <w:ind w:left="1134" w:right="1121" w:firstLine="420"/>
        <w:jc w:val="left"/>
      </w:pPr>
      <w:r>
        <w:rPr>
          <w:spacing w:val="-1"/>
        </w:rPr>
        <w:t>投资性主体的母公司本身不是投资性主体，则将其控制的全部主体，包括那些通过投资性主体所间接</w:t>
      </w:r>
      <w:r>
        <w:rPr/>
        <w:t> 控制的主体，纳入合并财务报表范围。</w:t>
      </w:r>
    </w:p>
    <w:p>
      <w:pPr>
        <w:pStyle w:val="BodyText"/>
        <w:spacing w:line="240" w:lineRule="auto"/>
        <w:ind w:left="1134" w:right="1121"/>
        <w:jc w:val="left"/>
      </w:pPr>
      <w:r>
        <w:rPr>
          <w:rFonts w:ascii="宋体" w:hAnsi="宋体" w:cs="宋体" w:eastAsia="宋体" w:hint="default"/>
        </w:rPr>
        <w:t>6.5</w:t>
      </w:r>
      <w:r>
        <w:rPr/>
        <w:t>合并程序</w:t>
      </w:r>
    </w:p>
    <w:p>
      <w:pPr>
        <w:spacing w:line="240" w:lineRule="auto" w:before="10"/>
        <w:rPr>
          <w:rFonts w:ascii="宋体" w:hAnsi="宋体" w:cs="宋体" w:eastAsia="宋体" w:hint="default"/>
          <w:sz w:val="14"/>
          <w:szCs w:val="14"/>
        </w:rPr>
      </w:pPr>
    </w:p>
    <w:p>
      <w:pPr>
        <w:pStyle w:val="BodyText"/>
        <w:spacing w:line="408" w:lineRule="auto" w:before="0"/>
        <w:ind w:left="1134" w:right="1121" w:firstLine="420"/>
        <w:jc w:val="left"/>
      </w:pPr>
      <w:r>
        <w:rPr>
          <w:spacing w:val="-1"/>
        </w:rPr>
        <w:t>子公司所采用的会计政策或会计期间与本公司不一致的，按照本公司的会计政策或会计期间对子公司</w:t>
      </w:r>
      <w:r>
        <w:rPr/>
        <w:t> 财务报表进行必要的调整；或者要求子公司按照本公司的会计政策或会计期间另行编报财务报表。</w:t>
      </w:r>
    </w:p>
    <w:p>
      <w:pPr>
        <w:pStyle w:val="BodyText"/>
        <w:spacing w:line="240" w:lineRule="auto"/>
        <w:ind w:left="1554" w:right="0"/>
        <w:jc w:val="left"/>
      </w:pPr>
      <w:r>
        <w:rPr/>
        <w:t>合并资产负债表、合并利润表、合并现金流量表及合并所有者（股东）权益变动表分别以本公司和子</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09"/>
        <w:jc w:val="both"/>
      </w:pPr>
      <w:r>
        <w:rPr/>
        <w:t>公司的资产负债表、利润表、现金流量表及所有者（股东）权益变动表为基础，在抵销本公司与子公司、 子公司相互之间发生的内部交易对合并资产负债表、合并利润表、合并现金流量表及合并所有者（股东） 权益变动表的影响后，由本公司合并编制。</w:t>
      </w:r>
    </w:p>
    <w:p>
      <w:pPr>
        <w:pStyle w:val="BodyText"/>
        <w:spacing w:line="408" w:lineRule="auto"/>
        <w:ind w:right="1130" w:firstLine="420"/>
        <w:jc w:val="both"/>
      </w:pPr>
      <w:r>
        <w:rPr>
          <w:spacing w:val="8"/>
        </w:rPr>
        <w:t>本公司向子公司出售资产所发生的未实现内部交易损益，全额抵销“归属于母公司所有者的净利</w:t>
      </w:r>
      <w:r>
        <w:rPr/>
        <w:t> </w:t>
      </w:r>
      <w:r>
        <w:rPr>
          <w:spacing w:val="-1"/>
        </w:rPr>
        <w:t>润”。子公司向本公司出售资产所发生的未实现内部交易损益，按照本公司对该子公司的分配比例在“归</w:t>
      </w:r>
      <w:r>
        <w:rPr>
          <w:spacing w:val="-81"/>
        </w:rPr>
        <w:t> </w:t>
      </w:r>
      <w:r>
        <w:rPr>
          <w:spacing w:val="-81"/>
        </w:rPr>
      </w:r>
      <w:r>
        <w:rPr>
          <w:spacing w:val="-1"/>
        </w:rPr>
        <w:t>属于母公司所有者的净利润”和“少数股东损益”之间分配抵销。子公司之间出售资产所发生的未实现内</w:t>
      </w:r>
      <w:r>
        <w:rPr>
          <w:spacing w:val="-83"/>
        </w:rPr>
        <w:t> </w:t>
      </w:r>
      <w:r>
        <w:rPr>
          <w:spacing w:val="-83"/>
        </w:rPr>
      </w:r>
      <w:r>
        <w:rPr>
          <w:spacing w:val="-1"/>
        </w:rPr>
        <w:t>部交易损益，应当按照本公司对出售方子公司的分配比例在“归属于母公司所有者的净利润”和“少数股</w:t>
      </w:r>
      <w:r>
        <w:rPr>
          <w:spacing w:val="-82"/>
        </w:rPr>
        <w:t> </w:t>
      </w:r>
      <w:r>
        <w:rPr>
          <w:spacing w:val="-82"/>
        </w:rPr>
      </w:r>
      <w:r>
        <w:rPr/>
        <w:t>东损益”之间分配抵销。</w:t>
      </w:r>
    </w:p>
    <w:p>
      <w:pPr>
        <w:pStyle w:val="BodyText"/>
        <w:spacing w:line="408" w:lineRule="auto"/>
        <w:ind w:right="1131" w:firstLine="420"/>
        <w:jc w:val="both"/>
      </w:pPr>
      <w:r>
        <w:rPr>
          <w:spacing w:val="-1"/>
        </w:rPr>
        <w:t>子公司所有者权益中不属于本公司的份额，作为少数股东权益，在合并资产负债表中所有者权益项目</w:t>
      </w:r>
      <w:r>
        <w:rPr/>
        <w:t> </w:t>
      </w:r>
      <w:r>
        <w:rPr>
          <w:spacing w:val="-1"/>
        </w:rPr>
        <w:t>下以“少数股东权益”项目列示。子公司当期净损益中属于少数股东权益的份额，在合并利润表中净利润</w:t>
      </w:r>
      <w:r>
        <w:rPr>
          <w:spacing w:val="-82"/>
        </w:rPr>
        <w:t> </w:t>
      </w:r>
      <w:r>
        <w:rPr>
          <w:spacing w:val="-82"/>
        </w:rPr>
      </w:r>
      <w:r>
        <w:rPr>
          <w:spacing w:val="-1"/>
        </w:rPr>
        <w:t>项目下以“少数股东损益”项目列示。子公司当期综合收益中属于少数股东权益的份额，在合并利润表中</w:t>
      </w:r>
      <w:r>
        <w:rPr>
          <w:spacing w:val="-82"/>
        </w:rPr>
        <w:t> </w:t>
      </w:r>
      <w:r>
        <w:rPr>
          <w:spacing w:val="-82"/>
        </w:rPr>
      </w:r>
      <w:r>
        <w:rPr>
          <w:spacing w:val="-1"/>
        </w:rPr>
        <w:t>综合收益总额项目下以“归属于少数股东的综合收益总额”项目列示。有少数股东的，在合并所有者权益</w:t>
      </w:r>
      <w:r>
        <w:rPr>
          <w:spacing w:val="-83"/>
        </w:rPr>
        <w:t> </w:t>
      </w:r>
      <w:r>
        <w:rPr>
          <w:spacing w:val="-83"/>
        </w:rPr>
      </w:r>
      <w:r>
        <w:rPr>
          <w:spacing w:val="-1"/>
        </w:rPr>
        <w:t>变动表中增加“少数股东权益”栏目，反映少数股东权益变动的情况。子公司少数股东分担的当期亏损超</w:t>
      </w:r>
      <w:r>
        <w:rPr>
          <w:spacing w:val="-82"/>
        </w:rPr>
        <w:t> </w:t>
      </w:r>
      <w:r>
        <w:rPr>
          <w:spacing w:val="-82"/>
        </w:rPr>
      </w:r>
      <w:r>
        <w:rPr/>
        <w:t>过了少数股东在该子公司期初所有者权益中所享有的份额的，其余额仍应当冲减少数股东权益。</w:t>
      </w:r>
    </w:p>
    <w:p>
      <w:pPr>
        <w:pStyle w:val="BodyText"/>
        <w:spacing w:line="408" w:lineRule="auto"/>
        <w:ind w:right="1110" w:firstLine="420"/>
        <w:jc w:val="both"/>
      </w:pPr>
      <w:r>
        <w:rPr>
          <w:spacing w:val="-1"/>
        </w:rPr>
        <w:t>本公司在报告期内因同一控制下企业合并增加的子公司以及业务，编制合并资产负债表时，调整合并</w:t>
      </w:r>
      <w:r>
        <w:rPr/>
        <w:t> 资产负债表的期初数；编制合并利润表时，将该子公司以及业务合并当期期初至报告期末的收入、费用、 </w:t>
      </w:r>
      <w:r>
        <w:rPr>
          <w:spacing w:val="-1"/>
        </w:rPr>
        <w:t>利润纳入合并利润表；编制现金流量表时，将该子公司以及业务合并当期期初至报告期末的现金流量纳入</w:t>
      </w:r>
      <w:r>
        <w:rPr>
          <w:spacing w:val="-81"/>
        </w:rPr>
        <w:t> </w:t>
      </w:r>
      <w:r>
        <w:rPr>
          <w:spacing w:val="-81"/>
        </w:rPr>
      </w:r>
      <w:r>
        <w:rPr>
          <w:spacing w:val="-1"/>
        </w:rPr>
        <w:t>合并现金流量表；同时对比较报表的相关项目进行调整，视同合并后的报告主体自最终控制方开始控制时</w:t>
      </w:r>
      <w:r>
        <w:rPr>
          <w:spacing w:val="-81"/>
        </w:rPr>
        <w:t> </w:t>
      </w:r>
      <w:r>
        <w:rPr>
          <w:spacing w:val="-81"/>
        </w:rPr>
      </w:r>
      <w:r>
        <w:rPr/>
        <w:t>点起一直存在。</w:t>
      </w:r>
    </w:p>
    <w:p>
      <w:pPr>
        <w:pStyle w:val="BodyText"/>
        <w:spacing w:line="408" w:lineRule="auto"/>
        <w:ind w:right="1130" w:firstLine="420"/>
        <w:jc w:val="both"/>
      </w:pPr>
      <w:r>
        <w:rPr>
          <w:spacing w:val="-1"/>
        </w:rPr>
        <w:t>因非同一控制下企业合并或其他方式增加的子公司以及业务，编制合并资产负债表时，不调整合并资</w:t>
      </w:r>
      <w:r>
        <w:rPr/>
        <w:t> </w:t>
      </w:r>
      <w:r>
        <w:rPr>
          <w:spacing w:val="-1"/>
        </w:rPr>
        <w:t>产负债表的期初数；编制合并利润表时，将该子公司以及业务购买日至报告期末的收入、费用、利润纳入</w:t>
      </w:r>
      <w:r>
        <w:rPr>
          <w:spacing w:val="-86"/>
        </w:rPr>
        <w:t> </w:t>
      </w:r>
      <w:r>
        <w:rPr>
          <w:spacing w:val="-86"/>
        </w:rPr>
      </w:r>
      <w:r>
        <w:rPr/>
        <w:t>合并利润表；编制合并现金流量表时，将该子公司购买日至报告期末的现金流量纳入合并现金流量表。</w:t>
      </w:r>
    </w:p>
    <w:p>
      <w:pPr>
        <w:pStyle w:val="BodyText"/>
        <w:spacing w:line="408" w:lineRule="auto"/>
        <w:ind w:right="1110" w:firstLine="420"/>
        <w:jc w:val="both"/>
      </w:pPr>
      <w:r>
        <w:rPr/>
        <w:t>本公司在报告期内处置子公司以及业务，编制合并资产负债表时，不调整合并资产负债表的期初数； </w:t>
      </w:r>
      <w:r>
        <w:rPr>
          <w:spacing w:val="-1"/>
        </w:rPr>
        <w:t>编制合并利润表时，将该子公司以及业务期初至处置日的收入、费用、利润纳入合并利润表；编制合并现</w:t>
      </w:r>
      <w:r>
        <w:rPr>
          <w:spacing w:val="-86"/>
        </w:rPr>
        <w:t> </w:t>
      </w:r>
      <w:r>
        <w:rPr>
          <w:spacing w:val="-86"/>
        </w:rPr>
      </w:r>
      <w:r>
        <w:rPr/>
        <w:t>金流量表时，将该子公司以及业务期初至处置日的现金流量纳入合并现金流量表。</w:t>
      </w:r>
    </w:p>
    <w:p>
      <w:pPr>
        <w:pStyle w:val="BodyText"/>
        <w:spacing w:line="240" w:lineRule="auto"/>
        <w:ind w:right="0"/>
        <w:jc w:val="both"/>
      </w:pPr>
      <w:r>
        <w:rPr>
          <w:rFonts w:ascii="宋体" w:hAnsi="宋体" w:cs="宋体" w:eastAsia="宋体" w:hint="default"/>
        </w:rPr>
        <w:t>6.6</w:t>
      </w:r>
      <w:r>
        <w:rPr/>
        <w:t>特殊交易会计处理</w:t>
      </w:r>
    </w:p>
    <w:p>
      <w:pPr>
        <w:spacing w:line="240" w:lineRule="auto" w:before="10"/>
        <w:rPr>
          <w:rFonts w:ascii="宋体" w:hAnsi="宋体" w:cs="宋体" w:eastAsia="宋体" w:hint="default"/>
          <w:sz w:val="14"/>
          <w:szCs w:val="14"/>
        </w:rPr>
      </w:pPr>
    </w:p>
    <w:p>
      <w:pPr>
        <w:pStyle w:val="BodyText"/>
        <w:spacing w:line="408" w:lineRule="auto" w:before="0"/>
        <w:ind w:left="1554" w:right="1121" w:hanging="420"/>
        <w:jc w:val="left"/>
      </w:pPr>
      <w:r>
        <w:rPr>
          <w:rFonts w:ascii="宋体" w:hAnsi="宋体" w:cs="宋体" w:eastAsia="宋体" w:hint="default"/>
        </w:rPr>
        <w:t>6.6.1</w:t>
      </w:r>
      <w:r>
        <w:rPr/>
        <w:t>购买子公司少数股东拥有的子公司股权 </w:t>
      </w:r>
      <w:r>
        <w:rPr>
          <w:spacing w:val="-1"/>
        </w:rPr>
        <w:t>在合并财务报表中，因购买少数股权新取得的长期股权投资与按照新增持股比例计算应享有子公司自</w:t>
      </w:r>
    </w:p>
    <w:p>
      <w:pPr>
        <w:pStyle w:val="BodyText"/>
        <w:spacing w:line="408" w:lineRule="auto"/>
        <w:ind w:left="1134" w:right="1131"/>
        <w:jc w:val="both"/>
      </w:pPr>
      <w:r>
        <w:rPr>
          <w:spacing w:val="-1"/>
        </w:rPr>
        <w:t>购买日或合并日开始持续计算的净资产份额之间的差额，调整资本公积</w:t>
      </w:r>
      <w:r>
        <w:rPr>
          <w:rFonts w:ascii="宋体" w:hAnsi="宋体" w:cs="宋体" w:eastAsia="宋体" w:hint="default"/>
          <w:spacing w:val="-1"/>
        </w:rPr>
        <w:t>(</w:t>
      </w:r>
      <w:r>
        <w:rPr>
          <w:spacing w:val="-1"/>
        </w:rPr>
        <w:t>资本溢价或股本溢价</w:t>
      </w:r>
      <w:r>
        <w:rPr>
          <w:rFonts w:ascii="宋体" w:hAnsi="宋体" w:cs="宋体" w:eastAsia="宋体" w:hint="default"/>
          <w:spacing w:val="-1"/>
        </w:rPr>
        <w:t>)</w:t>
      </w:r>
      <w:r>
        <w:rPr>
          <w:spacing w:val="-1"/>
        </w:rPr>
        <w:t>，资本公积</w:t>
      </w:r>
      <w:r>
        <w:rPr>
          <w:spacing w:val="-83"/>
        </w:rPr>
        <w:t> </w:t>
      </w:r>
      <w:r>
        <w:rPr>
          <w:spacing w:val="-83"/>
        </w:rPr>
      </w:r>
      <w:r>
        <w:rPr/>
        <w:t>不足冲减的，调整留存收益。</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553" w:right="1121" w:hanging="420"/>
        <w:jc w:val="left"/>
      </w:pPr>
      <w:r>
        <w:rPr>
          <w:rFonts w:ascii="宋体" w:hAnsi="宋体" w:cs="宋体" w:eastAsia="宋体" w:hint="default"/>
        </w:rPr>
        <w:t>6.6.2</w:t>
      </w:r>
      <w:r>
        <w:rPr/>
        <w:t>不丧失控制权的情况下处置对子公司长期股权投资 </w:t>
      </w:r>
      <w:r>
        <w:rPr>
          <w:spacing w:val="-1"/>
        </w:rPr>
        <w:t>在不丧失控制权的情况下部分处置对子公司的长期股权投资，在合并财务报表中，处置价款与处置长</w:t>
      </w:r>
    </w:p>
    <w:p>
      <w:pPr>
        <w:pStyle w:val="BodyText"/>
        <w:spacing w:line="408" w:lineRule="auto"/>
        <w:ind w:right="1121"/>
        <w:jc w:val="left"/>
      </w:pPr>
      <w:r>
        <w:rPr>
          <w:spacing w:val="-1"/>
        </w:rPr>
        <w:t>期股权投资相对应享有子公司自购买日或合并日开始持续计算的净资产份额之间的差额，应当调整资本公</w:t>
      </w:r>
      <w:r>
        <w:rPr>
          <w:spacing w:val="-81"/>
        </w:rPr>
        <w:t> </w:t>
      </w:r>
      <w:r>
        <w:rPr>
          <w:spacing w:val="-81"/>
        </w:rPr>
      </w:r>
      <w:r>
        <w:rPr/>
        <w:t>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 </w:t>
      </w:r>
      <w:r>
        <w:rPr>
          <w:rFonts w:ascii="宋体" w:hAnsi="宋体" w:cs="宋体" w:eastAsia="宋体" w:hint="default"/>
        </w:rPr>
        <w:t>6.6.3</w:t>
      </w:r>
      <w:r>
        <w:rPr/>
        <w:t>处置部分股权投资等原因丧失了对被投资方的控制权时，对于剩余股权的处理</w:t>
      </w:r>
    </w:p>
    <w:p>
      <w:pPr>
        <w:pStyle w:val="BodyText"/>
        <w:spacing w:line="408" w:lineRule="auto"/>
        <w:ind w:left="1134" w:right="1121" w:firstLine="420"/>
        <w:jc w:val="left"/>
      </w:pPr>
      <w:r>
        <w:rPr>
          <w:spacing w:val="-1"/>
        </w:rPr>
        <w:t>在编制合并财务报表时，对于剩余股权，按照其在丧失控制权日的公允价值进行重新计量。处置股权</w:t>
      </w:r>
      <w:r>
        <w:rPr/>
        <w:t> </w:t>
      </w:r>
      <w:r>
        <w:rPr>
          <w:spacing w:val="-1"/>
        </w:rPr>
        <w:t>取得的对价与剩余股权公允价值之和，减去按原持股比例计算应享有原有子公司自购买日或合并日开始持</w:t>
      </w:r>
      <w:r>
        <w:rPr>
          <w:spacing w:val="-81"/>
        </w:rPr>
        <w:t> </w:t>
      </w:r>
      <w:r>
        <w:rPr>
          <w:spacing w:val="-81"/>
        </w:rPr>
      </w:r>
      <w:r>
        <w:rPr>
          <w:spacing w:val="-1"/>
        </w:rPr>
        <w:t>续计算的净资产的份额之间的差额，计入丧失控制权当期的投资收益，同时冲减商誉。与原有子公司股权</w:t>
      </w:r>
      <w:r>
        <w:rPr>
          <w:spacing w:val="-83"/>
        </w:rPr>
        <w:t> </w:t>
      </w:r>
      <w:r>
        <w:rPr>
          <w:spacing w:val="-83"/>
        </w:rPr>
      </w:r>
      <w:r>
        <w:rPr/>
        <w:t>投资相关的其他综合收益等，在丧失控制权时转为当期投资收益。 </w:t>
      </w:r>
      <w:r>
        <w:rPr>
          <w:rFonts w:ascii="宋体" w:hAnsi="宋体" w:cs="宋体" w:eastAsia="宋体" w:hint="default"/>
        </w:rPr>
        <w:t>6.6.4</w:t>
      </w:r>
      <w:r>
        <w:rPr/>
        <w:t>企业通过多次交易分步处置对子公司股权投资直至丧失控制权，且该多次交易属于一揽子交易的处</w:t>
      </w:r>
      <w:r>
        <w:rPr>
          <w:spacing w:val="-36"/>
        </w:rPr>
        <w:t> </w:t>
      </w:r>
      <w:r>
        <w:rPr>
          <w:spacing w:val="-36"/>
        </w:rPr>
      </w:r>
      <w:r>
        <w:rPr/>
        <w:t>理</w:t>
      </w:r>
    </w:p>
    <w:p>
      <w:pPr>
        <w:pStyle w:val="BodyText"/>
        <w:spacing w:line="408" w:lineRule="auto"/>
        <w:ind w:left="1134" w:right="1131" w:firstLine="420"/>
        <w:jc w:val="both"/>
      </w:pPr>
      <w:r>
        <w:rPr>
          <w:spacing w:val="-1"/>
        </w:rPr>
        <w:t>处置对子公司股权投资直至丧失控制权的各项交易属于一揽子交易的，应当将各项交易作为一项处置</w:t>
      </w:r>
      <w:r>
        <w:rPr/>
        <w:t> </w:t>
      </w: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BodyText"/>
        <w:spacing w:line="408" w:lineRule="auto"/>
        <w:ind w:left="1553" w:right="1121"/>
        <w:jc w:val="left"/>
      </w:pPr>
      <w:r>
        <w:rPr/>
        <w:t>判断分步处置股权至丧失控制权过程的各项交易是否属于一揽子交易的原则如下： </w:t>
      </w:r>
      <w:r>
        <w:rPr>
          <w:spacing w:val="-1"/>
        </w:rPr>
        <w:t>处置对子公司股权投资的各项交易的条款、条件以及经济影响符合以下一种或多种情况，通常表明多</w:t>
      </w:r>
    </w:p>
    <w:p>
      <w:pPr>
        <w:pStyle w:val="BodyText"/>
        <w:spacing w:line="408" w:lineRule="auto"/>
        <w:ind w:left="1554" w:right="4767" w:hanging="420"/>
        <w:jc w:val="left"/>
      </w:pPr>
      <w:r>
        <w:rPr/>
        <w:t>次交易事项属于一揽子交易： </w:t>
      </w:r>
      <w:r>
        <w:rPr>
          <w:rFonts w:ascii="宋体" w:hAnsi="宋体" w:cs="宋体" w:eastAsia="宋体" w:hint="default"/>
        </w:rPr>
        <w:t>1</w:t>
      </w:r>
      <w:r>
        <w:rPr/>
        <w:t>）这些交易是同时或者在考虑了彼此影响的情况下订立的；</w:t>
      </w:r>
    </w:p>
    <w:p>
      <w:pPr>
        <w:pStyle w:val="BodyText"/>
        <w:spacing w:line="240" w:lineRule="auto"/>
        <w:ind w:left="1553" w:right="1121"/>
        <w:jc w:val="left"/>
      </w:pP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4</w:t>
      </w:r>
      <w:r>
        <w:rPr/>
        <w:t>）一项交易单独看是不经济的，但是和其他交易一并考虑时是经济的。</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7、合营安排分类及共同经营会计处理方法" w:id="174"/>
      <w:bookmarkEnd w:id="174"/>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54" w:right="6972" w:hanging="420"/>
        <w:jc w:val="left"/>
      </w:pPr>
      <w:r>
        <w:rPr>
          <w:rFonts w:ascii="宋体" w:hAnsi="宋体" w:cs="宋体" w:eastAsia="宋体" w:hint="default"/>
        </w:rPr>
        <w:t>7.1</w:t>
      </w:r>
      <w:r>
        <w:rPr/>
        <w:t>合营安排的分类 合营安排分为共同经营和合营企业。</w:t>
      </w:r>
    </w:p>
    <w:p>
      <w:pPr>
        <w:pStyle w:val="BodyText"/>
        <w:spacing w:line="408" w:lineRule="auto"/>
        <w:ind w:left="1554" w:right="1121" w:hanging="420"/>
        <w:jc w:val="left"/>
      </w:pPr>
      <w:r>
        <w:rPr>
          <w:rFonts w:ascii="宋体" w:hAnsi="宋体" w:cs="宋体" w:eastAsia="宋体" w:hint="default"/>
        </w:rPr>
        <w:t>7.2</w:t>
      </w:r>
      <w:r>
        <w:rPr/>
        <w:t>共同经营参与方的会计处理 </w:t>
      </w:r>
      <w:r>
        <w:rPr>
          <w:spacing w:val="3"/>
        </w:rPr>
        <w:t>合营方确认其与共同经营中利益份额相关的下列项目，并按照相关企业会计准则的规定进行会计处</w:t>
      </w:r>
    </w:p>
    <w:p>
      <w:pPr>
        <w:pStyle w:val="BodyText"/>
        <w:spacing w:line="240" w:lineRule="auto"/>
        <w:ind w:left="1134" w:right="1121"/>
        <w:jc w:val="left"/>
      </w:pPr>
      <w:r>
        <w:rPr/>
        <w:t>理：</w:t>
      </w:r>
    </w:p>
    <w:p>
      <w:pPr>
        <w:spacing w:line="240" w:lineRule="auto" w:before="10"/>
        <w:rPr>
          <w:rFonts w:ascii="宋体" w:hAnsi="宋体" w:cs="宋体" w:eastAsia="宋体" w:hint="default"/>
          <w:sz w:val="14"/>
          <w:szCs w:val="14"/>
        </w:rPr>
      </w:pPr>
    </w:p>
    <w:p>
      <w:pPr>
        <w:pStyle w:val="BodyText"/>
        <w:spacing w:line="240" w:lineRule="auto" w:before="0"/>
        <w:ind w:left="1554" w:right="1121"/>
        <w:jc w:val="left"/>
      </w:pPr>
      <w:r>
        <w:rPr>
          <w:rFonts w:ascii="宋体" w:hAnsi="宋体" w:cs="宋体" w:eastAsia="宋体" w:hint="default"/>
        </w:rPr>
        <w:t>1</w:t>
      </w:r>
      <w:r>
        <w:rPr/>
        <w:t>）确认单独所持有的资产，以及按其份额确认共同持有的资产；</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2</w:t>
      </w:r>
      <w:r>
        <w:rPr/>
        <w:t>）确认单独所承担的负债，以及按其份额确认共同承担的负债；</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3</w:t>
      </w:r>
      <w:r>
        <w:rPr/>
        <w:t>）确认出售其享有的共同经营产出份额所产生的收入；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4</w:t>
      </w:r>
      <w:r>
        <w:rPr/>
        <w:t>）按其份额确认共同经营因出售产出所产生的收入；</w:t>
      </w:r>
    </w:p>
    <w:p>
      <w:pPr>
        <w:spacing w:line="240" w:lineRule="auto" w:before="10"/>
        <w:rPr>
          <w:rFonts w:ascii="宋体" w:hAnsi="宋体" w:cs="宋体" w:eastAsia="宋体" w:hint="default"/>
          <w:sz w:val="14"/>
          <w:szCs w:val="14"/>
        </w:rPr>
      </w:pPr>
    </w:p>
    <w:p>
      <w:pPr>
        <w:pStyle w:val="BodyText"/>
        <w:spacing w:line="408" w:lineRule="auto" w:before="0"/>
        <w:ind w:left="1553" w:right="1121"/>
        <w:jc w:val="left"/>
      </w:pPr>
      <w:r>
        <w:rPr>
          <w:rFonts w:ascii="宋体" w:hAnsi="宋体" w:cs="宋体" w:eastAsia="宋体" w:hint="default"/>
        </w:rPr>
        <w:t>5</w:t>
      </w:r>
      <w:r>
        <w:rPr/>
        <w:t>）确认单独所发生的费用，以及按其份额确认共同经营发生的费用。 </w:t>
      </w:r>
      <w:r>
        <w:rPr>
          <w:spacing w:val="-1"/>
        </w:rPr>
        <w:t>合营方向共同经营投出或出售资产等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，在该资产等由共同经营出售给第三方</w:t>
      </w:r>
    </w:p>
    <w:p>
      <w:pPr>
        <w:pStyle w:val="BodyText"/>
        <w:spacing w:line="408" w:lineRule="auto"/>
        <w:ind w:right="1121"/>
        <w:jc w:val="left"/>
      </w:pPr>
      <w:r>
        <w:rPr>
          <w:spacing w:val="-1"/>
        </w:rPr>
        <w:t>之前，仅确认因该交易产生的损益中归属于共同经营其他参与方的部分。投出或出售的资产发生符合《企</w:t>
      </w:r>
      <w:r>
        <w:rPr>
          <w:spacing w:val="-83"/>
        </w:rPr>
        <w:t> </w:t>
      </w:r>
      <w:r>
        <w:rPr>
          <w:spacing w:val="-83"/>
        </w:rPr>
      </w:r>
      <w:r>
        <w:rPr/>
        <w:t>业会计准则第</w:t>
      </w:r>
      <w:r>
        <w:rPr>
          <w:rFonts w:ascii="宋体" w:hAnsi="宋体" w:cs="宋体" w:eastAsia="宋体" w:hint="default"/>
        </w:rPr>
        <w:t>8</w:t>
      </w:r>
      <w:r>
        <w:rPr/>
        <w:t>号——资产减值》等规定的资产减值损失的，合营方全额确认该损失。</w:t>
      </w:r>
    </w:p>
    <w:p>
      <w:pPr>
        <w:pStyle w:val="BodyText"/>
        <w:spacing w:line="408" w:lineRule="auto"/>
        <w:ind w:right="1121" w:firstLine="420"/>
        <w:jc w:val="left"/>
        <w:rPr>
          <w:rFonts w:ascii="宋体" w:hAnsi="宋体" w:cs="宋体" w:eastAsia="宋体" w:hint="default"/>
        </w:rPr>
      </w:pPr>
      <w:r>
        <w:rPr>
          <w:spacing w:val="-1"/>
        </w:rPr>
        <w:t>合营方自共同经营购买资产等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，在将该资产等出售给第三方之前，仅确认因</w:t>
      </w:r>
      <w:r>
        <w:rPr/>
        <w:t> 该交易产生的损益中归属于共同经营其他参与方的部分。购入的资产发生符合《企业会计准则第</w:t>
      </w:r>
      <w:r>
        <w:rPr>
          <w:rFonts w:ascii="宋体" w:hAnsi="宋体" w:cs="宋体" w:eastAsia="宋体" w:hint="default"/>
        </w:rPr>
        <w:t>8</w:t>
      </w:r>
      <w:r>
        <w:rPr/>
        <w:t>号——</w:t>
      </w:r>
      <w:r>
        <w:rPr>
          <w:spacing w:val="-23"/>
        </w:rPr>
        <w:t> </w:t>
      </w:r>
      <w:r>
        <w:rPr>
          <w:spacing w:val="-23"/>
        </w:rPr>
      </w:r>
      <w:r>
        <w:rPr/>
        <w:t>资产减值》等规定的资产减值损失的，合营方按其承担的份额确认该部分损失。 </w:t>
      </w:r>
      <w:r>
        <w:rPr>
          <w:spacing w:val="-1"/>
        </w:rPr>
        <w:t>对共同经营不享有共同控制的参与方，如果享有该共同经营相关资产且承担该共同经营相关负债的，按照</w:t>
      </w:r>
      <w:r>
        <w:rPr>
          <w:spacing w:val="-81"/>
        </w:rPr>
        <w:t> </w:t>
      </w:r>
      <w:r>
        <w:rPr>
          <w:spacing w:val="-81"/>
        </w:rPr>
      </w:r>
      <w:r>
        <w:rPr/>
        <w:t>上述方法进行会计处理；否则，按照相关企业会计准则的规定进行会计处理。 </w:t>
      </w:r>
      <w:bookmarkStart w:name="8、现金及现金等价物的确定标准" w:id="175"/>
      <w:bookmarkEnd w:id="175"/>
      <w:r>
        <w:rPr/>
      </w:r>
      <w:r>
        <w:rPr>
          <w:rFonts w:ascii="宋体" w:hAnsi="宋体" w:cs="宋体" w:eastAsia="宋体" w:hint="default"/>
          <w:b/>
          <w:bCs/>
        </w:rPr>
        <w:t>8</w:t>
      </w:r>
      <w:r>
        <w:rPr>
          <w:rFonts w:ascii="宋体" w:hAnsi="宋体" w:cs="宋体" w:eastAsia="宋体" w:hint="default"/>
          <w:b/>
          <w:bCs/>
        </w:rPr>
        <w:t>、现金及现金等价物的确定标准</w:t>
      </w:r>
      <w:r>
        <w:rPr>
          <w:rFonts w:ascii="宋体" w:hAnsi="宋体" w:cs="宋体" w:eastAsia="宋体" w:hint="default"/>
        </w:rPr>
      </w:r>
    </w:p>
    <w:p>
      <w:pPr>
        <w:pStyle w:val="BodyText"/>
        <w:spacing w:line="240" w:lineRule="auto"/>
        <w:ind w:left="1553" w:right="1121"/>
        <w:jc w:val="left"/>
      </w:pPr>
      <w:r>
        <w:rPr>
          <w:spacing w:val="3"/>
        </w:rPr>
        <w:t>列示于现金流量表中的现金是指库存现金及可随时用于支付的存款，现金等价物是指持有的期限短</w:t>
      </w:r>
    </w:p>
    <w:p>
      <w:pPr>
        <w:spacing w:line="240" w:lineRule="auto" w:before="10"/>
        <w:rPr>
          <w:rFonts w:ascii="宋体" w:hAnsi="宋体" w:cs="宋体" w:eastAsia="宋体" w:hint="default"/>
          <w:sz w:val="14"/>
          <w:szCs w:val="14"/>
        </w:rPr>
      </w:pPr>
    </w:p>
    <w:p>
      <w:pPr>
        <w:spacing w:line="408" w:lineRule="auto" w:before="0"/>
        <w:ind w:left="1133" w:right="1093" w:firstLine="0"/>
        <w:jc w:val="left"/>
        <w:rPr>
          <w:rFonts w:ascii="宋体" w:hAnsi="宋体" w:cs="宋体" w:eastAsia="宋体" w:hint="default"/>
          <w:sz w:val="21"/>
          <w:szCs w:val="21"/>
        </w:rPr>
      </w:pPr>
      <w:r>
        <w:rPr>
          <w:rFonts w:ascii="宋体" w:hAnsi="宋体" w:cs="宋体" w:eastAsia="宋体" w:hint="default"/>
          <w:sz w:val="21"/>
          <w:szCs w:val="21"/>
        </w:rPr>
        <w:t>（一般指从购买日起三个月内到期）、流动性强、易于转换为已知金额现金及价值变动风险很小的投资。 </w:t>
      </w:r>
      <w:bookmarkStart w:name="9、外币业务和外币报表折算" w:id="176"/>
      <w:bookmarkEnd w:id="176"/>
      <w:r>
        <w:rPr>
          <w:rFonts w:ascii="宋体" w:hAnsi="宋体" w:cs="宋体" w:eastAsia="宋体" w:hint="default"/>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240" w:lineRule="auto"/>
        <w:ind w:right="1121"/>
        <w:jc w:val="left"/>
      </w:pPr>
      <w:r>
        <w:rPr>
          <w:rFonts w:ascii="宋体" w:hAnsi="宋体" w:cs="宋体" w:eastAsia="宋体" w:hint="default"/>
        </w:rPr>
        <w:t>9.1</w:t>
      </w:r>
      <w:r>
        <w:rPr/>
        <w:t>外币业务</w:t>
      </w:r>
    </w:p>
    <w:p>
      <w:pPr>
        <w:spacing w:line="240" w:lineRule="auto" w:before="10"/>
        <w:rPr>
          <w:rFonts w:ascii="宋体" w:hAnsi="宋体" w:cs="宋体" w:eastAsia="宋体" w:hint="default"/>
          <w:sz w:val="14"/>
          <w:szCs w:val="14"/>
        </w:rPr>
      </w:pPr>
    </w:p>
    <w:p>
      <w:pPr>
        <w:pStyle w:val="BodyText"/>
        <w:spacing w:line="408" w:lineRule="auto" w:before="0"/>
        <w:ind w:left="1553" w:right="1121"/>
        <w:jc w:val="left"/>
      </w:pPr>
      <w:r>
        <w:rPr/>
        <w:t>外币业务按业务发生日的即期汇率将外币金额折算为人民币入账。 </w:t>
      </w:r>
      <w:r>
        <w:rPr>
          <w:spacing w:val="-1"/>
        </w:rPr>
        <w:t>于资产负债表日，外币货币性项目采用资产负债表日的即期汇率折算为人民币，所产生的折算差额除</w:t>
      </w:r>
    </w:p>
    <w:p>
      <w:pPr>
        <w:pStyle w:val="BodyText"/>
        <w:spacing w:line="408" w:lineRule="auto"/>
        <w:ind w:right="1121"/>
        <w:jc w:val="left"/>
      </w:pPr>
      <w:r>
        <w:rPr>
          <w:spacing w:val="-1"/>
        </w:rPr>
        <w:t>了为购建或生产符合资本化条件的资产而借入的外币借款产生的汇兑差额按资本化的原则处理外，直接计</w:t>
      </w:r>
      <w:r>
        <w:rPr>
          <w:spacing w:val="-81"/>
        </w:rPr>
        <w:t> </w:t>
      </w:r>
      <w:r>
        <w:rPr>
          <w:spacing w:val="-81"/>
        </w:rPr>
      </w:r>
      <w:r>
        <w:rPr/>
        <w:t>入当期损益。以历史成本计量的外币非货币性项目，于资产负债表日采用交易发生日的即期汇率折算。 </w:t>
      </w:r>
      <w:r>
        <w:rPr>
          <w:rFonts w:ascii="宋体" w:hAnsi="宋体" w:cs="宋体" w:eastAsia="宋体" w:hint="default"/>
        </w:rPr>
        <w:t>9.2</w:t>
      </w:r>
      <w:r>
        <w:rPr/>
        <w:t>外币财务报表的折算</w:t>
      </w:r>
    </w:p>
    <w:p>
      <w:pPr>
        <w:pStyle w:val="BodyText"/>
        <w:spacing w:line="408" w:lineRule="auto"/>
        <w:ind w:right="1127" w:firstLine="420"/>
        <w:jc w:val="left"/>
        <w:rPr>
          <w:rFonts w:ascii="宋体" w:hAnsi="宋体" w:cs="宋体" w:eastAsia="宋体" w:hint="default"/>
        </w:rPr>
      </w:pPr>
      <w:r>
        <w:rPr>
          <w:spacing w:val="-1"/>
        </w:rPr>
        <w:t>以非记账本位币编制的资产负债表中的资产和负债项目，采用资产负债表日的即期汇率折算成记账本</w:t>
      </w:r>
      <w:r>
        <w:rPr/>
        <w:t> </w:t>
      </w:r>
      <w:r>
        <w:rPr>
          <w:spacing w:val="-1"/>
        </w:rPr>
        <w:t>位币，所有者权益中除未分配利润项目外，其他项目采用发生时的即期汇率折算。以非记账本位币编制的</w:t>
      </w:r>
      <w:r>
        <w:rPr>
          <w:spacing w:val="-83"/>
        </w:rPr>
        <w:t> </w:t>
      </w:r>
      <w:r>
        <w:rPr>
          <w:spacing w:val="-83"/>
        </w:rPr>
      </w:r>
      <w:r>
        <w:rPr>
          <w:spacing w:val="-1"/>
        </w:rPr>
        <w:t>利润表中的收入与费用项目，采用交易发生日的即期汇率折算成记账本位币。上述折算产生的外币报表折</w:t>
      </w:r>
      <w:r>
        <w:rPr>
          <w:spacing w:val="-81"/>
        </w:rPr>
        <w:t> </w:t>
      </w:r>
      <w:r>
        <w:rPr>
          <w:spacing w:val="-81"/>
        </w:rPr>
      </w:r>
      <w:r>
        <w:rPr>
          <w:spacing w:val="-1"/>
        </w:rPr>
        <w:t>算差额，在其他综合收益中核算。以非记账本位币编制的现金流量表中各项目的现金流量采用现金流量发</w:t>
      </w:r>
      <w:r>
        <w:rPr>
          <w:spacing w:val="-81"/>
        </w:rPr>
        <w:t> </w:t>
      </w:r>
      <w:r>
        <w:rPr>
          <w:spacing w:val="-81"/>
        </w:rPr>
      </w:r>
      <w:r>
        <w:rPr/>
        <w:t>生日的即期汇率折算成记账本位币。汇率变动对现金的影响额，在现金流量表中单独列示。 </w:t>
      </w:r>
      <w:bookmarkStart w:name="10、金融工具" w:id="177"/>
      <w:bookmarkEnd w:id="177"/>
      <w:r>
        <w:rPr/>
      </w:r>
      <w:r>
        <w:rPr>
          <w:rFonts w:ascii="宋体" w:hAnsi="宋体" w:cs="宋体" w:eastAsia="宋体" w:hint="default"/>
          <w:b/>
          <w:bCs/>
        </w:rPr>
        <w:t>10</w:t>
      </w:r>
      <w:r>
        <w:rPr>
          <w:rFonts w:ascii="宋体" w:hAnsi="宋体" w:cs="宋体" w:eastAsia="宋体" w:hint="default"/>
          <w:b/>
          <w:bCs/>
        </w:rPr>
        <w:t>、金融工具</w:t>
      </w:r>
      <w:r>
        <w:rPr>
          <w:rFonts w:ascii="宋体" w:hAnsi="宋体" w:cs="宋体" w:eastAsia="宋体" w:hint="default"/>
        </w:rPr>
      </w:r>
    </w:p>
    <w:p>
      <w:pPr>
        <w:pStyle w:val="BodyText"/>
        <w:spacing w:line="408" w:lineRule="auto"/>
        <w:ind w:left="1553" w:right="4033" w:hanging="420"/>
        <w:jc w:val="left"/>
      </w:pPr>
      <w:r>
        <w:rPr>
          <w:rFonts w:ascii="宋体" w:hAnsi="宋体" w:cs="宋体" w:eastAsia="宋体" w:hint="default"/>
        </w:rPr>
        <w:t>10.1</w:t>
      </w:r>
      <w:r>
        <w:rPr/>
        <w:t>金融工具的确认和终止确认 本公司于成为金融工具合同的一方时确认一项金融资产或金融负债。 金融资产满足下列条件之一的，终止确认：</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1</w:t>
      </w:r>
      <w:r>
        <w:rPr/>
        <w:t>）收取该金融资产现金流量的合同权利终止；</w:t>
      </w:r>
    </w:p>
    <w:p>
      <w:pPr>
        <w:spacing w:line="240" w:lineRule="auto" w:before="10"/>
        <w:rPr>
          <w:rFonts w:ascii="宋体" w:hAnsi="宋体" w:cs="宋体" w:eastAsia="宋体" w:hint="default"/>
          <w:sz w:val="14"/>
          <w:szCs w:val="14"/>
        </w:rPr>
      </w:pPr>
    </w:p>
    <w:p>
      <w:pPr>
        <w:pStyle w:val="BodyText"/>
        <w:spacing w:line="408" w:lineRule="auto" w:before="0"/>
        <w:ind w:right="1137" w:firstLine="420"/>
        <w:jc w:val="both"/>
      </w:pPr>
      <w:r>
        <w:rPr>
          <w:rFonts w:ascii="宋体" w:hAnsi="宋体" w:cs="宋体" w:eastAsia="宋体" w:hint="default"/>
        </w:rPr>
        <w:t>2</w:t>
      </w:r>
      <w:r>
        <w:rPr/>
        <w:t>）该金融资产已转移，且符合《企业会计准则第</w:t>
      </w:r>
      <w:r>
        <w:rPr>
          <w:rFonts w:ascii="宋体" w:hAnsi="宋体" w:cs="宋体" w:eastAsia="宋体" w:hint="default"/>
        </w:rPr>
        <w:t>23</w:t>
      </w:r>
      <w:r>
        <w:rPr/>
        <w:t>号－金融资产转移》规定的金融资产终止确认条 件。</w:t>
      </w:r>
    </w:p>
    <w:p>
      <w:pPr>
        <w:pStyle w:val="BodyText"/>
        <w:spacing w:line="408" w:lineRule="auto"/>
        <w:ind w:right="2983" w:firstLine="420"/>
        <w:jc w:val="left"/>
      </w:pPr>
      <w:r>
        <w:rPr/>
        <w:t>金融负债的现时义务全部或部分已经解除的，终止确认该金融负债或其一部分。 </w:t>
      </w:r>
      <w:r>
        <w:rPr>
          <w:rFonts w:ascii="宋体" w:hAnsi="宋体" w:cs="宋体" w:eastAsia="宋体" w:hint="default"/>
        </w:rPr>
        <w:t>10.2</w:t>
      </w:r>
      <w:r>
        <w:rPr/>
        <w:t>金融资产的分类</w:t>
      </w:r>
    </w:p>
    <w:p>
      <w:pPr>
        <w:pStyle w:val="BodyText"/>
        <w:spacing w:line="408" w:lineRule="auto"/>
        <w:ind w:right="1131" w:firstLine="420"/>
        <w:jc w:val="both"/>
      </w:pPr>
      <w:r>
        <w:rPr>
          <w:spacing w:val="-1"/>
        </w:rPr>
        <w:t>金融资产于初始确认时分类为：以公允价值计量且其变动计入当期损益的金融资产、应收款项、可供</w:t>
      </w:r>
      <w:r>
        <w:rPr/>
        <w:t> 出售金融资产和持有至到期投资。金融资产的分类取决于本公司对金融资产的持有意图和持有能力。</w:t>
      </w:r>
    </w:p>
    <w:p>
      <w:pPr>
        <w:pStyle w:val="BodyText"/>
        <w:spacing w:line="408" w:lineRule="auto"/>
        <w:ind w:left="1553" w:right="1121"/>
        <w:jc w:val="left"/>
      </w:pPr>
      <w:r>
        <w:rPr>
          <w:rFonts w:ascii="宋体" w:hAnsi="宋体" w:cs="宋体" w:eastAsia="宋体" w:hint="default"/>
        </w:rPr>
        <w:t>1</w:t>
      </w:r>
      <w:r>
        <w:rPr/>
        <w:t>）以公允价值计量且其变动计入当期损益的金融资产 </w:t>
      </w:r>
      <w:r>
        <w:rPr>
          <w:spacing w:val="-1"/>
        </w:rPr>
        <w:t>以公允价值计量且其变动计入当期损益的金融资产包括持有目的为短期内出售的金融资产，该资产在</w:t>
      </w:r>
    </w:p>
    <w:p>
      <w:pPr>
        <w:pStyle w:val="BodyText"/>
        <w:spacing w:line="408" w:lineRule="auto"/>
        <w:ind w:left="1553" w:right="7183" w:hanging="420"/>
        <w:jc w:val="left"/>
      </w:pPr>
      <w:r>
        <w:rPr/>
        <w:t>资产负债表中以交易性金融资产列示。 </w:t>
      </w:r>
      <w:r>
        <w:rPr>
          <w:rFonts w:ascii="宋体" w:hAnsi="宋体" w:cs="宋体" w:eastAsia="宋体" w:hint="default"/>
        </w:rPr>
        <w:t>2</w:t>
      </w:r>
      <w:r>
        <w:rPr/>
        <w:t>）应收款项</w:t>
      </w:r>
    </w:p>
    <w:p>
      <w:pPr>
        <w:pStyle w:val="BodyText"/>
        <w:spacing w:line="408" w:lineRule="auto"/>
        <w:ind w:right="1131" w:firstLine="420"/>
        <w:jc w:val="both"/>
      </w:pPr>
      <w:r>
        <w:rPr>
          <w:spacing w:val="-1"/>
        </w:rPr>
        <w:t>应收款项是指在活跃市场中没有报价、回收金额固定或可确定的非衍生金融资产，包括应收账款、其</w:t>
      </w:r>
      <w:r>
        <w:rPr/>
        <w:t> 他应收款和长期应收款等。</w:t>
      </w:r>
    </w:p>
    <w:p>
      <w:pPr>
        <w:pStyle w:val="BodyText"/>
        <w:spacing w:line="408" w:lineRule="auto"/>
        <w:ind w:left="1553" w:right="1121"/>
        <w:jc w:val="left"/>
      </w:pPr>
      <w:r>
        <w:rPr>
          <w:rFonts w:ascii="宋体" w:hAnsi="宋体" w:cs="宋体" w:eastAsia="宋体" w:hint="default"/>
        </w:rPr>
        <w:t>3</w:t>
      </w:r>
      <w:r>
        <w:rPr/>
        <w:t>）可供出售金融资产 </w:t>
      </w:r>
      <w:r>
        <w:rPr>
          <w:spacing w:val="3"/>
        </w:rPr>
        <w:t>可供出售金融资产包括初始确认时即被指定为可供出售的非衍生金融资产及未被划分为其他类的金</w:t>
      </w:r>
    </w:p>
    <w:p>
      <w:pPr>
        <w:pStyle w:val="BodyText"/>
        <w:spacing w:line="408" w:lineRule="auto"/>
        <w:ind w:right="1121"/>
        <w:jc w:val="left"/>
      </w:pPr>
      <w:r>
        <w:rPr>
          <w:spacing w:val="-1"/>
        </w:rPr>
        <w:t>融资产。自资产负债表日起</w:t>
      </w:r>
      <w:r>
        <w:rPr>
          <w:rFonts w:ascii="宋体" w:hAnsi="宋体" w:cs="宋体" w:eastAsia="宋体" w:hint="default"/>
          <w:spacing w:val="-1"/>
        </w:rPr>
        <w:t>12</w:t>
      </w:r>
      <w:r>
        <w:rPr>
          <w:spacing w:val="-1"/>
        </w:rPr>
        <w:t>个月内将出售的可供出售金融资产在资产负债表中列示为一年内到期的非流</w:t>
      </w:r>
      <w:r>
        <w:rPr>
          <w:spacing w:val="-82"/>
        </w:rPr>
        <w:t> </w:t>
      </w:r>
      <w:r>
        <w:rPr>
          <w:spacing w:val="-82"/>
        </w:rPr>
      </w:r>
      <w:r>
        <w:rPr/>
        <w:t>动资产。</w:t>
      </w:r>
    </w:p>
    <w:p>
      <w:pPr>
        <w:pStyle w:val="BodyText"/>
        <w:spacing w:line="408" w:lineRule="auto"/>
        <w:ind w:left="1554" w:right="1121"/>
        <w:jc w:val="left"/>
      </w:pPr>
      <w:r>
        <w:rPr>
          <w:rFonts w:ascii="宋体" w:hAnsi="宋体" w:cs="宋体" w:eastAsia="宋体" w:hint="default"/>
        </w:rPr>
        <w:t>4</w:t>
      </w:r>
      <w:r>
        <w:rPr/>
        <w:t>）持有至到期投资 </w:t>
      </w:r>
      <w:r>
        <w:rPr>
          <w:spacing w:val="-1"/>
        </w:rPr>
        <w:t>持有至到期投资是指到期日固定、回收金额固定或可确定，且管理层有明确意图和能力持有至到期的</w:t>
      </w:r>
    </w:p>
    <w:p>
      <w:pPr>
        <w:pStyle w:val="BodyText"/>
        <w:spacing w:line="408" w:lineRule="auto"/>
        <w:ind w:right="1121"/>
        <w:jc w:val="left"/>
      </w:pPr>
      <w:r>
        <w:rPr>
          <w:spacing w:val="-1"/>
        </w:rPr>
        <w:t>非衍生金融资产。自资产负债表日起</w:t>
      </w:r>
      <w:r>
        <w:rPr>
          <w:rFonts w:ascii="宋体" w:hAnsi="宋体" w:cs="宋体" w:eastAsia="宋体" w:hint="default"/>
          <w:spacing w:val="-1"/>
        </w:rPr>
        <w:t>12</w:t>
      </w:r>
      <w:r>
        <w:rPr>
          <w:spacing w:val="-1"/>
        </w:rPr>
        <w:t>个月内到期的持有至到期投资在资产负债表中列示为一年内到期的</w:t>
      </w:r>
      <w:r>
        <w:rPr>
          <w:spacing w:val="-82"/>
        </w:rPr>
        <w:t> </w:t>
      </w:r>
      <w:r>
        <w:rPr>
          <w:spacing w:val="-82"/>
        </w:rPr>
      </w:r>
      <w:r>
        <w:rPr/>
        <w:t>非流动资产。</w:t>
      </w:r>
    </w:p>
    <w:p>
      <w:pPr>
        <w:pStyle w:val="BodyText"/>
        <w:spacing w:line="408" w:lineRule="auto"/>
        <w:ind w:left="1553" w:right="1121" w:hanging="420"/>
        <w:jc w:val="left"/>
      </w:pPr>
      <w:r>
        <w:rPr>
          <w:rFonts w:ascii="宋体" w:hAnsi="宋体" w:cs="宋体" w:eastAsia="宋体" w:hint="default"/>
        </w:rPr>
        <w:t>10.3</w:t>
      </w:r>
      <w:r>
        <w:rPr/>
        <w:t>金融资产的计量 </w:t>
      </w:r>
      <w:r>
        <w:rPr>
          <w:spacing w:val="-1"/>
        </w:rPr>
        <w:t>金融资产于本公司成为金融工具合同的一方时，按公允价值在资产负债表内确认。以公允价值计量且</w:t>
      </w:r>
    </w:p>
    <w:p>
      <w:pPr>
        <w:pStyle w:val="BodyText"/>
        <w:spacing w:line="408" w:lineRule="auto"/>
        <w:ind w:right="1121"/>
        <w:jc w:val="left"/>
      </w:pPr>
      <w:r>
        <w:rPr>
          <w:spacing w:val="-1"/>
        </w:rPr>
        <w:t>其变动计入当期损益的金融资产，取得时发生的相关交易费用直接计入当期损益。其他金融资产的相关交</w:t>
      </w:r>
      <w:r>
        <w:rPr>
          <w:spacing w:val="-81"/>
        </w:rPr>
        <w:t> </w:t>
      </w:r>
      <w:r>
        <w:rPr>
          <w:spacing w:val="-81"/>
        </w:rPr>
      </w:r>
      <w:r>
        <w:rPr/>
        <w:t>易费用计入初始确认金额。</w:t>
      </w:r>
    </w:p>
    <w:p>
      <w:pPr>
        <w:pStyle w:val="BodyText"/>
        <w:spacing w:line="408" w:lineRule="auto"/>
        <w:ind w:right="1110" w:firstLine="420"/>
        <w:jc w:val="both"/>
      </w:pPr>
      <w:r>
        <w:rPr/>
        <w:t>以公允价值计量且其变动计入当期损益的金融资产和可供出售金融资产按照公允价值进行后续计量， </w:t>
      </w:r>
      <w:r>
        <w:rPr>
          <w:spacing w:val="-1"/>
        </w:rPr>
        <w:t>但在活跃市场中没有报价且其公允价值不能可靠计量的权益工具投资，按照成本计量；应收款项以及持有</w:t>
      </w:r>
      <w:r>
        <w:rPr>
          <w:spacing w:val="-81"/>
        </w:rPr>
        <w:t> </w:t>
      </w:r>
      <w:r>
        <w:rPr>
          <w:spacing w:val="-81"/>
        </w:rPr>
      </w:r>
      <w:r>
        <w:rPr/>
        <w:t>至到期投资采用实际利率法，以摊余成本计量。</w:t>
      </w:r>
    </w:p>
    <w:p>
      <w:pPr>
        <w:pStyle w:val="BodyText"/>
        <w:spacing w:line="408" w:lineRule="auto"/>
        <w:ind w:right="1132" w:firstLine="420"/>
        <w:jc w:val="both"/>
      </w:pPr>
      <w:r>
        <w:rPr>
          <w:spacing w:val="-1"/>
        </w:rPr>
        <w:t>以公允价值计量且其变动计入当期损益的金融资产的公允价值变动计入公允价值变动损益；在资产持</w:t>
      </w:r>
      <w:r>
        <w:rPr/>
        <w:t> 有期间所取得的利息或现金股利以及在处置时产生的处置损益，计入当期损益。</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0" w:firstLine="420"/>
        <w:jc w:val="both"/>
      </w:pPr>
      <w:r>
        <w:rPr>
          <w:spacing w:val="-1"/>
        </w:rPr>
        <w:t>除减值损失及外币货币性金融资产形成的汇兑损益外，可供出售金融资产公允价值变动计入所有者权</w:t>
      </w:r>
      <w:r>
        <w:rPr/>
        <w:t> </w:t>
      </w:r>
      <w:r>
        <w:rPr>
          <w:spacing w:val="-1"/>
        </w:rPr>
        <w:t>益，待该金融资产终止确认时，原直接计入权益的公允价值变动累计额转入当期损益。可供出售债务工具</w:t>
      </w:r>
      <w:r>
        <w:rPr>
          <w:spacing w:val="-83"/>
        </w:rPr>
        <w:t> </w:t>
      </w:r>
      <w:r>
        <w:rPr>
          <w:spacing w:val="-83"/>
        </w:rPr>
      </w:r>
      <w:r>
        <w:rPr>
          <w:spacing w:val="-1"/>
        </w:rPr>
        <w:t>投资在持有期间按实际利率法计算利息，计入投资收益；可供出售权益工具投资的现金股利，于被投资单</w:t>
      </w:r>
      <w:r>
        <w:rPr>
          <w:spacing w:val="-82"/>
        </w:rPr>
        <w:t> </w:t>
      </w:r>
      <w:r>
        <w:rPr>
          <w:spacing w:val="-82"/>
        </w:rPr>
      </w:r>
      <w:r>
        <w:rPr/>
        <w:t>位宣告发放股利时计入投资收益。</w:t>
      </w:r>
    </w:p>
    <w:p>
      <w:pPr>
        <w:pStyle w:val="BodyText"/>
        <w:spacing w:line="408" w:lineRule="auto"/>
        <w:ind w:left="1553" w:right="1121" w:hanging="420"/>
        <w:jc w:val="left"/>
      </w:pPr>
      <w:r>
        <w:rPr>
          <w:rFonts w:ascii="宋体" w:hAnsi="宋体" w:cs="宋体" w:eastAsia="宋体" w:hint="default"/>
        </w:rPr>
        <w:t>10.4</w:t>
      </w:r>
      <w:r>
        <w:rPr/>
        <w:t>金融资产转移的确认依据和计量方法 </w:t>
      </w:r>
      <w:r>
        <w:rPr>
          <w:spacing w:val="-1"/>
        </w:rPr>
        <w:t>公司已将金融资产所有权上几乎所有的风险和报酬转移给转入方的，终止确认该金融资产；保留了金</w:t>
      </w:r>
    </w:p>
    <w:p>
      <w:pPr>
        <w:pStyle w:val="BodyText"/>
        <w:spacing w:line="408" w:lineRule="auto"/>
        <w:ind w:left="1553" w:right="2983" w:hanging="420"/>
        <w:jc w:val="left"/>
      </w:pPr>
      <w:r>
        <w:rPr/>
        <w:t>融资产所有权上几乎所有的风险和报酬的，不终止确认该金融资产。 金融资产整体转移满足终止确认条件的，将下列两项金额的差额计入当期损益： </w:t>
      </w:r>
      <w:r>
        <w:rPr>
          <w:rFonts w:ascii="宋体" w:hAnsi="宋体" w:cs="宋体" w:eastAsia="宋体" w:hint="default"/>
        </w:rPr>
        <w:t>1</w:t>
      </w:r>
      <w:r>
        <w:rPr/>
        <w:t>）所转移金融资产的账面价值；</w:t>
      </w:r>
    </w:p>
    <w:p>
      <w:pPr>
        <w:pStyle w:val="BodyText"/>
        <w:spacing w:line="408" w:lineRule="auto"/>
        <w:ind w:right="1141" w:firstLine="420"/>
        <w:jc w:val="both"/>
      </w:pPr>
      <w:r>
        <w:rPr>
          <w:rFonts w:ascii="宋体" w:hAnsi="宋体" w:cs="宋体" w:eastAsia="宋体" w:hint="default"/>
        </w:rPr>
        <w:t>2</w:t>
      </w:r>
      <w:r>
        <w:rPr/>
        <w:t>）因转移而收到的对价，与原直接计入所有者权益的公允价值变动累计额（涉及转移的金融资产为 可供出售金融资产的情形）之和。</w:t>
      </w:r>
    </w:p>
    <w:p>
      <w:pPr>
        <w:pStyle w:val="BodyText"/>
        <w:spacing w:line="408" w:lineRule="auto"/>
        <w:ind w:right="1131" w:firstLine="420"/>
        <w:jc w:val="both"/>
      </w:pPr>
      <w:r>
        <w:rPr>
          <w:spacing w:val="-1"/>
        </w:rPr>
        <w:t>因金融资产转移获得了新金融资产或承担了新金融负债的，在转移日按照公允价值确认该金融资产或</w:t>
      </w:r>
      <w:r>
        <w:rPr/>
        <w:t> </w:t>
      </w:r>
      <w:r>
        <w:rPr>
          <w:spacing w:val="-1"/>
        </w:rPr>
        <w:t>金融负债（包括看涨期权、看跌期权、担保负债、远期合同、互换等），并将该金融资产扣除金融负债后</w:t>
      </w:r>
      <w:r>
        <w:rPr>
          <w:spacing w:val="-85"/>
        </w:rPr>
        <w:t> </w:t>
      </w:r>
      <w:r>
        <w:rPr>
          <w:spacing w:val="-85"/>
        </w:rPr>
      </w:r>
      <w:r>
        <w:rPr/>
        <w:t>的净额作为上述对价的组成部分。</w:t>
      </w:r>
    </w:p>
    <w:p>
      <w:pPr>
        <w:pStyle w:val="BodyText"/>
        <w:spacing w:line="408" w:lineRule="auto"/>
        <w:ind w:right="1131" w:firstLine="420"/>
        <w:jc w:val="both"/>
      </w:pPr>
      <w:r>
        <w:rPr>
          <w:spacing w:val="-1"/>
        </w:rPr>
        <w:t>公司与金融资产转入方签订服务合同提供相关服务的（包括收取该金融资产的现金流量，并将所收取</w:t>
      </w:r>
      <w:r>
        <w:rPr/>
        <w:t> </w:t>
      </w:r>
      <w:r>
        <w:rPr>
          <w:spacing w:val="-1"/>
        </w:rPr>
        <w:t>的现金流量交付给指定的资金保管机构等），就该服务合同确认一项服务资产或服务负债。服务负债应当</w:t>
      </w:r>
      <w:r>
        <w:rPr>
          <w:spacing w:val="-83"/>
        </w:rPr>
        <w:t> </w:t>
      </w:r>
      <w:r>
        <w:rPr>
          <w:spacing w:val="-83"/>
        </w:rPr>
      </w:r>
      <w:r>
        <w:rPr/>
        <w:t>按照公允价值进行初始计量，并作为上述对价的组成部分。</w:t>
      </w:r>
    </w:p>
    <w:p>
      <w:pPr>
        <w:pStyle w:val="BodyText"/>
        <w:spacing w:line="408" w:lineRule="auto"/>
        <w:ind w:right="1131" w:firstLine="420"/>
        <w:jc w:val="both"/>
      </w:pPr>
      <w:r>
        <w:rPr>
          <w:spacing w:val="-1"/>
        </w:rPr>
        <w:t>金融资产部分转移满足终止确认条件的，将所转移金融资产整体的账面价值，在终止确认部分和未终</w:t>
      </w:r>
      <w:r>
        <w:rPr/>
        <w:t> </w:t>
      </w:r>
      <w:r>
        <w:rPr>
          <w:spacing w:val="-1"/>
        </w:rPr>
        <w:t>止确认部分（在此种情况下，所保留的服务资产视同未终止确认金融资产的一部分）之间，按照各自的相</w:t>
      </w:r>
      <w:r>
        <w:rPr>
          <w:spacing w:val="-84"/>
        </w:rPr>
        <w:t> </w:t>
      </w:r>
      <w:r>
        <w:rPr>
          <w:spacing w:val="-84"/>
        </w:rPr>
      </w:r>
      <w:r>
        <w:rPr/>
        <w:t>对公允价值进行分摊，并将下列两项金额的差额计入当期损益：</w:t>
      </w:r>
    </w:p>
    <w:p>
      <w:pPr>
        <w:pStyle w:val="BodyText"/>
        <w:spacing w:line="240" w:lineRule="auto"/>
        <w:ind w:left="1553" w:right="1121"/>
        <w:jc w:val="left"/>
      </w:pP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right="1141" w:firstLine="420"/>
        <w:jc w:val="both"/>
      </w:pPr>
      <w:r>
        <w:rPr>
          <w:rFonts w:ascii="宋体" w:hAnsi="宋体" w:cs="宋体" w:eastAsia="宋体" w:hint="default"/>
        </w:rPr>
        <w:t>2</w:t>
      </w:r>
      <w:r>
        <w:rPr/>
        <w:t>）终止确认部分的对价，与原直接计入所有者权益的公允价值变动累计额中对应终止确认部分的金 额（涉及转移的金融资产为可供出售金融资产的情形）之和。</w:t>
      </w:r>
    </w:p>
    <w:p>
      <w:pPr>
        <w:pStyle w:val="BodyText"/>
        <w:spacing w:line="408" w:lineRule="auto"/>
        <w:ind w:right="1132" w:firstLine="420"/>
        <w:jc w:val="both"/>
      </w:pPr>
      <w:r>
        <w:rPr>
          <w:spacing w:val="-1"/>
        </w:rPr>
        <w:t>原直接计入所有者权益的公允价值变动累计额中对应终止确认部分的金额，按照金融资产终止确认部</w:t>
      </w:r>
      <w:r>
        <w:rPr/>
        <w:t> 分和未终止确认部分的相对公允价值，对该累计额进行分摊后确定。</w:t>
      </w:r>
    </w:p>
    <w:p>
      <w:pPr>
        <w:pStyle w:val="BodyText"/>
        <w:spacing w:line="408" w:lineRule="auto"/>
        <w:ind w:left="1553" w:right="1093" w:hanging="420"/>
        <w:jc w:val="left"/>
      </w:pPr>
      <w:r>
        <w:rPr>
          <w:rFonts w:ascii="宋体" w:hAnsi="宋体" w:cs="宋体" w:eastAsia="宋体" w:hint="default"/>
        </w:rPr>
        <w:t>10.5</w:t>
      </w:r>
      <w:r>
        <w:rPr/>
        <w:t>金融负债的分类 金融负债于初始确认时分类为：以公允价值计量且其变动计入当期损益的金融负债和其他金融负债。</w:t>
      </w:r>
    </w:p>
    <w:p>
      <w:pPr>
        <w:pStyle w:val="BodyText"/>
        <w:spacing w:line="408" w:lineRule="auto"/>
        <w:ind w:right="1121"/>
        <w:jc w:val="left"/>
      </w:pPr>
      <w:r>
        <w:rPr>
          <w:spacing w:val="-1"/>
        </w:rPr>
        <w:t>以公允价值计量且其变动计入当期损益的金融负债，包括交易性金融负债和初始确认时指定为以公允价值</w:t>
      </w:r>
      <w:r>
        <w:rPr>
          <w:spacing w:val="-81"/>
        </w:rPr>
        <w:t> </w:t>
      </w:r>
      <w:r>
        <w:rPr>
          <w:spacing w:val="-81"/>
        </w:rPr>
      </w:r>
      <w:r>
        <w:rPr/>
        <w:t>计量且其变动计入当期损益的金融负债。</w:t>
      </w:r>
    </w:p>
    <w:p>
      <w:pPr>
        <w:pStyle w:val="BodyText"/>
        <w:spacing w:line="240" w:lineRule="auto"/>
        <w:ind w:right="1121"/>
        <w:jc w:val="left"/>
      </w:pPr>
      <w:r>
        <w:rPr>
          <w:rFonts w:ascii="宋体" w:hAnsi="宋体" w:cs="宋体" w:eastAsia="宋体" w:hint="default"/>
        </w:rPr>
        <w:t>10.6</w:t>
      </w:r>
      <w:r>
        <w:rPr/>
        <w:t>金融负债的计量</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31" w:firstLine="420"/>
        <w:jc w:val="both"/>
      </w:pPr>
      <w:r>
        <w:rPr>
          <w:spacing w:val="-1"/>
        </w:rPr>
        <w:t>金融负债于本公司成为金融工具合同的一方时，按公允价值在资产负债表内确认。以公允价值计量且</w:t>
      </w:r>
      <w:r>
        <w:rPr/>
        <w:t> </w:t>
      </w:r>
      <w:r>
        <w:rPr>
          <w:spacing w:val="-1"/>
        </w:rPr>
        <w:t>其变动计入当期损益的金融负债，取得时发生的相关交易费用直接计入当期损益；其他金融负债的相关交</w:t>
      </w:r>
      <w:r>
        <w:rPr>
          <w:spacing w:val="-81"/>
        </w:rPr>
        <w:t> </w:t>
      </w:r>
      <w:r>
        <w:rPr>
          <w:spacing w:val="-81"/>
        </w:rPr>
      </w:r>
      <w:r>
        <w:rPr/>
        <w:t>易费用计入初始确认金额。</w:t>
      </w:r>
    </w:p>
    <w:p>
      <w:pPr>
        <w:pStyle w:val="BodyText"/>
        <w:spacing w:line="408" w:lineRule="auto"/>
        <w:ind w:right="1121" w:firstLine="420"/>
        <w:jc w:val="left"/>
      </w:pPr>
      <w:r>
        <w:rPr>
          <w:spacing w:val="-1"/>
        </w:rPr>
        <w:t>以公允价值计量且其变动计入当期损益的金融负债，按照公允价值后续计量，且不扣除将来结清金融</w:t>
      </w:r>
      <w:r>
        <w:rPr/>
        <w:t> 负债时可能发生的交易费用。其他金融负债，采用实际利率法，按照摊余成本进行后续计量。 </w:t>
      </w:r>
      <w:r>
        <w:rPr>
          <w:rFonts w:ascii="宋体" w:hAnsi="宋体" w:cs="宋体" w:eastAsia="宋体" w:hint="default"/>
        </w:rPr>
        <w:t>10.7</w:t>
      </w:r>
      <w:r>
        <w:rPr/>
        <w:t>金融资产和金融负债的公允价值的确定方法</w:t>
      </w:r>
    </w:p>
    <w:p>
      <w:pPr>
        <w:pStyle w:val="BodyText"/>
        <w:spacing w:line="408" w:lineRule="auto"/>
        <w:ind w:right="1110" w:firstLine="420"/>
        <w:jc w:val="both"/>
      </w:pPr>
      <w:r>
        <w:rPr>
          <w:spacing w:val="-1"/>
        </w:rPr>
        <w:t>存在活跃市场的金融资产或金融负债，采用活跃市场中的报价确定其公允价值。金融工具不存在活跃</w:t>
      </w:r>
      <w:r>
        <w:rPr/>
        <w:t> </w:t>
      </w:r>
      <w:r>
        <w:rPr>
          <w:spacing w:val="-1"/>
        </w:rPr>
        <w:t>市场的，采用估值技术确定其公允价值，估值技术包括参考熟悉情况并自愿交易的各方最近进行的市场交</w:t>
      </w:r>
      <w:r>
        <w:rPr>
          <w:spacing w:val="-81"/>
        </w:rPr>
        <w:t> </w:t>
      </w:r>
      <w:r>
        <w:rPr>
          <w:spacing w:val="-81"/>
        </w:rPr>
      </w:r>
      <w:r>
        <w:rPr/>
        <w:t>易中使用的价格、参照实质上相同的其他金融工具的当前公允价值、现金流量折现法和期权定价模型等。 </w:t>
      </w:r>
      <w:r>
        <w:rPr>
          <w:rFonts w:ascii="宋体" w:hAnsi="宋体" w:cs="宋体" w:eastAsia="宋体" w:hint="default"/>
        </w:rPr>
        <w:t>10.8</w:t>
      </w:r>
      <w:r>
        <w:rPr/>
        <w:t>金融资产减值测试方法及会计处理方法</w:t>
      </w:r>
    </w:p>
    <w:p>
      <w:pPr>
        <w:pStyle w:val="BodyText"/>
        <w:spacing w:line="408" w:lineRule="auto"/>
        <w:ind w:right="1132" w:firstLine="420"/>
        <w:jc w:val="both"/>
      </w:pPr>
      <w:r>
        <w:rPr>
          <w:spacing w:val="-1"/>
        </w:rPr>
        <w:t>除以公允价值计量且其变动计入当期损益的金融资产外，本公司于资产负债表日对金融资产的账面价</w:t>
      </w:r>
      <w:r>
        <w:rPr/>
        <w:t> 值进行检查，如果有客观证据表明某项金融资产发生减值的，计提减值准备。</w:t>
      </w:r>
    </w:p>
    <w:p>
      <w:pPr>
        <w:pStyle w:val="BodyText"/>
        <w:spacing w:line="408" w:lineRule="auto"/>
        <w:ind w:right="1130" w:firstLine="420"/>
        <w:jc w:val="both"/>
      </w:pP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r>
        <w:rPr/>
        <w:t> </w:t>
      </w: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pStyle w:val="BodyText"/>
        <w:spacing w:line="408" w:lineRule="auto"/>
        <w:ind w:right="1131" w:firstLine="420"/>
        <w:jc w:val="both"/>
      </w:pPr>
      <w:r>
        <w:rPr>
          <w:spacing w:val="-1"/>
        </w:rPr>
        <w:t>当可供出售金融资产的公允价值发生较大幅度或非暂时性下降，原直接计入所有者权益的因公允价值</w:t>
      </w:r>
      <w:r>
        <w:rPr/>
        <w:t> </w:t>
      </w:r>
      <w:r>
        <w:rPr>
          <w:spacing w:val="-1"/>
        </w:rPr>
        <w:t>下降形成的累计损失计入减值损失。对已确认减值损失的可供出售债务工具投资，在期后公允价值上升且</w:t>
      </w:r>
      <w:r>
        <w:rPr>
          <w:spacing w:val="-81"/>
        </w:rPr>
        <w:t> </w:t>
      </w:r>
      <w:r>
        <w:rPr>
          <w:spacing w:val="-81"/>
        </w:rPr>
      </w:r>
      <w:r>
        <w:rPr>
          <w:spacing w:val="-1"/>
        </w:rPr>
        <w:t>客观上与确认原减值损失确认后发生的事项有关的，原确认的减值损失予以转回，计入当期损益。对已确</w:t>
      </w:r>
      <w:r>
        <w:rPr>
          <w:spacing w:val="-83"/>
        </w:rPr>
        <w:t> </w:t>
      </w:r>
      <w:r>
        <w:rPr>
          <w:spacing w:val="-83"/>
        </w:rPr>
      </w:r>
      <w:r>
        <w:rPr>
          <w:spacing w:val="-1"/>
        </w:rPr>
        <w:t>认减值损失的可供出售权益工具投资，在期后公允价值上升且客观上与确认原减值损失后发生的事项有关</w:t>
      </w:r>
      <w:r>
        <w:rPr>
          <w:spacing w:val="-81"/>
        </w:rPr>
        <w:t> </w:t>
      </w:r>
      <w:r>
        <w:rPr>
          <w:spacing w:val="-81"/>
        </w:rPr>
      </w:r>
      <w:r>
        <w:rPr>
          <w:spacing w:val="-1"/>
        </w:rPr>
        <w:t>的，原确认的减值损失予以转回，直接计入所有者权益。在活跃市场中没有报价且其公允价值不能可靠计</w:t>
      </w:r>
      <w:r>
        <w:rPr>
          <w:spacing w:val="-83"/>
        </w:rPr>
        <w:t> </w:t>
      </w:r>
      <w:r>
        <w:rPr>
          <w:spacing w:val="-83"/>
        </w:rPr>
      </w:r>
      <w:r>
        <w:rPr/>
        <w:t>量的权益工具投资发生的减值损失，如果在以后期间价值得以恢复，也不予转回。</w:t>
      </w:r>
    </w:p>
    <w:p>
      <w:pPr>
        <w:pStyle w:val="Heading4"/>
        <w:spacing w:line="240" w:lineRule="auto" w:before="46"/>
        <w:ind w:left="1133" w:right="1121"/>
        <w:jc w:val="left"/>
        <w:rPr>
          <w:b w:val="0"/>
          <w:bCs w:val="0"/>
        </w:rPr>
      </w:pPr>
      <w:bookmarkStart w:name="11、应收款项" w:id="178"/>
      <w:bookmarkEnd w:id="178"/>
      <w:r>
        <w:rPr>
          <w:b w:val="0"/>
          <w:bCs w:val="0"/>
        </w:rPr>
      </w:r>
      <w:r>
        <w:rPr>
          <w:rFonts w:ascii="宋体" w:hAnsi="宋体" w:cs="宋体" w:eastAsia="宋体" w:hint="default"/>
        </w:rPr>
        <w:t>11</w:t>
      </w:r>
      <w:r>
        <w:rPr/>
        <w:t>、应收款项</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133" w:right="1121"/>
        <w:jc w:val="left"/>
        <w:rPr>
          <w:b w:val="0"/>
          <w:bCs w:val="0"/>
        </w:rPr>
      </w:pPr>
      <w:bookmarkStart w:name="（1）单项金额重大并单独计提坏账准备的应收款项" w:id="179"/>
      <w:bookmarkEnd w:id="179"/>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9"/>
          <w:szCs w:val="9"/>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727"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公司单项金额重大的应收款项指单笔金额为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万元以上的</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客户应收账款及单笔金额为</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万元以上的其他应收款。</w:t>
            </w:r>
          </w:p>
        </w:tc>
      </w:tr>
      <w:tr>
        <w:trPr>
          <w:trHeight w:val="727"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5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w:t>
            </w:r>
          </w:p>
        </w:tc>
      </w:tr>
    </w:tbl>
    <w:p>
      <w:pPr>
        <w:pStyle w:val="Heading4"/>
        <w:spacing w:line="240" w:lineRule="auto" w:before="63"/>
        <w:ind w:right="1121"/>
        <w:jc w:val="left"/>
        <w:rPr>
          <w:b w:val="0"/>
          <w:bCs w:val="0"/>
        </w:rPr>
      </w:pPr>
      <w:bookmarkStart w:name="（2）按信用风险特征组合计提坏账准备的应收款项" w:id="180"/>
      <w:bookmarkEnd w:id="180"/>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9"/>
          <w:szCs w:val="9"/>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413"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16" w:hRule="exact"/>
        </w:trPr>
        <w:tc>
          <w:tcPr>
            <w:tcW w:w="47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63"/>
        <w:ind w:left="1134" w:right="1121"/>
        <w:jc w:val="left"/>
      </w:pPr>
      <w:r>
        <w:rPr/>
        <w:t>组合中，采用账龄分析法计提坏账准备的：</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bl>
    <w:p>
      <w:pPr>
        <w:pStyle w:val="BodyText"/>
        <w:spacing w:line="240" w:lineRule="auto" w:before="63"/>
        <w:ind w:left="1134" w:right="1121"/>
        <w:jc w:val="left"/>
      </w:pPr>
      <w:r>
        <w:rPr/>
        <w:t>组合中，采用余额百分比法计提坏账准备的：</w:t>
      </w:r>
    </w:p>
    <w:p>
      <w:pPr>
        <w:spacing w:line="240" w:lineRule="auto" w:before="10"/>
        <w:rPr>
          <w:rFonts w:ascii="宋体" w:hAnsi="宋体" w:cs="宋体" w:eastAsia="宋体" w:hint="default"/>
          <w:sz w:val="14"/>
          <w:szCs w:val="14"/>
        </w:rPr>
      </w:pPr>
    </w:p>
    <w:p>
      <w:pPr>
        <w:pStyle w:val="BodyText"/>
        <w:spacing w:line="408" w:lineRule="auto" w:before="0"/>
        <w:ind w:left="1134" w:right="6972"/>
        <w:jc w:val="left"/>
      </w:pPr>
      <w:r>
        <w:rPr/>
        <w:t>□ 适用 √</w:t>
      </w:r>
      <w:r>
        <w:rPr>
          <w:spacing w:val="-1"/>
        </w:rPr>
        <w:t> </w:t>
      </w:r>
      <w:r>
        <w:rPr/>
        <w:t>不适用</w:t>
      </w:r>
      <w:r>
        <w:rPr/>
        <w:t> 组合中，采用其他方法计提坏账准备的：</w:t>
      </w:r>
    </w:p>
    <w:p>
      <w:pPr>
        <w:pStyle w:val="BodyText"/>
        <w:spacing w:line="240" w:lineRule="auto"/>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单项金额不重大但单独计提坏账准备的应收款项" w:id="181"/>
      <w:bookmarkEnd w:id="181"/>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9"/>
          <w:szCs w:val="9"/>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725"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51"/>
              <w:ind w:left="20" w:right="59"/>
              <w:jc w:val="left"/>
              <w:rPr>
                <w:rFonts w:ascii="宋体" w:hAnsi="宋体" w:cs="宋体" w:eastAsia="宋体" w:hint="default"/>
                <w:sz w:val="18"/>
                <w:szCs w:val="18"/>
              </w:rPr>
            </w:pPr>
            <w:r>
              <w:rPr>
                <w:rFonts w:ascii="宋体" w:hAnsi="宋体" w:cs="宋体" w:eastAsia="宋体" w:hint="default"/>
                <w:sz w:val="18"/>
                <w:szCs w:val="18"/>
              </w:rPr>
              <w:t>有明显特征表明该等应收款项难以收回，期末余额为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 元以下的应收款项。</w:t>
            </w:r>
          </w:p>
        </w:tc>
      </w:tr>
      <w:tr>
        <w:trPr>
          <w:trHeight w:val="1352"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3"/>
              <w:ind w:left="20" w:right="58"/>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值的差额，确认减值损失，计提坏账准备；经单独测试未减 值的应收款项，采用账龄分析法，按应收款项的账龄和规定 的提取比例确认减值损失，计提坏账准备。</w:t>
            </w:r>
          </w:p>
        </w:tc>
      </w:tr>
    </w:tbl>
    <w:p>
      <w:pPr>
        <w:spacing w:line="408" w:lineRule="auto" w:before="63"/>
        <w:ind w:left="1134" w:right="7182" w:firstLine="0"/>
        <w:jc w:val="left"/>
        <w:rPr>
          <w:rFonts w:ascii="宋体" w:hAnsi="宋体" w:cs="宋体" w:eastAsia="宋体" w:hint="default"/>
          <w:sz w:val="21"/>
          <w:szCs w:val="21"/>
        </w:rPr>
      </w:pPr>
      <w:bookmarkStart w:name="12、存货" w:id="182"/>
      <w:bookmarkEnd w:id="182"/>
      <w:r>
        <w:rPr/>
      </w:r>
      <w:r>
        <w:rPr>
          <w:rFonts w:ascii="宋体" w:hAnsi="宋体" w:cs="宋体" w:eastAsia="宋体" w:hint="default"/>
          <w:b/>
          <w:bCs/>
          <w:sz w:val="21"/>
          <w:szCs w:val="21"/>
        </w:rPr>
        <w:t>12</w:t>
      </w:r>
      <w:r>
        <w:rPr>
          <w:rFonts w:ascii="宋体" w:hAnsi="宋体" w:cs="宋体" w:eastAsia="宋体" w:hint="default"/>
          <w:b/>
          <w:bCs/>
          <w:sz w:val="21"/>
          <w:szCs w:val="21"/>
        </w:rPr>
        <w:t>、存货</w:t>
      </w:r>
      <w:r>
        <w:rPr>
          <w:rFonts w:ascii="宋体" w:hAnsi="宋体" w:cs="宋体" w:eastAsia="宋体" w:hint="default"/>
          <w:b/>
          <w:bCs/>
          <w:w w:val="99"/>
          <w:sz w:val="21"/>
          <w:szCs w:val="21"/>
        </w:rPr>
        <w:t> </w:t>
      </w:r>
      <w:r>
        <w:rPr>
          <w:rFonts w:ascii="宋体" w:hAnsi="宋体" w:cs="宋体" w:eastAsia="宋体" w:hint="default"/>
          <w:sz w:val="21"/>
          <w:szCs w:val="21"/>
        </w:rPr>
        <w:t>公司是否需要遵守特殊行业的披露要求</w:t>
      </w:r>
    </w:p>
    <w:p>
      <w:pPr>
        <w:pStyle w:val="BodyText"/>
        <w:spacing w:line="408" w:lineRule="auto"/>
        <w:ind w:left="1134" w:right="9282"/>
        <w:jc w:val="left"/>
      </w:pPr>
      <w:r>
        <w:rPr/>
        <w:t>□ 是 √ 否 </w:t>
      </w:r>
      <w:r>
        <w:rPr>
          <w:rFonts w:ascii="宋体" w:hAnsi="宋体" w:cs="宋体" w:eastAsia="宋体" w:hint="default"/>
        </w:rPr>
        <w:t>12.1</w:t>
      </w:r>
      <w:r>
        <w:rPr/>
        <w:t>存货的类别</w:t>
      </w:r>
    </w:p>
    <w:p>
      <w:pPr>
        <w:pStyle w:val="BodyText"/>
        <w:spacing w:line="408" w:lineRule="auto"/>
        <w:ind w:right="1723" w:firstLine="420"/>
        <w:jc w:val="left"/>
      </w:pPr>
      <w:r>
        <w:rPr/>
        <w:t>存货包括原材料、在产品、产成品、低值易耗品、包装物等，按成本与可变现净值孰低列示。 </w:t>
      </w:r>
      <w:r>
        <w:rPr>
          <w:rFonts w:ascii="宋体" w:hAnsi="宋体" w:cs="宋体" w:eastAsia="宋体" w:hint="default"/>
        </w:rPr>
        <w:t>12.2</w:t>
      </w:r>
      <w:r>
        <w:rPr/>
        <w:t>发出存货的计价方法</w:t>
      </w:r>
    </w:p>
    <w:p>
      <w:pPr>
        <w:pStyle w:val="BodyText"/>
        <w:spacing w:line="408" w:lineRule="auto"/>
        <w:ind w:right="1121" w:firstLine="420"/>
        <w:jc w:val="left"/>
      </w:pPr>
      <w:r>
        <w:rPr>
          <w:spacing w:val="-1"/>
        </w:rPr>
        <w:t>存货发出时的成本按加权平均法核算，产成品和在产品成本包括原材料、直接人工以及在正常生产能</w:t>
      </w:r>
      <w:r>
        <w:rPr/>
        <w:t> 力下按照一定方法分配的制造费用。周转材料包括低值易耗品和包装物等。 </w:t>
      </w:r>
      <w:r>
        <w:rPr>
          <w:rFonts w:ascii="宋体" w:hAnsi="宋体" w:cs="宋体" w:eastAsia="宋体" w:hint="default"/>
        </w:rPr>
        <w:t>12.3</w:t>
      </w:r>
      <w:r>
        <w:rPr/>
        <w:t>确定不同类别存货可变现净值的依据</w:t>
      </w:r>
    </w:p>
    <w:p>
      <w:pPr>
        <w:pStyle w:val="BodyText"/>
        <w:spacing w:line="408" w:lineRule="auto"/>
        <w:ind w:right="1018" w:firstLine="420"/>
        <w:jc w:val="left"/>
      </w:pPr>
      <w:r>
        <w:rPr>
          <w:spacing w:val="-3"/>
        </w:rPr>
        <w:t>存货成本高于其可变现净值的，计提存货跌价准备，计入当期损益。可变现净值，是指在日常活动中，</w:t>
      </w:r>
      <w:r>
        <w:rPr/>
        <w:t> 存货的估计售价减去至完工时估计将要发生的成本、估计的销售费用以及相关税费后的金额。公司确定存 货的可变现净值，以取得的确凿证据为基础，并且考虑持有存货的目的、资产负债表日后事项的影响等因</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素。</w:t>
      </w:r>
    </w:p>
    <w:p>
      <w:pPr>
        <w:spacing w:line="240" w:lineRule="auto" w:before="10"/>
        <w:rPr>
          <w:rFonts w:ascii="宋体" w:hAnsi="宋体" w:cs="宋体" w:eastAsia="宋体" w:hint="default"/>
          <w:sz w:val="14"/>
          <w:szCs w:val="14"/>
        </w:rPr>
      </w:pPr>
    </w:p>
    <w:p>
      <w:pPr>
        <w:pStyle w:val="BodyText"/>
        <w:spacing w:line="408" w:lineRule="auto" w:before="0"/>
        <w:ind w:left="1134" w:right="1121" w:firstLine="420"/>
        <w:jc w:val="left"/>
      </w:pPr>
      <w:r>
        <w:rPr>
          <w:spacing w:val="-1"/>
        </w:rPr>
        <w:t>为生产而持有的材料等，用其生产的产成品的可变现净值高于成本的，该材料仍然按照成本计量；材</w:t>
      </w:r>
      <w:r>
        <w:rPr/>
        <w:t> 料价格的下降表明产成品的可变现净值低于成本的，该材料按照可变现净值计量。</w:t>
      </w:r>
    </w:p>
    <w:p>
      <w:pPr>
        <w:pStyle w:val="BodyText"/>
        <w:spacing w:line="408" w:lineRule="auto"/>
        <w:ind w:right="1121" w:firstLine="420"/>
        <w:jc w:val="left"/>
      </w:pPr>
      <w:r>
        <w:rPr>
          <w:spacing w:val="-1"/>
        </w:rPr>
        <w:t>为执行销售合同或者劳务合同而持有的存货，其可变现净值以合同价格为基础计算。持有存货的数量</w:t>
      </w:r>
      <w:r>
        <w:rPr/>
        <w:t> 多于销售合同订购数量的，超出部分的存货的可变现净值以一般销售价格为基础计算。 </w:t>
      </w:r>
      <w:r>
        <w:rPr>
          <w:rFonts w:ascii="宋体" w:hAnsi="宋体" w:cs="宋体" w:eastAsia="宋体" w:hint="default"/>
        </w:rPr>
        <w:t>12.4</w:t>
      </w:r>
      <w:r>
        <w:rPr/>
        <w:t>存货的盘存制度</w:t>
      </w:r>
    </w:p>
    <w:p>
      <w:pPr>
        <w:pStyle w:val="BodyText"/>
        <w:spacing w:line="408" w:lineRule="auto"/>
        <w:ind w:right="7393" w:firstLine="420"/>
        <w:jc w:val="left"/>
      </w:pPr>
      <w:r>
        <w:rPr/>
        <w:t>存货盘存制度采用永续盘存制。 </w:t>
      </w:r>
      <w:r>
        <w:rPr>
          <w:rFonts w:ascii="宋体" w:hAnsi="宋体" w:cs="宋体" w:eastAsia="宋体" w:hint="default"/>
        </w:rPr>
        <w:t>12.5</w:t>
      </w:r>
      <w:r>
        <w:rPr/>
        <w:t>低值易耗品和包装物的摊销方法</w:t>
      </w:r>
    </w:p>
    <w:p>
      <w:pPr>
        <w:pStyle w:val="BodyText"/>
        <w:spacing w:line="408" w:lineRule="auto"/>
        <w:ind w:right="5923" w:firstLine="420"/>
        <w:jc w:val="left"/>
        <w:rPr>
          <w:rFonts w:ascii="宋体" w:hAnsi="宋体" w:cs="宋体" w:eastAsia="宋体" w:hint="default"/>
        </w:rPr>
      </w:pPr>
      <w:r>
        <w:rPr/>
        <w:t>低值易耗品在领用时采用一次摊销法核算成本。 包装物在领用时采用一次转销法核算成本。 </w:t>
      </w:r>
      <w:bookmarkStart w:name="13、持有待售资产" w:id="183"/>
      <w:bookmarkEnd w:id="183"/>
      <w:r>
        <w:rPr/>
      </w:r>
      <w:r>
        <w:rPr>
          <w:rFonts w:ascii="宋体" w:hAnsi="宋体" w:cs="宋体" w:eastAsia="宋体" w:hint="default"/>
          <w:b/>
          <w:bCs/>
        </w:rPr>
        <w:t>13</w:t>
      </w:r>
      <w:r>
        <w:rPr>
          <w:rFonts w:ascii="宋体" w:hAnsi="宋体" w:cs="宋体" w:eastAsia="宋体" w:hint="default"/>
          <w:b/>
          <w:bCs/>
        </w:rPr>
        <w:t>、持有待售资产</w:t>
      </w:r>
      <w:r>
        <w:rPr>
          <w:rFonts w:ascii="宋体" w:hAnsi="宋体" w:cs="宋体" w:eastAsia="宋体" w:hint="default"/>
        </w:rPr>
      </w:r>
    </w:p>
    <w:p>
      <w:pPr>
        <w:pStyle w:val="BodyText"/>
        <w:spacing w:line="408" w:lineRule="auto"/>
        <w:ind w:right="2773" w:firstLine="423"/>
        <w:jc w:val="left"/>
      </w:pPr>
      <w:r>
        <w:rPr/>
        <w:t>同时满足下列条件的资产，确认为持有待售资产： </w:t>
      </w:r>
      <w:r>
        <w:rPr>
          <w:rFonts w:ascii="宋体" w:hAnsi="宋体" w:cs="宋体" w:eastAsia="宋体" w:hint="default"/>
        </w:rPr>
        <w:t>13.1</w:t>
      </w:r>
      <w:r>
        <w:rPr/>
        <w:t>该资产必须在其当期状况下仅根据出售此类资产的通常和惯用条款即可立即出售；</w:t>
      </w:r>
    </w:p>
    <w:p>
      <w:pPr>
        <w:pStyle w:val="BodyText"/>
        <w:spacing w:line="240" w:lineRule="auto"/>
        <w:ind w:right="1121"/>
        <w:jc w:val="left"/>
      </w:pPr>
      <w:r>
        <w:rPr>
          <w:rFonts w:ascii="宋体" w:hAnsi="宋体" w:cs="宋体" w:eastAsia="宋体" w:hint="default"/>
        </w:rPr>
        <w:t>13.2</w:t>
      </w:r>
      <w:r>
        <w:rPr/>
        <w:t>公司已经就处置该部分资产作出决议；</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rFonts w:ascii="宋体" w:hAnsi="宋体" w:cs="宋体" w:eastAsia="宋体" w:hint="default"/>
        </w:rPr>
        <w:t>13.3</w:t>
      </w:r>
      <w:r>
        <w:rPr/>
        <w:t>公司已经与受让方签订了不可撤销的转让协议；</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rFonts w:ascii="宋体" w:hAnsi="宋体" w:cs="宋体" w:eastAsia="宋体" w:hint="default"/>
        </w:rPr>
        <w:t>13.4</w:t>
      </w:r>
      <w:r>
        <w:rPr/>
        <w:t>该项转让将在一年内完成。</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14、长期股权投资" w:id="184"/>
      <w:bookmarkEnd w:id="184"/>
      <w:r>
        <w:rPr>
          <w:b w:val="0"/>
          <w:bCs w:val="0"/>
        </w:rPr>
      </w:r>
      <w:r>
        <w:rPr>
          <w:rFonts w:ascii="宋体" w:hAnsi="宋体" w:cs="宋体" w:eastAsia="宋体" w:hint="default"/>
        </w:rPr>
        <w:t>14</w:t>
      </w:r>
      <w:r>
        <w:rPr/>
        <w:t>、长期股权投资</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57" w:right="1121" w:hanging="424"/>
        <w:jc w:val="left"/>
      </w:pPr>
      <w:r>
        <w:rPr>
          <w:rFonts w:ascii="宋体" w:hAnsi="宋体" w:cs="宋体" w:eastAsia="宋体" w:hint="default"/>
        </w:rPr>
        <w:t>14.1</w:t>
      </w:r>
      <w:r>
        <w:rPr/>
        <w:t>共同控制、重大影响的判断标准 </w:t>
      </w:r>
      <w:r>
        <w:rPr>
          <w:spacing w:val="-1"/>
        </w:rPr>
        <w:t>按照相关约定对某项安排所共有的控制，并且该安排的相关活动必须经过分享控制权的参与方一致同</w:t>
      </w:r>
    </w:p>
    <w:p>
      <w:pPr>
        <w:pStyle w:val="BodyText"/>
        <w:spacing w:line="408" w:lineRule="auto"/>
        <w:ind w:left="1134" w:right="1121"/>
        <w:jc w:val="left"/>
      </w:pPr>
      <w:r>
        <w:rPr>
          <w:spacing w:val="-1"/>
        </w:rPr>
        <w:t>意后才能决策，则视为共同控制。如果存在两个或两个以上的参与方组合能够集体控制某项安排的，不视</w:t>
      </w:r>
      <w:r>
        <w:rPr>
          <w:spacing w:val="-83"/>
        </w:rPr>
        <w:t> </w:t>
      </w:r>
      <w:r>
        <w:rPr>
          <w:spacing w:val="-83"/>
        </w:rPr>
      </w:r>
      <w:r>
        <w:rPr/>
        <w:t>为共同控制。</w:t>
      </w:r>
    </w:p>
    <w:p>
      <w:pPr>
        <w:pStyle w:val="BodyText"/>
        <w:spacing w:line="408" w:lineRule="auto"/>
        <w:ind w:left="1134" w:right="1121" w:firstLine="423"/>
        <w:jc w:val="left"/>
      </w:pPr>
      <w:r>
        <w:rPr>
          <w:spacing w:val="-1"/>
        </w:rPr>
        <w:t>对被投资单位的财务和经营政策有参与决策的权力，但并不能够控制或者与其他方一起共同控制这些</w:t>
      </w:r>
      <w:r>
        <w:rPr/>
        <w:t> 政策的制定，则视为对被投资单位实施重大影响。</w:t>
      </w:r>
    </w:p>
    <w:p>
      <w:pPr>
        <w:pStyle w:val="BodyText"/>
        <w:spacing w:line="408" w:lineRule="auto"/>
        <w:ind w:left="1557" w:right="1121" w:hanging="424"/>
        <w:jc w:val="left"/>
      </w:pPr>
      <w:r>
        <w:rPr>
          <w:rFonts w:ascii="宋体" w:hAnsi="宋体" w:cs="宋体" w:eastAsia="宋体" w:hint="default"/>
        </w:rPr>
        <w:t>14.2</w:t>
      </w:r>
      <w:r>
        <w:rPr/>
        <w:t>初始投资成本确定 企业合并形成的长期股权投资，按照本附注“3.5同一控制下和非同一控制下企业合并的会计处理方</w:t>
      </w:r>
    </w:p>
    <w:p>
      <w:pPr>
        <w:pStyle w:val="BodyText"/>
        <w:spacing w:line="408" w:lineRule="auto"/>
        <w:ind w:left="1134" w:right="1023"/>
        <w:jc w:val="left"/>
      </w:pPr>
      <w:r>
        <w:rPr>
          <w:spacing w:val="-3"/>
        </w:rPr>
        <w:t>法”的相关内容确认初始投资成本；除企业合并形成的长期股权投资以外，其他方式取得的长期股权投资，</w:t>
      </w:r>
      <w:r>
        <w:rPr>
          <w:spacing w:val="-92"/>
        </w:rPr>
        <w:t> </w:t>
      </w:r>
      <w:r>
        <w:rPr>
          <w:spacing w:val="-92"/>
        </w:rPr>
      </w:r>
      <w:r>
        <w:rPr/>
        <w:t>按照下述方法确认其初始投资成本：</w:t>
      </w:r>
    </w:p>
    <w:p>
      <w:pPr>
        <w:pStyle w:val="BodyText"/>
        <w:spacing w:line="408" w:lineRule="auto"/>
        <w:ind w:left="1134" w:right="1121" w:firstLine="423"/>
        <w:jc w:val="left"/>
      </w:pPr>
      <w:r>
        <w:rPr>
          <w:rFonts w:ascii="宋体" w:hAnsi="宋体" w:cs="宋体" w:eastAsia="宋体" w:hint="default"/>
        </w:rPr>
        <w:t>1</w:t>
      </w:r>
      <w:r>
        <w:rPr/>
        <w:t>）以支付现金取得的长期股权投资，应当按照实际支付的购买价款作为初始投资成本。初始投资成 本包括与取得长期股权投资直接相关的费用、税金及其他必要支出。</w:t>
      </w:r>
    </w:p>
    <w:p>
      <w:pPr>
        <w:pStyle w:val="BodyText"/>
        <w:spacing w:line="240" w:lineRule="auto"/>
        <w:ind w:left="1557" w:right="0"/>
        <w:jc w:val="left"/>
      </w:pPr>
      <w:r>
        <w:rPr>
          <w:rFonts w:ascii="宋体" w:hAnsi="宋体" w:cs="宋体" w:eastAsia="宋体" w:hint="default"/>
        </w:rPr>
        <w:t>2</w:t>
      </w:r>
      <w:r>
        <w:rPr/>
        <w:t>）以发行权益性证券取得的长期股权投资，应当按照发行权益性证券的公允价值作为初始投资成本。</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557" w:right="0" w:hanging="424"/>
        <w:jc w:val="left"/>
      </w:pPr>
      <w:r>
        <w:rPr>
          <w:spacing w:val="-3"/>
        </w:rPr>
        <w:t>与发行权益行证券直接相关的费用，应当按照《企业会计准则第</w:t>
      </w:r>
      <w:r>
        <w:rPr>
          <w:rFonts w:ascii="宋体" w:hAnsi="宋体" w:cs="宋体" w:eastAsia="宋体" w:hint="default"/>
          <w:spacing w:val="-3"/>
        </w:rPr>
        <w:t>37</w:t>
      </w:r>
      <w:r>
        <w:rPr>
          <w:spacing w:val="-3"/>
        </w:rPr>
        <w:t>号——金融工具列报》的有关规定确定。</w:t>
      </w:r>
      <w:r>
        <w:rPr>
          <w:spacing w:val="-89"/>
        </w:rPr>
        <w:t> </w:t>
      </w:r>
      <w:r>
        <w:rPr>
          <w:spacing w:val="-89"/>
        </w:rPr>
      </w:r>
      <w:r>
        <w:rPr>
          <w:rFonts w:ascii="宋体" w:hAnsi="宋体" w:cs="宋体" w:eastAsia="宋体" w:hint="default"/>
        </w:rPr>
        <w:t>3</w:t>
      </w:r>
      <w:r>
        <w:rPr/>
        <w:t>）在非货币性资产交换具备商业实质和换入资产或换出资产的公允价值能够可靠计量的前提下，非</w:t>
      </w:r>
    </w:p>
    <w:p>
      <w:pPr>
        <w:pStyle w:val="BodyText"/>
        <w:spacing w:line="408" w:lineRule="auto"/>
        <w:ind w:left="1134" w:right="1131"/>
        <w:jc w:val="both"/>
      </w:pPr>
      <w:r>
        <w:rPr>
          <w:spacing w:val="-1"/>
        </w:rPr>
        <w:t>货币性资产交换换入的长期股权投资以换出资产的公允价值为基础确定其初始投资成本，除非有确凿证据</w:t>
      </w:r>
      <w:r>
        <w:rPr>
          <w:spacing w:val="-81"/>
        </w:rPr>
        <w:t> </w:t>
      </w:r>
      <w:r>
        <w:rPr>
          <w:spacing w:val="-81"/>
        </w:rPr>
      </w:r>
      <w:r>
        <w:rPr>
          <w:spacing w:val="-1"/>
        </w:rPr>
        <w:t>表明换入资产的公允价值更加可靠；不满足上述前提的非货币性资产交换，以换出资产的账面价值和应支</w:t>
      </w:r>
      <w:r>
        <w:rPr>
          <w:spacing w:val="-81"/>
        </w:rPr>
        <w:t> </w:t>
      </w:r>
      <w:r>
        <w:rPr>
          <w:spacing w:val="-81"/>
        </w:rPr>
      </w:r>
      <w:r>
        <w:rPr/>
        <w:t>付的相关税费作为换入长期股权投资的初始投资成本。</w:t>
      </w:r>
    </w:p>
    <w:p>
      <w:pPr>
        <w:pStyle w:val="BodyText"/>
        <w:spacing w:line="240" w:lineRule="auto"/>
        <w:ind w:left="1557" w:right="1121"/>
        <w:jc w:val="left"/>
      </w:pPr>
      <w:r>
        <w:rPr>
          <w:rFonts w:ascii="宋体" w:hAnsi="宋体" w:cs="宋体" w:eastAsia="宋体" w:hint="default"/>
        </w:rPr>
        <w:t>4</w:t>
      </w: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1134" w:right="0"/>
        <w:jc w:val="both"/>
      </w:pPr>
      <w:r>
        <w:rPr>
          <w:rFonts w:ascii="宋体" w:hAnsi="宋体" w:cs="宋体" w:eastAsia="宋体" w:hint="default"/>
        </w:rPr>
        <w:t>14.3</w:t>
      </w:r>
      <w:r>
        <w:rPr/>
        <w:t>后续计量及损益确认方法</w:t>
      </w:r>
    </w:p>
    <w:p>
      <w:pPr>
        <w:spacing w:line="240" w:lineRule="auto" w:before="10"/>
        <w:rPr>
          <w:rFonts w:ascii="宋体" w:hAnsi="宋体" w:cs="宋体" w:eastAsia="宋体" w:hint="default"/>
          <w:sz w:val="14"/>
          <w:szCs w:val="14"/>
        </w:rPr>
      </w:pPr>
    </w:p>
    <w:p>
      <w:pPr>
        <w:pStyle w:val="BodyText"/>
        <w:spacing w:line="408" w:lineRule="auto" w:before="0"/>
        <w:ind w:left="1557" w:right="1121" w:hanging="424"/>
        <w:jc w:val="left"/>
      </w:pPr>
      <w:r>
        <w:rPr>
          <w:rFonts w:ascii="宋体" w:hAnsi="宋体" w:cs="宋体" w:eastAsia="宋体" w:hint="default"/>
        </w:rPr>
        <w:t>14.3.1</w:t>
      </w:r>
      <w:r>
        <w:rPr/>
        <w:t>成本法后续计量 </w:t>
      </w:r>
      <w:r>
        <w:rPr>
          <w:spacing w:val="-1"/>
        </w:rPr>
        <w:t>公司能够对被投资单位实施控制的长期股权投资采用成本法核算，长期股权投资按照初始投资成本计</w:t>
      </w:r>
    </w:p>
    <w:p>
      <w:pPr>
        <w:pStyle w:val="BodyText"/>
        <w:spacing w:line="408" w:lineRule="auto"/>
        <w:ind w:left="1134" w:right="1131"/>
        <w:jc w:val="both"/>
      </w:pPr>
      <w:r>
        <w:rPr>
          <w:spacing w:val="-1"/>
        </w:rPr>
        <w:t>价。追加或收回投资调整长期股权投资的成本。被投资单位宣告分派的现金股利或利润，确认为当期投资</w:t>
      </w:r>
      <w:r>
        <w:rPr>
          <w:spacing w:val="-83"/>
        </w:rPr>
        <w:t> </w:t>
      </w:r>
      <w:r>
        <w:rPr>
          <w:spacing w:val="-83"/>
        </w:rPr>
      </w:r>
      <w:r>
        <w:rPr/>
        <w:t>收益。</w:t>
      </w:r>
    </w:p>
    <w:p>
      <w:pPr>
        <w:pStyle w:val="BodyText"/>
        <w:spacing w:line="408" w:lineRule="auto"/>
        <w:ind w:left="1557" w:right="1121" w:hanging="424"/>
        <w:jc w:val="left"/>
      </w:pPr>
      <w:r>
        <w:rPr>
          <w:rFonts w:ascii="宋体" w:hAnsi="宋体" w:cs="宋体" w:eastAsia="宋体" w:hint="default"/>
        </w:rPr>
        <w:t>14.3.2</w:t>
      </w:r>
      <w:r>
        <w:rPr/>
        <w:t>权益法后续计量 </w:t>
      </w:r>
      <w:r>
        <w:rPr>
          <w:spacing w:val="-1"/>
        </w:rPr>
        <w:t>公司对联营企业和合营企业的长期股权投资，采用权益法核算，长期股权投资的初始投资成本大于投</w:t>
      </w:r>
    </w:p>
    <w:p>
      <w:pPr>
        <w:pStyle w:val="BodyText"/>
        <w:spacing w:line="408" w:lineRule="auto"/>
        <w:ind w:left="1134" w:right="1131"/>
        <w:jc w:val="both"/>
      </w:pPr>
      <w:r>
        <w:rPr>
          <w:spacing w:val="-1"/>
        </w:rPr>
        <w:t>资时应享有被投资单位可辨认净资产公允价值份额的，不调整长期股权投资的初始投资成本；长期股权投</w:t>
      </w:r>
      <w:r>
        <w:rPr>
          <w:spacing w:val="-81"/>
        </w:rPr>
        <w:t> </w:t>
      </w:r>
      <w:r>
        <w:rPr>
          <w:spacing w:val="-81"/>
        </w:rPr>
      </w:r>
      <w:r>
        <w:rPr>
          <w:spacing w:val="-1"/>
        </w:rPr>
        <w:t>资的初始投资成本小于投资时应享有被投资单位可辨认净资产公允价值份额的，其差额计入当期损益，同</w:t>
      </w:r>
      <w:r>
        <w:rPr>
          <w:spacing w:val="-81"/>
        </w:rPr>
        <w:t> </w:t>
      </w:r>
      <w:r>
        <w:rPr>
          <w:spacing w:val="-81"/>
        </w:rPr>
      </w:r>
      <w:r>
        <w:rPr/>
        <w:t>时调整长期股权投资的成本。</w:t>
      </w:r>
    </w:p>
    <w:p>
      <w:pPr>
        <w:pStyle w:val="BodyText"/>
        <w:spacing w:line="408" w:lineRule="auto"/>
        <w:ind w:left="1134" w:right="1131" w:firstLine="423"/>
        <w:jc w:val="both"/>
      </w:pPr>
      <w:r>
        <w:rPr>
          <w:spacing w:val="-1"/>
        </w:rPr>
        <w:t>采用权益法核算时，投资方取得长期股权投资后，按照应享有或应分担的被投资单位实现的净损益和</w:t>
      </w:r>
      <w:r>
        <w:rPr/>
        <w:t> </w:t>
      </w:r>
      <w:r>
        <w:rPr>
          <w:spacing w:val="-1"/>
        </w:rPr>
        <w:t>其他综合收益的份额，分别确认投资收益和其他综合收益，同时调整长期股权投资的账面价值；投资方按</w:t>
      </w:r>
      <w:r>
        <w:rPr>
          <w:spacing w:val="-83"/>
        </w:rPr>
        <w:t> </w:t>
      </w:r>
      <w:r>
        <w:rPr>
          <w:spacing w:val="-83"/>
        </w:rPr>
      </w:r>
      <w:r>
        <w:rPr>
          <w:spacing w:val="-1"/>
        </w:rPr>
        <w:t>照被投资单位宣告分派的利润或现金股利计算应享有的部分，相应减少长期股权投资的账面价值；投资方</w:t>
      </w:r>
      <w:r>
        <w:rPr>
          <w:spacing w:val="-81"/>
        </w:rPr>
        <w:t> </w:t>
      </w:r>
      <w:r>
        <w:rPr>
          <w:spacing w:val="-81"/>
        </w:rPr>
      </w:r>
      <w:r>
        <w:rPr>
          <w:spacing w:val="-1"/>
        </w:rPr>
        <w:t>对于被投资单位除净损益、其他综合收益和利润分配以外所有者权益的其他变动，调整长期股权投资的账</w:t>
      </w:r>
      <w:r>
        <w:rPr>
          <w:spacing w:val="-81"/>
        </w:rPr>
        <w:t> </w:t>
      </w:r>
      <w:r>
        <w:rPr>
          <w:spacing w:val="-81"/>
        </w:rPr>
      </w:r>
      <w:r>
        <w:rPr>
          <w:spacing w:val="-1"/>
        </w:rPr>
        <w:t>面价值并计入所有者权益。投资方在确认应享有被投资单位净损益的份额时，以取得投资时被投资单位可</w:t>
      </w:r>
      <w:r>
        <w:rPr>
          <w:spacing w:val="-81"/>
        </w:rPr>
        <w:t> </w:t>
      </w:r>
      <w:r>
        <w:rPr>
          <w:spacing w:val="-81"/>
        </w:rPr>
      </w:r>
      <w:r>
        <w:rPr>
          <w:spacing w:val="-1"/>
        </w:rPr>
        <w:t>辨认净资产的公允价值为基础，对被投资单位的净利润进行调整后确认。被投资单位采用的会计政策及会</w:t>
      </w:r>
      <w:r>
        <w:rPr>
          <w:spacing w:val="-81"/>
        </w:rPr>
        <w:t> </w:t>
      </w:r>
      <w:r>
        <w:rPr>
          <w:spacing w:val="-81"/>
        </w:rPr>
      </w:r>
      <w:r>
        <w:rPr>
          <w:spacing w:val="-1"/>
        </w:rPr>
        <w:t>计期间与投资方不一致的，按照投资方的会计政策及会计期间对被投资单位的财务报表进行调整，并据以</w:t>
      </w:r>
      <w:r>
        <w:rPr>
          <w:spacing w:val="-81"/>
        </w:rPr>
        <w:t> </w:t>
      </w:r>
      <w:r>
        <w:rPr>
          <w:spacing w:val="-81"/>
        </w:rPr>
      </w:r>
      <w:r>
        <w:rPr/>
        <w:t>确认投资收益和其他综合收益等。</w:t>
      </w:r>
    </w:p>
    <w:p>
      <w:pPr>
        <w:pStyle w:val="BodyText"/>
        <w:spacing w:line="408" w:lineRule="auto"/>
        <w:ind w:left="1134" w:right="1110" w:firstLine="423"/>
        <w:jc w:val="both"/>
      </w:pPr>
      <w:r>
        <w:rPr>
          <w:spacing w:val="-1"/>
        </w:rPr>
        <w:t>投资方确认被投资单位发生的净亏损，以长期股权投资的账面价值以及其他实质上构成对被投资单位</w:t>
      </w:r>
      <w:r>
        <w:rPr/>
        <w:t> 净投资的长期权益减记至零为限，投资方负有承担额外损失义务的除外。被投资单位以后实现净利润的， 投资方在其收益分享额弥补未确认的亏损分担额后，恢复确认收益分享额。</w:t>
      </w:r>
    </w:p>
    <w:p>
      <w:pPr>
        <w:pStyle w:val="BodyText"/>
        <w:spacing w:line="408" w:lineRule="auto"/>
        <w:ind w:left="1134" w:right="1130" w:firstLine="423"/>
        <w:jc w:val="both"/>
      </w:pPr>
      <w:r>
        <w:rPr>
          <w:spacing w:val="-1"/>
        </w:rPr>
        <w:t>投资方计算确认应享有或应分担被投资单位的净损益时，与联营企业、合营企业之间发生的未实现内</w:t>
      </w:r>
      <w:r>
        <w:rPr/>
        <w:t> </w:t>
      </w:r>
      <w:r>
        <w:rPr>
          <w:spacing w:val="-1"/>
        </w:rPr>
        <w:t>部交易损益按照应享有的比例计算归属于投资方的部分，予以抵销，在此基础上确认投资收益。投资方与</w:t>
      </w:r>
      <w:r>
        <w:rPr>
          <w:spacing w:val="-82"/>
        </w:rPr>
        <w:t> </w:t>
      </w:r>
      <w:r>
        <w:rPr>
          <w:spacing w:val="-82"/>
        </w:rPr>
      </w:r>
      <w:r>
        <w:rPr/>
        <w:t>被投资单位发生的未实现内部交易损失，按照《企业会计准则第</w:t>
      </w:r>
      <w:r>
        <w:rPr>
          <w:rFonts w:ascii="宋体" w:hAnsi="宋体" w:cs="宋体" w:eastAsia="宋体" w:hint="default"/>
        </w:rPr>
        <w:t>8</w:t>
      </w:r>
      <w:r>
        <w:rPr/>
        <w:t>号——资产减值》等的有关规定属于资</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557" w:right="1121" w:hanging="424"/>
        <w:jc w:val="left"/>
      </w:pPr>
      <w:r>
        <w:rPr/>
        <w:t>产减值损失的，全额确认。 </w:t>
      </w:r>
      <w:r>
        <w:rPr>
          <w:spacing w:val="-1"/>
        </w:rPr>
        <w:t>投资方对联营企业的权益性投资，其中一部分通过风险投资机构、共同基金、信托公司或包括投连险</w:t>
      </w:r>
    </w:p>
    <w:p>
      <w:pPr>
        <w:pStyle w:val="BodyText"/>
        <w:spacing w:line="408" w:lineRule="auto"/>
        <w:ind w:right="1131"/>
        <w:jc w:val="left"/>
      </w:pPr>
      <w:r>
        <w:rPr>
          <w:spacing w:val="-1"/>
        </w:rPr>
        <w:t>基金在内的类似主体间接持有的，无论以上主体是否对这部分投资具有重大影响，投资方都按照金融工具</w:t>
      </w:r>
      <w:r>
        <w:rPr>
          <w:spacing w:val="-81"/>
        </w:rPr>
        <w:t> </w:t>
      </w:r>
      <w:r>
        <w:rPr>
          <w:spacing w:val="-81"/>
        </w:rPr>
      </w:r>
      <w:r>
        <w:rPr>
          <w:spacing w:val="-1"/>
        </w:rPr>
        <w:t>政策的有关规定，对间接持有的该部分投资选择以公允价值计量且其变动计入损益，并对其余部分采用权</w:t>
      </w:r>
      <w:r>
        <w:rPr>
          <w:spacing w:val="-81"/>
        </w:rPr>
        <w:t> </w:t>
      </w:r>
      <w:r>
        <w:rPr>
          <w:spacing w:val="-81"/>
        </w:rPr>
      </w:r>
      <w:r>
        <w:rPr/>
        <w:t>益法核算。 </w:t>
      </w:r>
      <w:r>
        <w:rPr>
          <w:rFonts w:ascii="宋体" w:hAnsi="宋体" w:cs="宋体" w:eastAsia="宋体" w:hint="default"/>
        </w:rPr>
        <w:t>14.3.3</w:t>
      </w:r>
      <w:r>
        <w:rPr/>
        <w:t>因追加投资等原因能够对被投资单位施加重大影响或实施共同控制但不构成控制的处理</w:t>
      </w:r>
    </w:p>
    <w:p>
      <w:pPr>
        <w:pStyle w:val="BodyText"/>
        <w:spacing w:line="408" w:lineRule="auto"/>
        <w:ind w:left="1134" w:right="1131" w:firstLine="423"/>
        <w:jc w:val="both"/>
      </w:pPr>
      <w:r>
        <w:rPr>
          <w:spacing w:val="-1"/>
        </w:rPr>
        <w:t>按照《企业会计准则第</w:t>
      </w:r>
      <w:r>
        <w:rPr>
          <w:rFonts w:ascii="宋体" w:hAnsi="宋体" w:cs="宋体" w:eastAsia="宋体" w:hint="default"/>
          <w:spacing w:val="-1"/>
        </w:rPr>
        <w:t>22</w:t>
      </w:r>
      <w:r>
        <w:rPr>
          <w:spacing w:val="-1"/>
        </w:rPr>
        <w:t>号——金融工具确认和计量》确定的原持有的股权投资的公允价值加上新增</w:t>
      </w:r>
      <w:r>
        <w:rPr/>
        <w:t> </w:t>
      </w:r>
      <w:r>
        <w:rPr>
          <w:spacing w:val="-1"/>
        </w:rPr>
        <w:t>投资成本之和，作为改按权益法核算的初始投资成本。原持有的股权投资分类为可供出售金融资产的，其</w:t>
      </w:r>
      <w:r>
        <w:rPr>
          <w:spacing w:val="-83"/>
        </w:rPr>
        <w:t> </w:t>
      </w:r>
      <w:r>
        <w:rPr>
          <w:spacing w:val="-83"/>
        </w:rPr>
      </w:r>
      <w:r>
        <w:rPr>
          <w:spacing w:val="-1"/>
        </w:rPr>
        <w:t>公允价值与账面价值之间的差额，以及原计入其他综合收益的累计公允价值变动转入改按权益法核算的当</w:t>
      </w:r>
      <w:r>
        <w:rPr>
          <w:spacing w:val="-81"/>
        </w:rPr>
        <w:t> </w:t>
      </w:r>
      <w:r>
        <w:rPr>
          <w:spacing w:val="-81"/>
        </w:rPr>
      </w:r>
      <w:r>
        <w:rPr/>
        <w:t>期损益。</w:t>
      </w:r>
    </w:p>
    <w:p>
      <w:pPr>
        <w:pStyle w:val="BodyText"/>
        <w:spacing w:line="408" w:lineRule="auto"/>
        <w:ind w:left="1557" w:right="1121" w:hanging="424"/>
        <w:jc w:val="left"/>
      </w:pPr>
      <w:r>
        <w:rPr>
          <w:rFonts w:ascii="宋体" w:hAnsi="宋体" w:cs="宋体" w:eastAsia="宋体" w:hint="default"/>
        </w:rPr>
        <w:t>14.3.4</w:t>
      </w:r>
      <w:r>
        <w:rPr/>
        <w:t>处置部分股权的处理 </w:t>
      </w:r>
      <w:r>
        <w:rPr>
          <w:spacing w:val="-1"/>
        </w:rPr>
        <w:t>因处置部分股权投资等原因丧失了对被投资单位的共同控制或重大影响的，处置后的剩余股权改按本</w:t>
      </w:r>
    </w:p>
    <w:p>
      <w:pPr>
        <w:pStyle w:val="BodyText"/>
        <w:spacing w:line="408" w:lineRule="auto"/>
        <w:ind w:left="1134" w:right="1131"/>
        <w:jc w:val="both"/>
      </w:pPr>
      <w:r>
        <w:rPr>
          <w:spacing w:val="-1"/>
        </w:rPr>
        <w:t>附注“金融工具”的政策核算，其在丧失共同控制或重大影响之日的公允价值与账面价值之间的差额计入</w:t>
      </w:r>
      <w:r>
        <w:rPr>
          <w:spacing w:val="-82"/>
        </w:rPr>
        <w:t> </w:t>
      </w:r>
      <w:r>
        <w:rPr>
          <w:spacing w:val="-82"/>
        </w:rPr>
      </w:r>
      <w:r>
        <w:rPr>
          <w:spacing w:val="-1"/>
        </w:rPr>
        <w:t>当期损益。原股权投资因采用权益法核算而确认的其他综合收益，在终止采用权益法核算时采用与被投资</w:t>
      </w:r>
      <w:r>
        <w:rPr>
          <w:spacing w:val="-81"/>
        </w:rPr>
        <w:t> </w:t>
      </w:r>
      <w:r>
        <w:rPr>
          <w:spacing w:val="-81"/>
        </w:rPr>
      </w:r>
      <w:r>
        <w:rPr/>
        <w:t>单位直接处置相关资产或负债相同的基础进行会计处理。</w:t>
      </w:r>
    </w:p>
    <w:p>
      <w:pPr>
        <w:pStyle w:val="BodyText"/>
        <w:spacing w:line="408" w:lineRule="auto"/>
        <w:ind w:right="1121" w:firstLine="423"/>
        <w:jc w:val="left"/>
      </w:pPr>
      <w:r>
        <w:rPr>
          <w:spacing w:val="-1"/>
        </w:rPr>
        <w:t>因处置部分权益性投资等原因丧失了对被投资单位的控制的，在编制个别财务报表时，处置后的剩余</w:t>
      </w:r>
      <w:r>
        <w:rPr/>
        <w:t> </w:t>
      </w:r>
      <w:r>
        <w:rPr>
          <w:spacing w:val="-1"/>
        </w:rPr>
        <w:t>股权能够对被投资单位实施共同控制或施加重大影响的，改按权益法核算，并对该剩余股权视同自取得时</w:t>
      </w:r>
      <w:r>
        <w:rPr>
          <w:spacing w:val="-81"/>
        </w:rPr>
        <w:t> </w:t>
      </w:r>
      <w:r>
        <w:rPr>
          <w:spacing w:val="-81"/>
        </w:rPr>
      </w:r>
      <w:r>
        <w:rPr>
          <w:spacing w:val="-1"/>
        </w:rPr>
        <w:t>即采用权益法核算进行调整；处置后的剩余股权不能对被投资单位实施共同控制或施加重大影响的，改按</w:t>
      </w:r>
      <w:r>
        <w:rPr>
          <w:spacing w:val="-81"/>
        </w:rPr>
        <w:t> </w:t>
      </w:r>
      <w:r>
        <w:rPr>
          <w:spacing w:val="-81"/>
        </w:rPr>
      </w:r>
      <w:r>
        <w:rPr>
          <w:spacing w:val="-1"/>
        </w:rPr>
        <w:t>本附注“金融工具”的有关政策进行会计处理，其在丧失控制之日的公允价值与账面价值间的差额计入当</w:t>
      </w:r>
      <w:r>
        <w:rPr>
          <w:spacing w:val="-82"/>
        </w:rPr>
        <w:t> </w:t>
      </w:r>
      <w:r>
        <w:rPr>
          <w:spacing w:val="-82"/>
        </w:rPr>
      </w:r>
      <w:r>
        <w:rPr/>
        <w:t>期损益。在编制合并财务报表时，按照本附注“合并财务报表的编制方法”的相关内容处理。</w:t>
      </w:r>
      <w:r>
        <w:rPr/>
        <w:t> </w:t>
      </w:r>
      <w:r>
        <w:rPr>
          <w:rFonts w:ascii="宋体" w:hAnsi="宋体" w:cs="宋体" w:eastAsia="宋体" w:hint="default"/>
        </w:rPr>
        <w:t>14.3.5</w:t>
      </w:r>
      <w:r>
        <w:rPr/>
        <w:t>对联营企业或合营企业的权益性投资全部或部分分类为持有待售资产的处理</w:t>
      </w:r>
    </w:p>
    <w:p>
      <w:pPr>
        <w:pStyle w:val="BodyText"/>
        <w:spacing w:line="408" w:lineRule="auto"/>
        <w:ind w:right="1024" w:firstLine="423"/>
        <w:jc w:val="left"/>
      </w:pPr>
      <w:r>
        <w:rPr/>
        <w:t>分类为持有待售资产的对联营企业或合营企业的权益性投资，以账面价值与公允价值减去处置费用孰 低的金额列示，公允价值减去处置费用低于原账面价值的金额，确认为资产减值损失。对于未划分为持有 待售资产的剩余权益性投资，采用权益法进行会计处理。已划分为持有待售的对联营企业或合营企业的权 </w:t>
      </w:r>
      <w:r>
        <w:rPr>
          <w:spacing w:val="-3"/>
        </w:rPr>
        <w:t>益性投资，不再符合持有待售资产分类条件的，从被分类为持有待售资产之日起采用权益法进行追溯调整。</w:t>
      </w:r>
      <w:r>
        <w:rPr>
          <w:spacing w:val="-92"/>
        </w:rPr>
        <w:t> </w:t>
      </w:r>
      <w:r>
        <w:rPr>
          <w:spacing w:val="-92"/>
        </w:rPr>
      </w:r>
      <w:r>
        <w:rPr/>
        <w:t>分类为持有待售期间的财务报表作相应调整。</w:t>
      </w:r>
    </w:p>
    <w:p>
      <w:pPr>
        <w:pStyle w:val="BodyText"/>
        <w:spacing w:line="408" w:lineRule="auto"/>
        <w:ind w:left="1557" w:right="1121" w:hanging="424"/>
        <w:jc w:val="left"/>
      </w:pPr>
      <w:r>
        <w:rPr>
          <w:rFonts w:ascii="宋体" w:hAnsi="宋体" w:cs="宋体" w:eastAsia="宋体" w:hint="default"/>
        </w:rPr>
        <w:t>14.3.6</w:t>
      </w:r>
      <w:r>
        <w:rPr/>
        <w:t>处置长期股权投资的处理 </w:t>
      </w:r>
      <w:r>
        <w:rPr>
          <w:spacing w:val="-1"/>
        </w:rPr>
        <w:t>处置长期股权投资，其账面价值与实际取得价款之间的差额，计入当期损益。采用权益法核算的长期</w:t>
      </w:r>
    </w:p>
    <w:p>
      <w:pPr>
        <w:pStyle w:val="BodyText"/>
        <w:spacing w:line="408" w:lineRule="auto"/>
        <w:ind w:left="1134" w:right="1121"/>
        <w:jc w:val="left"/>
      </w:pPr>
      <w:r>
        <w:rPr>
          <w:spacing w:val="-1"/>
        </w:rPr>
        <w:t>股权投资，在处置该项投资时，采用与被投资单位直接处置相关资产或负债相同的基础，按相应比例对原</w:t>
      </w:r>
      <w:r>
        <w:rPr>
          <w:spacing w:val="-83"/>
        </w:rPr>
        <w:t> </w:t>
      </w:r>
      <w:r>
        <w:rPr>
          <w:spacing w:val="-83"/>
        </w:rPr>
      </w:r>
      <w:r>
        <w:rPr/>
        <w:t>计入其他综合收益的部分进行会计处理。</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08" w:lineRule="auto" w:before="0"/>
        <w:ind w:left="1133" w:right="7393" w:firstLine="0"/>
        <w:jc w:val="left"/>
        <w:rPr>
          <w:rFonts w:ascii="宋体" w:hAnsi="宋体" w:cs="宋体" w:eastAsia="宋体" w:hint="default"/>
          <w:sz w:val="21"/>
          <w:szCs w:val="21"/>
        </w:rPr>
      </w:pPr>
      <w:bookmarkStart w:name="15、投资性房地产" w:id="185"/>
      <w:bookmarkEnd w:id="185"/>
      <w:r>
        <w:rPr/>
      </w:r>
      <w:r>
        <w:rPr>
          <w:rFonts w:ascii="宋体" w:hAnsi="宋体" w:cs="宋体" w:eastAsia="宋体"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投资性房地产计量模式：成本法计量 折旧或摊销方法</w:t>
      </w:r>
    </w:p>
    <w:p>
      <w:pPr>
        <w:pStyle w:val="BodyText"/>
        <w:spacing w:line="408" w:lineRule="auto"/>
        <w:ind w:right="1131" w:firstLine="420"/>
        <w:jc w:val="both"/>
      </w:pPr>
      <w:r>
        <w:rPr>
          <w:spacing w:val="-1"/>
        </w:rPr>
        <w:t>投资性房地产包括已出租持有并准备增值后转让的土地使用权以及已出租的建筑物，以实际成本进行</w:t>
      </w:r>
      <w:r>
        <w:rPr/>
        <w:t> </w:t>
      </w:r>
      <w:r>
        <w:rPr>
          <w:spacing w:val="-1"/>
        </w:rPr>
        <w:t>初始计量。与投资性房地产有关的后续支出，在相关的经济利益很可能流入本公司且其成本能够可靠的计</w:t>
      </w:r>
      <w:r>
        <w:rPr>
          <w:spacing w:val="-81"/>
        </w:rPr>
        <w:t> </w:t>
      </w:r>
      <w:r>
        <w:rPr>
          <w:spacing w:val="-81"/>
        </w:rPr>
      </w:r>
      <w:r>
        <w:rPr/>
        <w:t>量时，计入投资性房地产成本；否则，在发生时计入当期损益。</w:t>
      </w:r>
    </w:p>
    <w:p>
      <w:pPr>
        <w:pStyle w:val="BodyText"/>
        <w:spacing w:line="408" w:lineRule="auto"/>
        <w:ind w:right="1132" w:firstLine="420"/>
        <w:jc w:val="both"/>
      </w:pPr>
      <w:r>
        <w:rPr>
          <w:spacing w:val="-1"/>
        </w:rPr>
        <w:t>本公司采用成本模式对所有投资性房地产进行后续计量，按其预计使用寿命及净残值率对建筑物和土</w:t>
      </w:r>
      <w:r>
        <w:rPr/>
        <w:t> 地使用权计提折旧或摊销。投资性房地产的预计使用寿命、净残值率及年折旧</w:t>
      </w:r>
      <w:r>
        <w:rPr>
          <w:rFonts w:ascii="宋体" w:hAnsi="宋体" w:cs="宋体" w:eastAsia="宋体" w:hint="default"/>
        </w:rPr>
        <w:t>(</w:t>
      </w:r>
      <w:r>
        <w:rPr/>
        <w:t>摊销</w:t>
      </w:r>
      <w:r>
        <w:rPr>
          <w:rFonts w:ascii="宋体" w:hAnsi="宋体" w:cs="宋体" w:eastAsia="宋体" w:hint="default"/>
        </w:rPr>
        <w:t>)</w:t>
      </w:r>
      <w:r>
        <w:rPr/>
        <w:t>率列示如下：</w:t>
      </w:r>
    </w:p>
    <w:tbl>
      <w:tblPr>
        <w:tblW w:w="0" w:type="auto"/>
        <w:jc w:val="left"/>
        <w:tblInd w:w="1113" w:type="dxa"/>
        <w:tblLayout w:type="fixed"/>
        <w:tblCellMar>
          <w:top w:w="0" w:type="dxa"/>
          <w:left w:w="0" w:type="dxa"/>
          <w:bottom w:w="0" w:type="dxa"/>
          <w:right w:w="0" w:type="dxa"/>
        </w:tblCellMar>
        <w:tblLook w:val="01E0"/>
      </w:tblPr>
      <w:tblGrid>
        <w:gridCol w:w="2412"/>
        <w:gridCol w:w="2411"/>
        <w:gridCol w:w="2411"/>
        <w:gridCol w:w="2411"/>
      </w:tblGrid>
      <w:tr>
        <w:trPr>
          <w:trHeight w:val="439" w:hRule="exact"/>
        </w:trPr>
        <w:tc>
          <w:tcPr>
            <w:tcW w:w="241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right="27"/>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宋体" w:hAnsi="宋体" w:cs="宋体" w:eastAsia="宋体" w:hint="default"/>
                <w:sz w:val="18"/>
                <w:szCs w:val="18"/>
              </w:rPr>
              <w:t>%</w:t>
            </w:r>
            <w:r>
              <w:rPr>
                <w:rFonts w:ascii="宋体" w:hAnsi="宋体" w:cs="宋体" w:eastAsia="宋体" w:hint="default"/>
                <w:sz w:val="18"/>
                <w:szCs w:val="18"/>
              </w:rPr>
              <w:t>）</w:t>
            </w:r>
          </w:p>
        </w:tc>
        <w:tc>
          <w:tcPr>
            <w:tcW w:w="241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年折旧</w:t>
            </w:r>
            <w:r>
              <w:rPr>
                <w:rFonts w:ascii="宋体" w:hAnsi="宋体" w:cs="宋体" w:eastAsia="宋体" w:hint="default"/>
                <w:sz w:val="18"/>
                <w:szCs w:val="18"/>
              </w:rPr>
              <w:t>(</w:t>
            </w:r>
            <w:r>
              <w:rPr>
                <w:rFonts w:ascii="宋体" w:hAnsi="宋体" w:cs="宋体" w:eastAsia="宋体" w:hint="default"/>
                <w:sz w:val="18"/>
                <w:szCs w:val="18"/>
              </w:rPr>
              <w:t>摊销</w:t>
            </w:r>
            <w:r>
              <w:rPr>
                <w:rFonts w:ascii="宋体" w:hAnsi="宋体" w:cs="宋体" w:eastAsia="宋体" w:hint="default"/>
                <w:sz w:val="18"/>
                <w:szCs w:val="18"/>
              </w:rPr>
              <w:t>)</w:t>
            </w:r>
            <w:r>
              <w:rPr>
                <w:rFonts w:ascii="宋体" w:hAnsi="宋体" w:cs="宋体" w:eastAsia="宋体" w:hint="default"/>
                <w:sz w:val="18"/>
                <w:szCs w:val="18"/>
              </w:rPr>
              <w:t>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40" w:hRule="exact"/>
        </w:trPr>
        <w:tc>
          <w:tcPr>
            <w:tcW w:w="24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27"/>
              <w:jc w:val="center"/>
              <w:rPr>
                <w:rFonts w:ascii="宋体" w:hAnsi="宋体" w:cs="宋体" w:eastAsia="宋体" w:hint="default"/>
                <w:sz w:val="18"/>
                <w:szCs w:val="18"/>
              </w:rPr>
            </w:pPr>
            <w:r>
              <w:rPr>
                <w:rFonts w:ascii="宋体"/>
                <w:sz w:val="18"/>
              </w:rPr>
              <w:t>20-50</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left="2" w:right="0"/>
              <w:jc w:val="center"/>
              <w:rPr>
                <w:rFonts w:ascii="宋体" w:hAnsi="宋体" w:cs="宋体" w:eastAsia="宋体" w:hint="default"/>
                <w:sz w:val="18"/>
                <w:szCs w:val="18"/>
              </w:rPr>
            </w:pPr>
            <w:r>
              <w:rPr>
                <w:rFonts w:ascii="宋体"/>
                <w:sz w:val="18"/>
              </w:rPr>
              <w:t>5</w:t>
            </w:r>
          </w:p>
        </w:tc>
        <w:tc>
          <w:tcPr>
            <w:tcW w:w="24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left="7" w:right="0"/>
              <w:jc w:val="center"/>
              <w:rPr>
                <w:rFonts w:ascii="宋体" w:hAnsi="宋体" w:cs="宋体" w:eastAsia="宋体" w:hint="default"/>
                <w:sz w:val="18"/>
                <w:szCs w:val="18"/>
              </w:rPr>
            </w:pPr>
            <w:r>
              <w:rPr>
                <w:rFonts w:ascii="宋体"/>
                <w:sz w:val="18"/>
              </w:rPr>
              <w:t>1.90-4.75</w:t>
            </w:r>
          </w:p>
        </w:tc>
      </w:tr>
    </w:tbl>
    <w:p>
      <w:pPr>
        <w:spacing w:line="240" w:lineRule="auto" w:before="10"/>
        <w:rPr>
          <w:rFonts w:ascii="宋体" w:hAnsi="宋体" w:cs="宋体" w:eastAsia="宋体" w:hint="default"/>
          <w:sz w:val="12"/>
          <w:szCs w:val="12"/>
        </w:rPr>
      </w:pPr>
    </w:p>
    <w:p>
      <w:pPr>
        <w:pStyle w:val="Heading4"/>
        <w:spacing w:line="240" w:lineRule="auto" w:before="35"/>
        <w:ind w:right="1121"/>
        <w:jc w:val="left"/>
        <w:rPr>
          <w:b w:val="0"/>
          <w:bCs w:val="0"/>
        </w:rPr>
      </w:pPr>
      <w:bookmarkStart w:name="16、固定资产" w:id="186"/>
      <w:bookmarkEnd w:id="186"/>
      <w:r>
        <w:rPr>
          <w:b w:val="0"/>
          <w:bCs w:val="0"/>
        </w:rPr>
      </w:r>
      <w:r>
        <w:rPr>
          <w:rFonts w:ascii="宋体" w:hAnsi="宋体" w:cs="宋体" w:eastAsia="宋体" w:hint="default"/>
        </w:rPr>
        <w:t>16</w:t>
      </w:r>
      <w:r>
        <w:rPr/>
        <w:t>、固定资产</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024"/>
        <w:jc w:val="left"/>
      </w:pPr>
      <w:bookmarkStart w:name="（1）确认条件" w:id="187"/>
      <w:bookmarkEnd w:id="187"/>
      <w:r>
        <w:rPr/>
      </w: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）确认条件</w:t>
      </w:r>
      <w:r>
        <w:rPr>
          <w:rFonts w:ascii="宋体" w:hAnsi="宋体" w:cs="宋体" w:eastAsia="宋体" w:hint="default"/>
          <w:b/>
          <w:bCs/>
          <w:w w:val="99"/>
        </w:rPr>
        <w:t> </w:t>
      </w:r>
      <w:r>
        <w:rPr>
          <w:spacing w:val="-3"/>
        </w:rPr>
        <w:t>固定资产是指为生产商品、提供劳务、出租或经营管理而持有的，使用寿命超过一个会计年度的有形资产。</w:t>
      </w:r>
      <w:r>
        <w:rPr>
          <w:spacing w:val="-89"/>
        </w:rPr>
        <w:t> </w:t>
      </w:r>
      <w:r>
        <w:rPr>
          <w:spacing w:val="-89"/>
        </w:rPr>
      </w:r>
      <w:r>
        <w:rPr/>
        <w:t>固定资产同时满足下列条件的，才能予以确认：①与该固定资产有关的经济利益很可能流入企业；②该固</w:t>
      </w:r>
      <w:r>
        <w:rPr/>
        <w:t> 定资产的成本能够可靠地计量。</w:t>
      </w:r>
    </w:p>
    <w:p>
      <w:pPr>
        <w:pStyle w:val="Heading4"/>
        <w:spacing w:line="240" w:lineRule="auto" w:before="46"/>
        <w:ind w:left="1133" w:right="1121"/>
        <w:jc w:val="left"/>
        <w:rPr>
          <w:b w:val="0"/>
          <w:bCs w:val="0"/>
        </w:rPr>
      </w:pPr>
      <w:bookmarkStart w:name="（2） 折旧方法" w:id="188"/>
      <w:bookmarkEnd w:id="188"/>
      <w:r>
        <w:rPr>
          <w:b w:val="0"/>
          <w:bCs w:val="0"/>
        </w:rPr>
      </w:r>
      <w:r>
        <w:rPr/>
        <w:t>（</w:t>
      </w:r>
      <w:r>
        <w:rPr>
          <w:rFonts w:ascii="宋体" w:hAnsi="宋体" w:cs="宋体" w:eastAsia="宋体" w:hint="default"/>
        </w:rPr>
        <w:t>2</w:t>
      </w:r>
      <w:r>
        <w:rPr/>
        <w:t>）</w:t>
      </w:r>
      <w:r>
        <w:rPr>
          <w:spacing w:val="-66"/>
        </w:rPr>
        <w:t> </w:t>
      </w:r>
      <w:r>
        <w:rPr/>
        <w:t>折旧方法</w:t>
      </w:r>
      <w:r>
        <w:rPr>
          <w:b w:val="0"/>
          <w:bCs w:val="0"/>
        </w:rPr>
      </w:r>
    </w:p>
    <w:p>
      <w:pPr>
        <w:spacing w:line="240" w:lineRule="auto" w:before="12"/>
        <w:rPr>
          <w:rFonts w:ascii="宋体" w:hAnsi="宋体" w:cs="宋体" w:eastAsia="宋体" w:hint="default"/>
          <w:b/>
          <w:bCs/>
          <w:sz w:val="9"/>
          <w:szCs w:val="9"/>
        </w:rPr>
      </w:pPr>
    </w:p>
    <w:tbl>
      <w:tblPr>
        <w:tblW w:w="0" w:type="auto"/>
        <w:jc w:val="left"/>
        <w:tblInd w:w="1118" w:type="dxa"/>
        <w:tblLayout w:type="fixed"/>
        <w:tblCellMar>
          <w:top w:w="0" w:type="dxa"/>
          <w:left w:w="0" w:type="dxa"/>
          <w:bottom w:w="0" w:type="dxa"/>
          <w:right w:w="0" w:type="dxa"/>
        </w:tblCellMar>
        <w:tblLook w:val="01E0"/>
      </w:tblPr>
      <w:tblGrid>
        <w:gridCol w:w="1915"/>
        <w:gridCol w:w="1914"/>
        <w:gridCol w:w="1914"/>
        <w:gridCol w:w="1914"/>
        <w:gridCol w:w="1913"/>
      </w:tblGrid>
      <w:tr>
        <w:trPr>
          <w:trHeight w:val="415"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20-50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1.90%-4.75%</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房屋装修费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9.50%</w:t>
            </w:r>
          </w:p>
        </w:tc>
      </w:tr>
      <w:tr>
        <w:trPr>
          <w:trHeight w:val="408"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9.50%-31.675</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9.50%-19.00%</w:t>
            </w:r>
          </w:p>
        </w:tc>
      </w:tr>
      <w:tr>
        <w:trPr>
          <w:trHeight w:val="415" w:hRule="exact"/>
        </w:trPr>
        <w:tc>
          <w:tcPr>
            <w:tcW w:w="19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w:t>
            </w:r>
          </w:p>
        </w:tc>
      </w:tr>
    </w:tbl>
    <w:p>
      <w:pPr>
        <w:pStyle w:val="BodyText"/>
        <w:spacing w:line="240" w:lineRule="auto" w:before="63"/>
        <w:ind w:left="1134" w:right="1121"/>
        <w:jc w:val="left"/>
      </w:pPr>
      <w:r>
        <w:rPr/>
        <w:t>于每年年度终了，对固定资产的预计使用寿命、预计净残值和折旧方法进行复核并作适当调整。</w:t>
      </w:r>
    </w:p>
    <w:p>
      <w:pPr>
        <w:spacing w:line="240" w:lineRule="auto" w:before="10"/>
        <w:rPr>
          <w:rFonts w:ascii="宋体" w:hAnsi="宋体" w:cs="宋体" w:eastAsia="宋体" w:hint="default"/>
          <w:sz w:val="14"/>
          <w:szCs w:val="14"/>
        </w:rPr>
      </w:pPr>
    </w:p>
    <w:p>
      <w:pPr>
        <w:pStyle w:val="Heading4"/>
        <w:spacing w:line="240" w:lineRule="auto"/>
        <w:ind w:left="1133" w:right="1121"/>
        <w:jc w:val="left"/>
        <w:rPr>
          <w:b w:val="0"/>
          <w:bCs w:val="0"/>
        </w:rPr>
      </w:pPr>
      <w:bookmarkStart w:name="（3）融资租入固定资产的认定依据、计价和折旧方法" w:id="189"/>
      <w:bookmarkEnd w:id="189"/>
      <w:r>
        <w:rPr>
          <w:b w:val="0"/>
          <w:bCs w:val="0"/>
        </w:rPr>
      </w:r>
      <w:r>
        <w:rPr/>
        <w:t>（</w:t>
      </w:r>
      <w:r>
        <w:rPr>
          <w:rFonts w:ascii="宋体" w:hAnsi="宋体" w:cs="宋体" w:eastAsia="宋体"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7、在建工程" w:id="190"/>
      <w:bookmarkEnd w:id="190"/>
      <w:r>
        <w:rPr>
          <w:rFonts w:ascii="宋体" w:hAnsi="宋体" w:cs="宋体" w:eastAsia="宋体" w:hint="default"/>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40" w:lineRule="auto"/>
        <w:ind w:left="1134" w:right="1121"/>
        <w:jc w:val="left"/>
      </w:pPr>
      <w:r>
        <w:rPr/>
        <w:t>公司是否需要遵守特殊行业的披露要求</w:t>
      </w:r>
    </w:p>
    <w:p>
      <w:pPr>
        <w:spacing w:line="240" w:lineRule="auto" w:before="10"/>
        <w:rPr>
          <w:rFonts w:ascii="宋体" w:hAnsi="宋体" w:cs="宋体" w:eastAsia="宋体" w:hint="default"/>
          <w:sz w:val="14"/>
          <w:szCs w:val="14"/>
        </w:rPr>
      </w:pPr>
    </w:p>
    <w:p>
      <w:pPr>
        <w:pStyle w:val="BodyText"/>
        <w:spacing w:line="408" w:lineRule="auto" w:before="0"/>
        <w:ind w:left="1134" w:right="6867"/>
        <w:jc w:val="left"/>
      </w:pPr>
      <w:r>
        <w:rPr/>
        <w:t>□ 是 √ 否 公司是否需要遵守特殊行业的披露要求</w:t>
      </w:r>
      <w:r>
        <w:rPr>
          <w:rFonts w:ascii="宋体" w:hAnsi="宋体" w:cs="宋体" w:eastAsia="宋体" w:hint="default"/>
        </w:rPr>
        <w:t>:</w:t>
      </w:r>
      <w:r>
        <w:rPr/>
        <w:t>否</w:t>
      </w:r>
    </w:p>
    <w:p>
      <w:pPr>
        <w:pStyle w:val="BodyText"/>
        <w:spacing w:line="240" w:lineRule="auto"/>
        <w:ind w:left="1554" w:right="0"/>
        <w:jc w:val="left"/>
      </w:pPr>
      <w:r>
        <w:rPr/>
        <w:t>在建工程按实际发生的成本计量。实际成本包括建筑费用、其他为使在建工程达到预定可使用状态所</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21"/>
        <w:jc w:val="left"/>
      </w:pPr>
      <w:r>
        <w:rPr>
          <w:spacing w:val="-1"/>
        </w:rPr>
        <w:t>发生的必要支出以及在资产达到预定可使用状态之前所发生的符合资本化条件的借款费用。在建工程在达</w:t>
      </w:r>
      <w:r>
        <w:rPr>
          <w:spacing w:val="-81"/>
        </w:rPr>
        <w:t> </w:t>
      </w:r>
      <w:r>
        <w:rPr>
          <w:spacing w:val="-81"/>
        </w:rPr>
      </w:r>
      <w:r>
        <w:rPr/>
        <w:t>到预定可使用状态时，转入固定资产并自次月起开始计提折旧。</w:t>
      </w:r>
    </w:p>
    <w:p>
      <w:pPr>
        <w:pStyle w:val="Heading4"/>
        <w:spacing w:line="240" w:lineRule="auto" w:before="46"/>
        <w:ind w:left="1133" w:right="1121"/>
        <w:jc w:val="left"/>
        <w:rPr>
          <w:b w:val="0"/>
          <w:bCs w:val="0"/>
        </w:rPr>
      </w:pPr>
      <w:bookmarkStart w:name="18、借款费用" w:id="191"/>
      <w:bookmarkEnd w:id="191"/>
      <w:r>
        <w:rPr>
          <w:b w:val="0"/>
          <w:bCs w:val="0"/>
        </w:rPr>
      </w:r>
      <w:r>
        <w:rPr>
          <w:rFonts w:ascii="宋体" w:hAnsi="宋体" w:cs="宋体" w:eastAsia="宋体" w:hint="default"/>
        </w:rPr>
        <w:t>18</w:t>
      </w:r>
      <w:r>
        <w:rPr/>
        <w:t>、借款费用</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024" w:firstLine="420"/>
        <w:jc w:val="left"/>
      </w:pPr>
      <w:r>
        <w:rPr>
          <w:spacing w:val="3"/>
        </w:rPr>
        <w:t>发生的可直接归属于需要经过相当长时间的购建活动才能达到预定可使用状态之固定资产的购建的</w:t>
      </w:r>
      <w:r>
        <w:rPr/>
        <w:t> </w:t>
      </w:r>
      <w:r>
        <w:rPr>
          <w:spacing w:val="-3"/>
        </w:rPr>
        <w:t>借款费用，在资产支出及借款费用已经发生、为使资产达到预定可使用状态所必要的购建活动已经开始时，</w:t>
      </w:r>
      <w:r>
        <w:rPr>
          <w:spacing w:val="-92"/>
        </w:rPr>
        <w:t> </w:t>
      </w:r>
      <w:r>
        <w:rPr>
          <w:spacing w:val="-92"/>
        </w:rPr>
      </w:r>
      <w:r>
        <w:rPr/>
        <w:t>开始资本化并计入该资产的成本。当购建的资产达到预定可使用状态时停止资本化，其后发生的借款费用</w:t>
      </w:r>
      <w:r>
        <w:rPr/>
        <w:t> 计入当期损益。如果资产的购建活动发生非正常中断，并且中断时间连续超过</w:t>
      </w:r>
      <w:r>
        <w:rPr>
          <w:rFonts w:ascii="宋体" w:hAnsi="宋体" w:cs="宋体" w:eastAsia="宋体" w:hint="default"/>
        </w:rPr>
        <w:t>3</w:t>
      </w:r>
      <w:r>
        <w:rPr/>
        <w:t>个月，暂停借款费用的资</w:t>
      </w:r>
      <w:r>
        <w:rPr>
          <w:spacing w:val="-25"/>
        </w:rPr>
        <w:t> </w:t>
      </w:r>
      <w:r>
        <w:rPr>
          <w:spacing w:val="-25"/>
        </w:rPr>
      </w:r>
      <w:r>
        <w:rPr/>
        <w:t>本化，直至资产的购建活动重新开始。</w:t>
      </w:r>
    </w:p>
    <w:p>
      <w:pPr>
        <w:pStyle w:val="BodyText"/>
        <w:spacing w:line="408" w:lineRule="auto"/>
        <w:ind w:right="1131" w:firstLine="420"/>
        <w:jc w:val="both"/>
      </w:pPr>
      <w:r>
        <w:rPr>
          <w:spacing w:val="-1"/>
        </w:rPr>
        <w:t>在资本化期间内，专门借款（指为购建或者生产符合资本化条件的资产而专门借入的款项）以专门借</w:t>
      </w:r>
      <w:r>
        <w:rPr/>
        <w:t> </w:t>
      </w:r>
      <w:r>
        <w:rPr>
          <w:spacing w:val="-1"/>
        </w:rPr>
        <w:t>款当期实际发生的利息费用，减去将尚未动用的借款资金存入银行取得的利息收入或进行暂时性投资取得</w:t>
      </w:r>
      <w:r>
        <w:rPr>
          <w:spacing w:val="-81"/>
        </w:rPr>
        <w:t> </w:t>
      </w:r>
      <w:r>
        <w:rPr>
          <w:spacing w:val="-81"/>
        </w:rPr>
      </w:r>
      <w:r>
        <w:rPr>
          <w:spacing w:val="-1"/>
        </w:rPr>
        <w:t>的投资收益后确定应予资本化的利息金额；一般借款则根据累计资产支出超过专门借款部分的资产支出加</w:t>
      </w:r>
      <w:r>
        <w:rPr>
          <w:spacing w:val="-81"/>
        </w:rPr>
        <w:t> </w:t>
      </w:r>
      <w:r>
        <w:rPr>
          <w:spacing w:val="-81"/>
        </w:rPr>
      </w:r>
      <w:r>
        <w:rPr>
          <w:spacing w:val="-1"/>
        </w:rPr>
        <w:t>权平均数乘以所占用一般借款的资本化率，计算确定一般借款应予资本化的利息金额。资本化率根据一般</w:t>
      </w:r>
      <w:r>
        <w:rPr>
          <w:spacing w:val="-81"/>
        </w:rPr>
        <w:t> </w:t>
      </w:r>
      <w:r>
        <w:rPr>
          <w:spacing w:val="-81"/>
        </w:rPr>
      </w:r>
      <w:r>
        <w:rPr/>
        <w:t>借款加权平均利率计算确定。</w:t>
      </w:r>
    </w:p>
    <w:p>
      <w:pPr>
        <w:pStyle w:val="BodyText"/>
        <w:spacing w:line="408" w:lineRule="auto"/>
        <w:ind w:right="1121" w:firstLine="420"/>
        <w:jc w:val="left"/>
      </w:pPr>
      <w:r>
        <w:rPr>
          <w:spacing w:val="-1"/>
        </w:rPr>
        <w:t>借款存在折价或者溢价的，按照实际利率法确定每一会计期间应摊销的折价或者溢价金额，调整每期</w:t>
      </w:r>
      <w:r>
        <w:rPr/>
        <w:t> 利息金额。</w:t>
      </w:r>
    </w:p>
    <w:p>
      <w:pPr>
        <w:pStyle w:val="Heading4"/>
        <w:spacing w:line="240" w:lineRule="auto" w:before="46"/>
        <w:ind w:left="1133" w:right="1121"/>
        <w:jc w:val="left"/>
        <w:rPr>
          <w:b w:val="0"/>
          <w:bCs w:val="0"/>
        </w:rPr>
      </w:pPr>
      <w:bookmarkStart w:name="19、生物资产" w:id="192"/>
      <w:bookmarkEnd w:id="192"/>
      <w:r>
        <w:rPr>
          <w:b w:val="0"/>
          <w:bCs w:val="0"/>
        </w:rPr>
      </w:r>
      <w:r>
        <w:rPr>
          <w:rFonts w:ascii="宋体" w:hAnsi="宋体" w:cs="宋体" w:eastAsia="宋体" w:hint="default"/>
        </w:rPr>
        <w:t>19</w:t>
      </w:r>
      <w:r>
        <w:rPr/>
        <w:t>、生物资产</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0、油气资产" w:id="193"/>
      <w:bookmarkEnd w:id="193"/>
      <w:r>
        <w:rPr>
          <w:rFonts w:ascii="宋体" w:hAnsi="宋体" w:cs="宋体" w:eastAsia="宋体" w:hint="default"/>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1、无形资产" w:id="194"/>
      <w:bookmarkEnd w:id="194"/>
      <w:r>
        <w:rPr>
          <w:rFonts w:ascii="宋体" w:hAnsi="宋体" w:cs="宋体" w:eastAsia="宋体" w:hint="default"/>
          <w:sz w:val="21"/>
          <w:szCs w:val="21"/>
        </w:rPr>
      </w:r>
      <w:r>
        <w:rPr>
          <w:rFonts w:ascii="宋体" w:hAnsi="宋体" w:cs="宋体" w:eastAsia="宋体"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408" w:lineRule="auto" w:before="46"/>
        <w:ind w:left="1134" w:right="7182" w:firstLine="0"/>
        <w:jc w:val="left"/>
        <w:rPr>
          <w:rFonts w:ascii="宋体" w:hAnsi="宋体" w:cs="宋体" w:eastAsia="宋体" w:hint="default"/>
          <w:sz w:val="21"/>
          <w:szCs w:val="21"/>
        </w:rPr>
      </w:pPr>
      <w:bookmarkStart w:name="（1）计价方法、使用寿命、减值测试" w:id="195"/>
      <w:bookmarkEnd w:id="19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公司是否需要遵守特殊行业的披露要求</w:t>
      </w:r>
    </w:p>
    <w:p>
      <w:pPr>
        <w:pStyle w:val="BodyText"/>
        <w:spacing w:line="240" w:lineRule="auto"/>
        <w:ind w:right="1121"/>
        <w:jc w:val="left"/>
      </w:pPr>
      <w:r>
        <w:rPr/>
        <w:t>□ 是 √ 否</w:t>
      </w:r>
    </w:p>
    <w:p>
      <w:pPr>
        <w:spacing w:line="240" w:lineRule="auto" w:before="10"/>
        <w:rPr>
          <w:rFonts w:ascii="宋体" w:hAnsi="宋体" w:cs="宋体" w:eastAsia="宋体" w:hint="default"/>
          <w:sz w:val="14"/>
          <w:szCs w:val="14"/>
        </w:rPr>
      </w:pPr>
    </w:p>
    <w:p>
      <w:pPr>
        <w:pStyle w:val="BodyText"/>
        <w:spacing w:line="408" w:lineRule="auto" w:before="0"/>
        <w:ind w:right="1131" w:firstLine="423"/>
        <w:jc w:val="both"/>
      </w:pPr>
      <w:r>
        <w:rPr/>
        <w:t>无形资产包括土地使用权、专利权及非专利技术、通过建设经营移交方式</w:t>
      </w:r>
      <w:r>
        <w:rPr>
          <w:rFonts w:ascii="宋体" w:hAnsi="宋体" w:cs="宋体" w:eastAsia="宋体" w:hint="default"/>
        </w:rPr>
        <w:t>(BOT)</w:t>
      </w:r>
      <w:r>
        <w:rPr/>
        <w:t>取得的资产等。无形 </w:t>
      </w:r>
      <w:r>
        <w:rPr>
          <w:spacing w:val="-1"/>
        </w:rPr>
        <w:t>资产以实际成本计量。公司制改建时国有股股东投入的无形资产，按国有资产管理部门确认的评估值作为</w:t>
      </w:r>
      <w:r>
        <w:rPr>
          <w:spacing w:val="-81"/>
        </w:rPr>
        <w:t> </w:t>
      </w:r>
      <w:r>
        <w:rPr>
          <w:spacing w:val="-81"/>
        </w:rPr>
      </w:r>
      <w:r>
        <w:rPr/>
        <w:t>入账价值。</w:t>
      </w:r>
    </w:p>
    <w:p>
      <w:pPr>
        <w:pStyle w:val="BodyText"/>
        <w:spacing w:line="408" w:lineRule="auto"/>
        <w:ind w:right="1121" w:firstLine="423"/>
        <w:jc w:val="left"/>
      </w:pPr>
      <w:r>
        <w:rPr>
          <w:spacing w:val="-1"/>
        </w:rPr>
        <w:t>土地使用权按使用年限</w:t>
      </w:r>
      <w:r>
        <w:rPr>
          <w:rFonts w:ascii="宋体" w:hAnsi="宋体" w:cs="宋体" w:eastAsia="宋体" w:hint="default"/>
          <w:spacing w:val="-1"/>
        </w:rPr>
        <w:t>50</w:t>
      </w:r>
      <w:r>
        <w:rPr>
          <w:spacing w:val="-1"/>
        </w:rPr>
        <w:t>年平均摊销。外购土地及建筑物的价款难以在土地使用权与建筑物之间合理</w:t>
      </w:r>
      <w:r>
        <w:rPr/>
        <w:t> 分配的，全部作为固定资产。专利权按法律规定的有效年限</w:t>
      </w:r>
      <w:r>
        <w:rPr>
          <w:rFonts w:ascii="宋体" w:hAnsi="宋体" w:cs="宋体" w:eastAsia="宋体" w:hint="default"/>
        </w:rPr>
        <w:t>10</w:t>
      </w:r>
      <w:r>
        <w:rPr/>
        <w:t>年平均摊销。软件按</w:t>
      </w:r>
      <w:r>
        <w:rPr>
          <w:rFonts w:ascii="宋体" w:hAnsi="宋体" w:cs="宋体" w:eastAsia="宋体" w:hint="default"/>
        </w:rPr>
        <w:t>10</w:t>
      </w:r>
      <w:r>
        <w:rPr/>
        <w:t>年平均摊销。 对使用寿命有限的无形资产的预计使用寿命及摊销方法于每年年度终了进行复核并作适当调整。</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08" w:lineRule="auto" w:before="0"/>
        <w:ind w:left="1557" w:right="1121" w:hanging="424"/>
        <w:jc w:val="left"/>
        <w:rPr>
          <w:rFonts w:ascii="宋体" w:hAnsi="宋体" w:cs="宋体" w:eastAsia="宋体" w:hint="default"/>
          <w:sz w:val="21"/>
          <w:szCs w:val="21"/>
        </w:rPr>
      </w:pPr>
      <w:bookmarkStart w:name="（2）内部研究开发支出会计政策" w:id="196"/>
      <w:bookmarkEnd w:id="19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根据内部研究开发项目支出的性质以及研发活动最终形成无形资产是否具有较大不确定性，分为研究</w:t>
      </w:r>
    </w:p>
    <w:p>
      <w:pPr>
        <w:pStyle w:val="BodyText"/>
        <w:spacing w:line="408" w:lineRule="auto"/>
        <w:ind w:left="1557" w:right="1014" w:hanging="424"/>
        <w:jc w:val="left"/>
      </w:pPr>
      <w:r>
        <w:rPr/>
        <w:t>阶段支出和开发阶段支出。 </w:t>
      </w:r>
      <w:r>
        <w:rPr>
          <w:spacing w:val="-3"/>
        </w:rPr>
        <w:t>研究阶段的支出，于发生时计入当期损益；开发阶段的支出，同时满足下列条件的，确认为无形资产：</w:t>
      </w:r>
      <w:r>
        <w:rPr/>
        <w:t> </w:t>
      </w:r>
      <w:r>
        <w:rPr>
          <w:rFonts w:ascii="宋体" w:hAnsi="宋体" w:cs="宋体" w:eastAsia="宋体" w:hint="default"/>
        </w:rPr>
        <w:t>1</w:t>
      </w:r>
      <w:r>
        <w:rPr/>
        <w:t>）完成该无形资产以使其能够使用或出售在技术上具有可行性；</w:t>
      </w:r>
    </w:p>
    <w:p>
      <w:pPr>
        <w:pStyle w:val="BodyText"/>
        <w:spacing w:line="240" w:lineRule="auto"/>
        <w:ind w:left="1557" w:right="1121"/>
        <w:jc w:val="left"/>
      </w:pPr>
      <w:r>
        <w:rPr>
          <w:rFonts w:ascii="宋体" w:hAnsi="宋体" w:cs="宋体" w:eastAsia="宋体" w:hint="default"/>
        </w:rPr>
        <w:t>2</w:t>
      </w:r>
      <w:r>
        <w:rPr/>
        <w:t>）管理层具有完成该无形资产并使用或出售的意图；</w:t>
      </w:r>
    </w:p>
    <w:p>
      <w:pPr>
        <w:spacing w:line="240" w:lineRule="auto" w:before="10"/>
        <w:rPr>
          <w:rFonts w:ascii="宋体" w:hAnsi="宋体" w:cs="宋体" w:eastAsia="宋体" w:hint="default"/>
          <w:sz w:val="14"/>
          <w:szCs w:val="14"/>
        </w:rPr>
      </w:pPr>
    </w:p>
    <w:p>
      <w:pPr>
        <w:pStyle w:val="BodyText"/>
        <w:spacing w:line="240" w:lineRule="auto" w:before="0"/>
        <w:ind w:left="1557" w:right="1121"/>
        <w:jc w:val="left"/>
      </w:pPr>
      <w:r>
        <w:rPr>
          <w:rFonts w:ascii="宋体" w:hAnsi="宋体" w:cs="宋体" w:eastAsia="宋体" w:hint="default"/>
        </w:rPr>
        <w:t>3</w:t>
      </w:r>
      <w:r>
        <w:rPr/>
        <w:t>）能够证明该无形资产将如何产生经济利益；</w:t>
      </w:r>
    </w:p>
    <w:p>
      <w:pPr>
        <w:spacing w:line="240" w:lineRule="auto" w:before="10"/>
        <w:rPr>
          <w:rFonts w:ascii="宋体" w:hAnsi="宋体" w:cs="宋体" w:eastAsia="宋体" w:hint="default"/>
          <w:sz w:val="14"/>
          <w:szCs w:val="14"/>
        </w:rPr>
      </w:pPr>
    </w:p>
    <w:p>
      <w:pPr>
        <w:pStyle w:val="BodyText"/>
        <w:spacing w:line="408" w:lineRule="auto" w:before="0"/>
        <w:ind w:right="1121" w:firstLine="423"/>
        <w:jc w:val="left"/>
      </w:pPr>
      <w:r>
        <w:rPr>
          <w:rFonts w:ascii="宋体" w:hAnsi="宋体" w:cs="宋体" w:eastAsia="宋体" w:hint="default"/>
        </w:rPr>
        <w:t>4</w:t>
      </w:r>
      <w:r>
        <w:rPr/>
        <w:t>）有足够的技术、财务资源和其他资源支持，以完成该无形资产的开发，并有能力使用或出售该无 形资产；</w:t>
      </w:r>
    </w:p>
    <w:p>
      <w:pPr>
        <w:pStyle w:val="BodyText"/>
        <w:spacing w:line="408" w:lineRule="auto"/>
        <w:ind w:left="1557" w:right="1121"/>
        <w:jc w:val="left"/>
      </w:pPr>
      <w:r>
        <w:rPr>
          <w:rFonts w:ascii="宋体" w:hAnsi="宋体" w:cs="宋体" w:eastAsia="宋体" w:hint="default"/>
        </w:rPr>
        <w:t>5</w:t>
      </w:r>
      <w:r>
        <w:rPr/>
        <w:t>）归属于该无形资产开发阶段的支出能够可靠地计量。 </w:t>
      </w:r>
      <w:r>
        <w:rPr>
          <w:spacing w:val="-1"/>
        </w:rPr>
        <w:t>不满足上述条件的开发阶段的支出，于发生时计入当期损益。前期已计入损益的开发支出不在以后期</w:t>
      </w:r>
    </w:p>
    <w:p>
      <w:pPr>
        <w:pStyle w:val="BodyText"/>
        <w:spacing w:line="408" w:lineRule="auto"/>
        <w:ind w:right="1121"/>
        <w:jc w:val="left"/>
      </w:pPr>
      <w:r>
        <w:rPr>
          <w:spacing w:val="-1"/>
        </w:rPr>
        <w:t>间确认为资产。已资本化的开发阶段的支出在资产负债表上列示为开发支出，自该项目达到预定可使用状</w:t>
      </w:r>
      <w:r>
        <w:rPr>
          <w:spacing w:val="-81"/>
        </w:rPr>
        <w:t> </w:t>
      </w:r>
      <w:r>
        <w:rPr>
          <w:spacing w:val="-81"/>
        </w:rPr>
      </w:r>
      <w:r>
        <w:rPr/>
        <w:t>态之日起转为无形资产。</w:t>
      </w:r>
    </w:p>
    <w:p>
      <w:pPr>
        <w:spacing w:line="408" w:lineRule="auto" w:before="46"/>
        <w:ind w:left="1133" w:right="3403" w:firstLine="420"/>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 </w:t>
      </w:r>
      <w:bookmarkStart w:name="22、长期资产减值" w:id="197"/>
      <w:bookmarkEnd w:id="197"/>
      <w:r>
        <w:rPr>
          <w:rFonts w:ascii="宋体" w:hAnsi="宋体" w:cs="宋体" w:eastAsia="宋体" w:hint="default"/>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408" w:lineRule="auto"/>
        <w:ind w:right="1131" w:firstLine="423"/>
        <w:jc w:val="both"/>
      </w:pPr>
      <w:r>
        <w:rPr>
          <w:spacing w:val="-1"/>
        </w:rPr>
        <w:t>在财务报表中单独列示的商誉和使用寿命不确定的无形资产，无论是否存在减值迹象，至少每年进行</w:t>
      </w:r>
      <w:r>
        <w:rPr/>
        <w:t> </w:t>
      </w:r>
      <w:r>
        <w:rPr>
          <w:spacing w:val="-1"/>
        </w:rPr>
        <w:t>减值测试。固定资产、无形资产、以成本模式计量的投资性房地产及长期股权投资等，于资产负债表日存</w:t>
      </w:r>
      <w:r>
        <w:rPr>
          <w:spacing w:val="-86"/>
        </w:rPr>
        <w:t> </w:t>
      </w:r>
      <w:r>
        <w:rPr>
          <w:spacing w:val="-86"/>
        </w:rPr>
      </w:r>
      <w:r>
        <w:rPr>
          <w:spacing w:val="-1"/>
        </w:rPr>
        <w:t>在减值迹象的，进行减值测试。减值测试结果表明资产的可收回金额低于其账面价值的，按其差额计提减</w:t>
      </w:r>
      <w:r>
        <w:rPr>
          <w:spacing w:val="-83"/>
        </w:rPr>
        <w:t> </w:t>
      </w:r>
      <w:r>
        <w:rPr>
          <w:spacing w:val="-83"/>
        </w:rPr>
      </w:r>
      <w:r>
        <w:rPr>
          <w:spacing w:val="-1"/>
        </w:rPr>
        <w:t>值准备并计入减值损失。可收回金额为资产的公允价值减去处置费用后的净额与资产预计未来现金流量的</w:t>
      </w:r>
      <w:r>
        <w:rPr>
          <w:spacing w:val="-81"/>
        </w:rPr>
        <w:t> </w:t>
      </w:r>
      <w:r>
        <w:rPr>
          <w:spacing w:val="-81"/>
        </w:rPr>
      </w:r>
      <w:r>
        <w:rPr>
          <w:spacing w:val="-1"/>
        </w:rPr>
        <w:t>现值两者之间的较高者。资产减值准备按单项资产为基础计算并确认，如果难以对单项资产的可收回金额</w:t>
      </w:r>
      <w:r>
        <w:rPr>
          <w:spacing w:val="-81"/>
        </w:rPr>
        <w:t> </w:t>
      </w:r>
      <w:r>
        <w:rPr>
          <w:spacing w:val="-81"/>
        </w:rPr>
      </w:r>
      <w:r>
        <w:rPr>
          <w:spacing w:val="-1"/>
        </w:rPr>
        <w:t>进行估计的，以该资产所属的资产组确定资产组的可收回金额。资产组是能够独立产生现金流入的最小资</w:t>
      </w:r>
      <w:r>
        <w:rPr>
          <w:spacing w:val="-81"/>
        </w:rPr>
        <w:t> </w:t>
      </w:r>
      <w:r>
        <w:rPr>
          <w:spacing w:val="-81"/>
        </w:rPr>
      </w:r>
      <w:r>
        <w:rPr/>
        <w:t>产组合。前述资产减值损失一经确认，如果在以后期间价值得以恢复，也不予转回。</w:t>
      </w:r>
    </w:p>
    <w:p>
      <w:pPr>
        <w:pStyle w:val="BodyText"/>
        <w:spacing w:line="408" w:lineRule="auto"/>
        <w:ind w:left="1557" w:right="1121" w:hanging="424"/>
        <w:jc w:val="left"/>
      </w:pPr>
      <w:bookmarkStart w:name="23、长期待摊费用" w:id="198"/>
      <w:bookmarkEnd w:id="198"/>
      <w:r>
        <w:rPr/>
      </w:r>
      <w:r>
        <w:rPr>
          <w:rFonts w:ascii="宋体" w:hAnsi="宋体" w:cs="宋体" w:eastAsia="宋体"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3"/>
        </w:rPr>
        <w:t>长期待摊费用包括经营租入固定资产改良及其他已经发生但应由本期和以后各期负担的分摊期限在</w:t>
      </w:r>
    </w:p>
    <w:p>
      <w:pPr>
        <w:pStyle w:val="BodyText"/>
        <w:spacing w:line="408" w:lineRule="auto"/>
        <w:ind w:right="1723"/>
        <w:jc w:val="left"/>
        <w:rPr>
          <w:rFonts w:ascii="宋体" w:hAnsi="宋体" w:cs="宋体" w:eastAsia="宋体" w:hint="default"/>
        </w:rPr>
      </w:pPr>
      <w:r>
        <w:rPr/>
        <w:t>一年以上的各项费用，按预计受益期间分期平均摊销，并以实际支出减去累计摊销后的净额列示。 </w:t>
      </w:r>
      <w:bookmarkStart w:name="24、职工薪酬" w:id="199"/>
      <w:bookmarkEnd w:id="199"/>
      <w:r>
        <w:rPr/>
      </w:r>
      <w:r>
        <w:rPr>
          <w:rFonts w:ascii="宋体" w:hAnsi="宋体" w:cs="宋体" w:eastAsia="宋体" w:hint="default"/>
          <w:b/>
          <w:bCs/>
        </w:rPr>
        <w:t>24</w:t>
      </w:r>
      <w:r>
        <w:rPr>
          <w:rFonts w:ascii="宋体" w:hAnsi="宋体" w:cs="宋体" w:eastAsia="宋体" w:hint="default"/>
          <w:b/>
          <w:bCs/>
        </w:rPr>
        <w:t>、职工薪酬</w:t>
      </w:r>
      <w:r>
        <w:rPr>
          <w:rFonts w:ascii="宋体" w:hAnsi="宋体" w:cs="宋体" w:eastAsia="宋体" w:hint="default"/>
        </w:rPr>
      </w:r>
    </w:p>
    <w:p>
      <w:pPr>
        <w:spacing w:line="408" w:lineRule="auto" w:before="46"/>
        <w:ind w:left="1557" w:right="1121" w:hanging="424"/>
        <w:jc w:val="left"/>
        <w:rPr>
          <w:rFonts w:ascii="宋体" w:hAnsi="宋体" w:cs="宋体" w:eastAsia="宋体" w:hint="default"/>
          <w:sz w:val="21"/>
          <w:szCs w:val="21"/>
        </w:rPr>
      </w:pPr>
      <w:bookmarkStart w:name="（1）短期薪酬的会计处理方法" w:id="200"/>
      <w:bookmarkEnd w:id="20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408" w:lineRule="auto"/>
        <w:ind w:right="1121"/>
        <w:jc w:val="left"/>
      </w:pPr>
      <w:r>
        <w:rPr>
          <w:spacing w:val="-1"/>
        </w:rPr>
        <w:t>成本。发生的职工福利费，在实际发生时根据实际发生额计入当期损益或相关资产成本。职工福利费为非</w:t>
      </w:r>
      <w:r>
        <w:rPr>
          <w:spacing w:val="-83"/>
        </w:rPr>
        <w:t> </w:t>
      </w:r>
      <w:r>
        <w:rPr>
          <w:spacing w:val="-83"/>
        </w:rPr>
      </w:r>
      <w:r>
        <w:rPr>
          <w:spacing w:val="-1"/>
        </w:rPr>
        <w:t>货币性福利的，按照公允价值计量。为职工缴纳的医疗保险费、工伤保险费、生育保险费等社会保险费和</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0" w:right="1110"/>
        <w:jc w:val="right"/>
      </w:pPr>
      <w:r>
        <w:rPr>
          <w:spacing w:val="-1"/>
        </w:rPr>
        <w:t>住房公积金，以及按规定提取的工会经费和职工教育经费，在职工为公司提供服务的会计期间，根据规定</w:t>
      </w:r>
      <w:r>
        <w:rPr/>
        <w:t> 的计提基础和计提比例计算确定相应的职工薪酬金额，并确认相应负债，计入当期损益或相关资产成本。 </w:t>
      </w:r>
      <w:r>
        <w:rPr>
          <w:spacing w:val="-1"/>
        </w:rPr>
        <w:t>在职工提供服务从而增加了其未来享有的带薪缺勤权利时，确认与累积带薪缺勤相关的职工薪酬，并</w:t>
      </w:r>
      <w:r>
        <w:rPr/>
        <w:t> </w:t>
      </w:r>
      <w:r>
        <w:rPr>
          <w:spacing w:val="-1"/>
        </w:rPr>
        <w:t>以累积未行使权利而增加的预期支付金额计量。在职工实际发生缺勤的会计期间确认与非累积带薪缺勤相</w:t>
      </w:r>
    </w:p>
    <w:p>
      <w:pPr>
        <w:pStyle w:val="BodyText"/>
        <w:spacing w:line="408" w:lineRule="auto"/>
        <w:ind w:left="1557" w:right="4029" w:hanging="424"/>
        <w:jc w:val="left"/>
      </w:pPr>
      <w:r>
        <w:rPr/>
        <w:t>关的职工薪酬。 利润分享计划同时满足下列条件时，公司确认相关的应付职工薪酬： </w:t>
      </w:r>
      <w:r>
        <w:rPr>
          <w:rFonts w:ascii="宋体" w:hAnsi="宋体" w:cs="宋体" w:eastAsia="宋体" w:hint="default"/>
        </w:rPr>
        <w:t>1</w:t>
      </w:r>
      <w:r>
        <w:rPr/>
        <w:t>）因过去事项导致现在具有支付职工薪酬的法定义务或推定义务；</w:t>
      </w:r>
    </w:p>
    <w:p>
      <w:pPr>
        <w:pStyle w:val="BodyText"/>
        <w:spacing w:line="240" w:lineRule="auto"/>
        <w:ind w:left="1553" w:right="1121"/>
        <w:jc w:val="left"/>
      </w:pPr>
      <w:r>
        <w:rPr>
          <w:rFonts w:ascii="宋体" w:hAnsi="宋体" w:cs="宋体" w:eastAsia="宋体" w:hint="default"/>
        </w:rPr>
        <w:t>2</w:t>
      </w:r>
      <w:r>
        <w:rPr/>
        <w:t>）因利润分享计划所产生的应付职工薪酬义务金额能够可靠估计。</w:t>
      </w:r>
    </w:p>
    <w:p>
      <w:pPr>
        <w:spacing w:line="240" w:lineRule="auto" w:before="10"/>
        <w:rPr>
          <w:rFonts w:ascii="宋体" w:hAnsi="宋体" w:cs="宋体" w:eastAsia="宋体" w:hint="default"/>
          <w:sz w:val="14"/>
          <w:szCs w:val="14"/>
        </w:rPr>
      </w:pPr>
    </w:p>
    <w:p>
      <w:pPr>
        <w:spacing w:line="408" w:lineRule="auto" w:before="0"/>
        <w:ind w:left="1557" w:right="7696" w:hanging="424"/>
        <w:jc w:val="left"/>
        <w:rPr>
          <w:rFonts w:ascii="宋体" w:hAnsi="宋体" w:cs="宋体" w:eastAsia="宋体" w:hint="default"/>
          <w:sz w:val="21"/>
          <w:szCs w:val="21"/>
        </w:rPr>
      </w:pPr>
      <w:bookmarkStart w:name="（2）离职后福利的会计处理方法" w:id="201"/>
      <w:bookmarkEnd w:id="20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设定提存计划</w:t>
      </w:r>
    </w:p>
    <w:p>
      <w:pPr>
        <w:pStyle w:val="BodyText"/>
        <w:spacing w:line="408" w:lineRule="auto"/>
        <w:ind w:right="1131" w:firstLine="423"/>
        <w:jc w:val="both"/>
      </w:pPr>
      <w:r>
        <w:rPr>
          <w:spacing w:val="-1"/>
        </w:rPr>
        <w:t>公司在职工为其提供服务的会计期间，将根据设定提存计划计算的应缴存金额确认为负债，并计入当</w:t>
      </w:r>
      <w:r>
        <w:rPr/>
        <w:t> </w:t>
      </w:r>
      <w:r>
        <w:rPr>
          <w:spacing w:val="-1"/>
        </w:rPr>
        <w:t>期损益或相关资产成本。根据设定提存计划，预期不会在职工提供相关服务的年度报告期结束后十二个月</w:t>
      </w:r>
      <w:r>
        <w:rPr>
          <w:spacing w:val="-81"/>
        </w:rPr>
        <w:t> </w:t>
      </w:r>
      <w:r>
        <w:rPr>
          <w:spacing w:val="-81"/>
        </w:rPr>
      </w:r>
      <w:r>
        <w:rPr/>
        <w:t>内支付全部应缴存金额的，公司将全部应缴存金额以折现后的金额计量应付职工薪酬。</w:t>
      </w:r>
    </w:p>
    <w:p>
      <w:pPr>
        <w:pStyle w:val="BodyText"/>
        <w:spacing w:line="408" w:lineRule="auto"/>
        <w:ind w:left="1557" w:right="5499"/>
        <w:jc w:val="left"/>
      </w:pPr>
      <w:r>
        <w:rPr>
          <w:rFonts w:ascii="宋体" w:hAnsi="宋体" w:cs="宋体" w:eastAsia="宋体" w:hint="default"/>
        </w:rPr>
        <w:t>2.</w:t>
      </w:r>
      <w:r>
        <w:rPr/>
        <w:t>设定受益计划 公司对设定受益计划的会计处理包括下列四个步骤：</w:t>
      </w:r>
    </w:p>
    <w:p>
      <w:pPr>
        <w:pStyle w:val="BodyText"/>
        <w:spacing w:line="408" w:lineRule="auto"/>
        <w:ind w:right="1130" w:firstLine="423"/>
        <w:jc w:val="both"/>
      </w:pPr>
      <w:r>
        <w:rPr>
          <w:rFonts w:ascii="宋体" w:hAnsi="宋体" w:cs="宋体" w:eastAsia="宋体" w:hint="default"/>
        </w:rPr>
        <w:t>1</w:t>
      </w:r>
      <w:r>
        <w:rPr/>
        <w:t>）根据预期累计福利单位法，采用无偏且相互一致的精算假设对有关人口统计变量和财务变量等做 </w:t>
      </w:r>
      <w:r>
        <w:rPr>
          <w:spacing w:val="-1"/>
        </w:rPr>
        <w:t>出估计，计量设定受益计划所产生的义务，并确定相关义务的归属期间。公司将设定受益计划所产生的义</w:t>
      </w:r>
      <w:r>
        <w:rPr>
          <w:spacing w:val="-82"/>
        </w:rPr>
        <w:t> </w:t>
      </w:r>
      <w:r>
        <w:rPr>
          <w:spacing w:val="-82"/>
        </w:rPr>
      </w:r>
      <w:r>
        <w:rPr/>
        <w:t>务予以折现，以确定设定受益计划义务的现值和当期服务成本。</w:t>
      </w:r>
    </w:p>
    <w:p>
      <w:pPr>
        <w:pStyle w:val="BodyText"/>
        <w:spacing w:line="408" w:lineRule="auto"/>
        <w:ind w:right="1131" w:firstLine="423"/>
        <w:jc w:val="both"/>
      </w:pPr>
      <w:r>
        <w:rPr>
          <w:rFonts w:ascii="宋体" w:hAnsi="宋体" w:cs="宋体" w:eastAsia="宋体" w:hint="default"/>
        </w:rPr>
        <w:t>2</w:t>
      </w:r>
      <w:r>
        <w:rPr/>
        <w:t>）设定受益计划存在资产的，公司将设定受益计划义务现值减去设定受益计划资产公允价值所形成 </w:t>
      </w:r>
      <w:r>
        <w:rPr>
          <w:spacing w:val="-1"/>
        </w:rPr>
        <w:t>的赤字或盈余确认为一项设定受益计划净负债或净资产。设定受益计划存在盈余的，公司以设定受益计划</w:t>
      </w:r>
      <w:r>
        <w:rPr>
          <w:spacing w:val="-81"/>
        </w:rPr>
        <w:t> </w:t>
      </w:r>
      <w:r>
        <w:rPr>
          <w:spacing w:val="-81"/>
        </w:rPr>
      </w:r>
      <w:r>
        <w:rPr/>
        <w:t>的盈余和资产上限两项的孰低者计量设定受益计划净资产。</w:t>
      </w:r>
    </w:p>
    <w:p>
      <w:pPr>
        <w:pStyle w:val="BodyText"/>
        <w:spacing w:line="240" w:lineRule="auto"/>
        <w:ind w:left="1557" w:right="1121"/>
        <w:jc w:val="left"/>
      </w:pPr>
      <w:r>
        <w:rPr>
          <w:rFonts w:ascii="宋体" w:hAnsi="宋体" w:cs="宋体" w:eastAsia="宋体" w:hint="default"/>
        </w:rPr>
        <w:t>3</w:t>
      </w:r>
      <w:r>
        <w:rPr/>
        <w:t>）确定应当计入当期损益的金额。</w:t>
      </w:r>
    </w:p>
    <w:p>
      <w:pPr>
        <w:spacing w:line="240" w:lineRule="auto" w:before="10"/>
        <w:rPr>
          <w:rFonts w:ascii="宋体" w:hAnsi="宋体" w:cs="宋体" w:eastAsia="宋体" w:hint="default"/>
          <w:sz w:val="14"/>
          <w:szCs w:val="14"/>
        </w:rPr>
      </w:pPr>
    </w:p>
    <w:p>
      <w:pPr>
        <w:pStyle w:val="BodyText"/>
        <w:spacing w:line="408" w:lineRule="auto" w:before="0"/>
        <w:ind w:left="1557" w:right="1121"/>
        <w:jc w:val="left"/>
      </w:pPr>
      <w:r>
        <w:rPr>
          <w:rFonts w:ascii="宋体" w:hAnsi="宋体" w:cs="宋体" w:eastAsia="宋体" w:hint="default"/>
        </w:rPr>
        <w:t>4</w:t>
      </w:r>
      <w:r>
        <w:rPr/>
        <w:t>）确定应当计入其他综合收益的金额。 </w:t>
      </w:r>
      <w:r>
        <w:rPr>
          <w:spacing w:val="3"/>
        </w:rPr>
        <w:t>公司根据预期累计福利单位法确定的公式将设定受益计划产生的福利义务归属于职工提供服务的期</w:t>
      </w:r>
    </w:p>
    <w:p>
      <w:pPr>
        <w:pStyle w:val="BodyText"/>
        <w:spacing w:line="408" w:lineRule="auto"/>
        <w:ind w:right="1131"/>
        <w:jc w:val="both"/>
      </w:pPr>
      <w:r>
        <w:rPr>
          <w:spacing w:val="-1"/>
        </w:rPr>
        <w:t>间，并计入当期损益或相关资产成本。当职工后续年度的服务将导致其享有的设定受益计划福利水平显著</w:t>
      </w:r>
      <w:r>
        <w:rPr>
          <w:spacing w:val="-81"/>
        </w:rPr>
        <w:t> </w:t>
      </w:r>
      <w:r>
        <w:rPr>
          <w:spacing w:val="-81"/>
        </w:rPr>
      </w:r>
      <w:r>
        <w:rPr>
          <w:spacing w:val="-1"/>
        </w:rPr>
        <w:t>高于以前年度时，按照直线法将累计设定受益计划义务分摊确认于职工提供服务而导致企业第一次产生设</w:t>
      </w:r>
      <w:r>
        <w:rPr>
          <w:spacing w:val="-81"/>
        </w:rPr>
        <w:t> </w:t>
      </w:r>
      <w:r>
        <w:rPr>
          <w:spacing w:val="-81"/>
        </w:rPr>
      </w:r>
      <w:r>
        <w:rPr/>
        <w:t>定受益计划福利义务至职工提供服务不再导致该福利义务显著增加的期间。</w:t>
      </w:r>
    </w:p>
    <w:p>
      <w:pPr>
        <w:pStyle w:val="BodyText"/>
        <w:spacing w:line="408" w:lineRule="auto"/>
        <w:ind w:right="1133" w:firstLine="423"/>
        <w:jc w:val="both"/>
      </w:pPr>
      <w:r>
        <w:rPr>
          <w:spacing w:val="-1"/>
        </w:rPr>
        <w:t>报告期末，公司将设定受益计划产生的职工薪酬成本确认为：服务成本、设定受益计划净负债或净资</w:t>
      </w:r>
      <w:r>
        <w:rPr/>
        <w:t> 产的利息净额，以及重新计量设定受益计划净负债或净资产所产生的变动。</w:t>
      </w:r>
    </w:p>
    <w:p>
      <w:pPr>
        <w:pStyle w:val="BodyText"/>
        <w:spacing w:line="240" w:lineRule="auto"/>
        <w:ind w:left="1557" w:right="1121"/>
        <w:jc w:val="left"/>
      </w:pPr>
      <w:r>
        <w:rPr/>
        <w:t>在设定受益计划下，公司在下列日期孰早日将过去服务成本确认为当期费用：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1557" w:right="1121"/>
        <w:jc w:val="left"/>
      </w:pPr>
      <w:r>
        <w:rPr>
          <w:rFonts w:ascii="宋体" w:hAnsi="宋体" w:cs="宋体" w:eastAsia="宋体" w:hint="default"/>
        </w:rPr>
        <w:t>1</w:t>
      </w:r>
      <w:r>
        <w:rPr/>
        <w:t>）修改设定受益计划时。</w:t>
      </w:r>
    </w:p>
    <w:p>
      <w:pPr>
        <w:spacing w:line="240" w:lineRule="auto" w:before="10"/>
        <w:rPr>
          <w:rFonts w:ascii="宋体" w:hAnsi="宋体" w:cs="宋体" w:eastAsia="宋体" w:hint="default"/>
          <w:sz w:val="14"/>
          <w:szCs w:val="14"/>
        </w:rPr>
      </w:pPr>
    </w:p>
    <w:p>
      <w:pPr>
        <w:pStyle w:val="BodyText"/>
        <w:spacing w:line="408" w:lineRule="auto" w:before="0"/>
        <w:ind w:left="1557" w:right="5079"/>
        <w:jc w:val="left"/>
      </w:pPr>
      <w:r>
        <w:rPr>
          <w:rFonts w:ascii="宋体" w:hAnsi="宋体" w:cs="宋体" w:eastAsia="宋体" w:hint="default"/>
        </w:rPr>
        <w:t>2</w:t>
      </w:r>
      <w:r>
        <w:rPr/>
        <w:t>）企业确认相关重组费用或辞退福利时。 公司在设定受益计划结算时，确认一项结算利得或损失。</w:t>
      </w:r>
    </w:p>
    <w:p>
      <w:pPr>
        <w:pStyle w:val="BodyText"/>
        <w:spacing w:line="408" w:lineRule="auto"/>
        <w:ind w:left="1557" w:right="1014" w:hanging="424"/>
        <w:jc w:val="left"/>
      </w:pPr>
      <w:bookmarkStart w:name="（3）辞退福利的会计处理方法" w:id="202"/>
      <w:bookmarkEnd w:id="202"/>
      <w:r>
        <w:rPr/>
      </w: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）辞退福利的会计处理方法</w:t>
      </w:r>
      <w:r>
        <w:rPr>
          <w:rFonts w:ascii="宋体" w:hAnsi="宋体" w:cs="宋体" w:eastAsia="宋体" w:hint="default"/>
          <w:b/>
          <w:bCs/>
          <w:w w:val="99"/>
        </w:rPr>
        <w:t> </w:t>
      </w:r>
      <w:r>
        <w:rPr>
          <w:spacing w:val="-3"/>
        </w:rPr>
        <w:t>公司向职工提供辞退福利的，在下列两者孰早日确认辞退福利产生的职工薪酬负债，并计入当期损益：</w:t>
      </w:r>
      <w:r>
        <w:rPr/>
        <w:t> </w:t>
      </w:r>
      <w:r>
        <w:rPr>
          <w:rFonts w:ascii="宋体" w:hAnsi="宋体" w:cs="宋体" w:eastAsia="宋体" w:hint="default"/>
        </w:rPr>
        <w:t>1</w:t>
      </w:r>
      <w:r>
        <w:rPr/>
        <w:t>）公司不能单方面撤回因解除劳动关系计划或裁减建议所提供的辞退福利时。</w:t>
      </w:r>
    </w:p>
    <w:p>
      <w:pPr>
        <w:pStyle w:val="BodyText"/>
        <w:spacing w:line="408" w:lineRule="auto"/>
        <w:ind w:left="1557" w:right="2979"/>
        <w:jc w:val="left"/>
      </w:pPr>
      <w:r>
        <w:rPr>
          <w:rFonts w:ascii="宋体" w:hAnsi="宋体" w:cs="宋体" w:eastAsia="宋体" w:hint="default"/>
        </w:rPr>
        <w:t>2</w:t>
      </w:r>
      <w:r>
        <w:rPr/>
        <w:t>）公司确认与涉及支付辞退福利的重组相关的成本或费用时。 公司按照辞退计划条款的规定，合理预计并确认辞退福利产生的应付职工薪酬。</w:t>
      </w:r>
    </w:p>
    <w:p>
      <w:pPr>
        <w:spacing w:line="408" w:lineRule="auto" w:before="46"/>
        <w:ind w:left="1557" w:right="1121" w:hanging="424"/>
        <w:jc w:val="left"/>
        <w:rPr>
          <w:rFonts w:ascii="宋体" w:hAnsi="宋体" w:cs="宋体" w:eastAsia="宋体" w:hint="default"/>
          <w:sz w:val="21"/>
          <w:szCs w:val="21"/>
        </w:rPr>
      </w:pPr>
      <w:bookmarkStart w:name="（4）其他长期职工福利的会计处理方法" w:id="203"/>
      <w:bookmarkEnd w:id="203"/>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公司向职工提供的其他长期职工福利，符合设定提存计划条件的，按照关于设定提存计划的有关政策</w:t>
      </w:r>
    </w:p>
    <w:p>
      <w:pPr>
        <w:pStyle w:val="BodyText"/>
        <w:spacing w:line="240" w:lineRule="auto"/>
        <w:ind w:right="1121"/>
        <w:jc w:val="left"/>
      </w:pPr>
      <w:r>
        <w:rPr/>
        <w:t>进行处理。</w:t>
      </w:r>
    </w:p>
    <w:p>
      <w:pPr>
        <w:spacing w:line="240" w:lineRule="auto" w:before="10"/>
        <w:rPr>
          <w:rFonts w:ascii="宋体" w:hAnsi="宋体" w:cs="宋体" w:eastAsia="宋体" w:hint="default"/>
          <w:sz w:val="14"/>
          <w:szCs w:val="14"/>
        </w:rPr>
      </w:pPr>
    </w:p>
    <w:p>
      <w:pPr>
        <w:pStyle w:val="BodyText"/>
        <w:spacing w:line="408" w:lineRule="auto" w:before="0"/>
        <w:ind w:right="1121" w:firstLine="423"/>
        <w:jc w:val="left"/>
      </w:pPr>
      <w:r>
        <w:rPr>
          <w:spacing w:val="-1"/>
        </w:rPr>
        <w:t>除上述情形外，公司按照关于设定受益计划的有关政策，确认和计量其他长期职工福利净负债或净资</w:t>
      </w:r>
      <w:r>
        <w:rPr/>
        <w:t> 产。在报告期末，将其他长期职工福利产生的职工薪酬成本确认为下列组成部分：</w:t>
      </w:r>
    </w:p>
    <w:p>
      <w:pPr>
        <w:pStyle w:val="BodyText"/>
        <w:spacing w:line="240" w:lineRule="auto"/>
        <w:ind w:left="1557" w:right="1121"/>
        <w:jc w:val="left"/>
      </w:pPr>
      <w:r>
        <w:rPr>
          <w:rFonts w:ascii="宋体" w:hAnsi="宋体" w:cs="宋体" w:eastAsia="宋体" w:hint="default"/>
        </w:rPr>
        <w:t>1</w:t>
      </w:r>
      <w:r>
        <w:rPr/>
        <w:t>）服务成本。</w:t>
      </w:r>
    </w:p>
    <w:p>
      <w:pPr>
        <w:spacing w:line="240" w:lineRule="auto" w:before="10"/>
        <w:rPr>
          <w:rFonts w:ascii="宋体" w:hAnsi="宋体" w:cs="宋体" w:eastAsia="宋体" w:hint="default"/>
          <w:sz w:val="14"/>
          <w:szCs w:val="14"/>
        </w:rPr>
      </w:pPr>
    </w:p>
    <w:p>
      <w:pPr>
        <w:pStyle w:val="BodyText"/>
        <w:spacing w:line="240" w:lineRule="auto" w:before="0"/>
        <w:ind w:left="1557" w:right="1121"/>
        <w:jc w:val="left"/>
      </w:pPr>
      <w:r>
        <w:rPr>
          <w:rFonts w:ascii="宋体" w:hAnsi="宋体" w:cs="宋体" w:eastAsia="宋体" w:hint="default"/>
        </w:rPr>
        <w:t>2</w:t>
      </w:r>
      <w:r>
        <w:rPr/>
        <w:t>）其他长期职工福利净负债或净资产的利息净额。</w:t>
      </w:r>
    </w:p>
    <w:p>
      <w:pPr>
        <w:spacing w:line="240" w:lineRule="auto" w:before="10"/>
        <w:rPr>
          <w:rFonts w:ascii="宋体" w:hAnsi="宋体" w:cs="宋体" w:eastAsia="宋体" w:hint="default"/>
          <w:sz w:val="14"/>
          <w:szCs w:val="14"/>
        </w:rPr>
      </w:pPr>
    </w:p>
    <w:p>
      <w:pPr>
        <w:pStyle w:val="BodyText"/>
        <w:spacing w:line="408" w:lineRule="auto" w:before="0"/>
        <w:ind w:left="1553" w:right="1121" w:firstLine="3"/>
        <w:jc w:val="left"/>
      </w:pPr>
      <w:r>
        <w:rPr>
          <w:rFonts w:ascii="宋体" w:hAnsi="宋体" w:cs="宋体" w:eastAsia="宋体" w:hint="default"/>
        </w:rPr>
        <w:t>3</w:t>
      </w:r>
      <w:r>
        <w:rPr/>
        <w:t>）重新计量其他长期职工福利净负债或净资产所产生的变动。 为简化相关会计处理，上述项目的总净额应计入当期损益或相关资产成本。 </w:t>
      </w:r>
      <w:r>
        <w:rPr>
          <w:spacing w:val="-1"/>
        </w:rPr>
        <w:t>长期残疾福利水平取决于职工提供服务期间长短的，公司在职工提供服务的期间确认应付长期残疾福</w:t>
      </w:r>
    </w:p>
    <w:p>
      <w:pPr>
        <w:pStyle w:val="BodyText"/>
        <w:spacing w:line="408" w:lineRule="auto"/>
        <w:ind w:right="1121"/>
        <w:jc w:val="left"/>
      </w:pPr>
      <w:r>
        <w:rPr>
          <w:spacing w:val="-1"/>
        </w:rPr>
        <w:t>利义务；长期残疾福利与职工提供服务期间长短无关的，公司在导致职工长期残疾的事件发生的当期确认</w:t>
      </w:r>
      <w:r>
        <w:rPr>
          <w:spacing w:val="-80"/>
        </w:rPr>
        <w:t> </w:t>
      </w:r>
      <w:r>
        <w:rPr>
          <w:spacing w:val="-80"/>
        </w:rPr>
      </w:r>
      <w:r>
        <w:rPr/>
        <w:t>应付长期残疾福利义务。</w:t>
      </w:r>
    </w:p>
    <w:p>
      <w:pPr>
        <w:pStyle w:val="Heading4"/>
        <w:spacing w:line="240" w:lineRule="auto" w:before="46"/>
        <w:ind w:left="1133" w:right="1121"/>
        <w:jc w:val="left"/>
        <w:rPr>
          <w:b w:val="0"/>
          <w:bCs w:val="0"/>
        </w:rPr>
      </w:pPr>
      <w:bookmarkStart w:name="25、预计负债" w:id="204"/>
      <w:bookmarkEnd w:id="204"/>
      <w:r>
        <w:rPr>
          <w:b w:val="0"/>
          <w:bCs w:val="0"/>
        </w:rPr>
      </w:r>
      <w:r>
        <w:rPr>
          <w:rFonts w:ascii="宋体" w:hAnsi="宋体" w:cs="宋体" w:eastAsia="宋体" w:hint="default"/>
        </w:rPr>
        <w:t>25</w:t>
      </w:r>
      <w:r>
        <w:rPr/>
        <w:t>、预计负债</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21" w:firstLine="423"/>
        <w:jc w:val="left"/>
      </w:pPr>
      <w:r>
        <w:rPr>
          <w:spacing w:val="-1"/>
        </w:rPr>
        <w:t>对因产品质量保证、亏损合同等形成的现时义务，其履行很可能导致经济利益的流出，在该义务的金</w:t>
      </w:r>
      <w:r>
        <w:rPr/>
        <w:t> 额能够可靠计量时，确认为预计负债。对于未来经营亏损，不确认预计负债。</w:t>
      </w:r>
    </w:p>
    <w:p>
      <w:pPr>
        <w:pStyle w:val="BodyText"/>
        <w:spacing w:line="408" w:lineRule="auto"/>
        <w:ind w:right="1131" w:firstLine="423"/>
        <w:jc w:val="both"/>
      </w:pPr>
      <w:r>
        <w:rPr>
          <w:spacing w:val="-1"/>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408" w:lineRule="auto"/>
        <w:ind w:right="1723" w:firstLine="420"/>
        <w:jc w:val="left"/>
        <w:rPr>
          <w:rFonts w:ascii="宋体" w:hAnsi="宋体" w:cs="宋体" w:eastAsia="宋体" w:hint="default"/>
        </w:rPr>
      </w:pPr>
      <w:r>
        <w:rPr/>
        <w:t>于资产负债表日，对预计负债的账面价值进行复核并作适当调整，以反映当前的最佳估计数。 </w:t>
      </w:r>
      <w:bookmarkStart w:name="26、股份支付" w:id="205"/>
      <w:bookmarkEnd w:id="205"/>
      <w:r>
        <w:rPr/>
      </w:r>
      <w:r>
        <w:rPr>
          <w:rFonts w:ascii="宋体" w:hAnsi="宋体" w:cs="宋体" w:eastAsia="宋体" w:hint="default"/>
          <w:b/>
          <w:bCs/>
        </w:rPr>
        <w:t>26</w:t>
      </w:r>
      <w:r>
        <w:rPr>
          <w:rFonts w:ascii="宋体" w:hAnsi="宋体" w:cs="宋体" w:eastAsia="宋体" w:hint="default"/>
          <w:b/>
          <w:bCs/>
        </w:rPr>
        <w:t>、股份支付</w:t>
      </w:r>
      <w:r>
        <w:rPr>
          <w:rFonts w:ascii="宋体" w:hAnsi="宋体" w:cs="宋体" w:eastAsia="宋体" w:hint="default"/>
        </w:rPr>
      </w:r>
    </w:p>
    <w:p>
      <w:pPr>
        <w:pStyle w:val="BodyText"/>
        <w:spacing w:line="240" w:lineRule="auto"/>
        <w:ind w:right="1121"/>
        <w:jc w:val="left"/>
      </w:pPr>
      <w:r>
        <w:rPr>
          <w:rFonts w:ascii="宋体" w:hAnsi="宋体" w:cs="宋体" w:eastAsia="宋体" w:hint="default"/>
        </w:rPr>
        <w:t>26.1</w:t>
      </w:r>
      <w:r>
        <w:rPr>
          <w:rFonts w:ascii="宋体" w:hAnsi="宋体" w:cs="宋体" w:eastAsia="宋体" w:hint="default"/>
          <w:spacing w:val="-1"/>
        </w:rPr>
        <w:t> </w:t>
      </w:r>
      <w:r>
        <w:rPr/>
        <w:t>股份支付的种类</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933" w:firstLine="420"/>
        <w:jc w:val="left"/>
      </w:pPr>
      <w:r>
        <w:rPr/>
        <w:t>根据结算方式分为以权益结算的涉及职工的股份支付、以现金结算的涉及职工的股份支付。 </w:t>
      </w:r>
      <w:r>
        <w:rPr>
          <w:rFonts w:ascii="宋体" w:hAnsi="宋体" w:cs="宋体" w:eastAsia="宋体" w:hint="default"/>
        </w:rPr>
        <w:t>26.2</w:t>
      </w:r>
      <w:r>
        <w:rPr>
          <w:rFonts w:ascii="宋体" w:hAnsi="宋体" w:cs="宋体" w:eastAsia="宋体" w:hint="default"/>
          <w:spacing w:val="-1"/>
        </w:rPr>
        <w:t> </w:t>
      </w:r>
      <w:r>
        <w:rPr/>
        <w:t>权益工具公允价值的确定方法</w:t>
      </w:r>
    </w:p>
    <w:p>
      <w:pPr>
        <w:pStyle w:val="BodyText"/>
        <w:spacing w:line="408" w:lineRule="auto"/>
        <w:ind w:right="0" w:firstLine="420"/>
        <w:jc w:val="left"/>
      </w:pPr>
      <w:r>
        <w:rPr/>
        <w:t>对于授予的存在活跃市场的期权等权益工具，按照活跃市场中的报价确定其公允价值。对于授予的不 存在活跃市场的期权等权益工具，采用期权定价模型等确定其公允价值，选用的期权定价模型考虑以下因 </w:t>
      </w:r>
      <w:r>
        <w:rPr>
          <w:spacing w:val="-5"/>
        </w:rPr>
        <w:t>素：（</w:t>
      </w:r>
      <w:r>
        <w:rPr>
          <w:rFonts w:ascii="宋体" w:hAnsi="宋体" w:cs="宋体" w:eastAsia="宋体" w:hint="default"/>
          <w:spacing w:val="-5"/>
        </w:rPr>
        <w:t>1</w:t>
      </w:r>
      <w:r>
        <w:rPr>
          <w:spacing w:val="-5"/>
        </w:rPr>
        <w:t>）期权的行权价格；（</w:t>
      </w:r>
      <w:r>
        <w:rPr>
          <w:rFonts w:ascii="宋体" w:hAnsi="宋体" w:cs="宋体" w:eastAsia="宋体" w:hint="default"/>
          <w:spacing w:val="-5"/>
        </w:rPr>
        <w:t>2</w:t>
      </w:r>
      <w:r>
        <w:rPr>
          <w:spacing w:val="-5"/>
        </w:rPr>
        <w:t>）期权的有效期；（</w:t>
      </w:r>
      <w:r>
        <w:rPr>
          <w:rFonts w:ascii="宋体" w:hAnsi="宋体" w:cs="宋体" w:eastAsia="宋体" w:hint="default"/>
          <w:spacing w:val="-5"/>
        </w:rPr>
        <w:t>3</w:t>
      </w:r>
      <w:r>
        <w:rPr>
          <w:spacing w:val="-5"/>
        </w:rPr>
        <w:t>）标的股份的现行价格；（</w:t>
      </w:r>
      <w:r>
        <w:rPr>
          <w:rFonts w:ascii="宋体" w:hAnsi="宋体" w:cs="宋体" w:eastAsia="宋体" w:hint="default"/>
          <w:spacing w:val="-5"/>
        </w:rPr>
        <w:t>4</w:t>
      </w:r>
      <w:r>
        <w:rPr>
          <w:spacing w:val="-5"/>
        </w:rPr>
        <w:t>）股价预计波动率；（</w:t>
      </w:r>
      <w:r>
        <w:rPr>
          <w:rFonts w:ascii="宋体" w:hAnsi="宋体" w:cs="宋体" w:eastAsia="宋体" w:hint="default"/>
          <w:spacing w:val="-5"/>
        </w:rPr>
        <w:t>5</w:t>
      </w:r>
      <w:r>
        <w:rPr>
          <w:spacing w:val="-5"/>
        </w:rPr>
        <w:t>）</w:t>
      </w:r>
      <w:r>
        <w:rPr>
          <w:spacing w:val="-93"/>
        </w:rPr>
        <w:t> </w:t>
      </w:r>
      <w:r>
        <w:rPr/>
        <w:t>股份的预计股利；（</w:t>
      </w:r>
      <w:r>
        <w:rPr>
          <w:rFonts w:ascii="宋体" w:hAnsi="宋体" w:cs="宋体" w:eastAsia="宋体" w:hint="default"/>
        </w:rPr>
        <w:t>6</w:t>
      </w:r>
      <w:r>
        <w:rPr/>
        <w:t>）期权有效期内的无风险利率。</w:t>
      </w:r>
    </w:p>
    <w:p>
      <w:pPr>
        <w:pStyle w:val="BodyText"/>
        <w:spacing w:line="408" w:lineRule="auto"/>
        <w:ind w:right="1130" w:firstLine="420"/>
        <w:jc w:val="both"/>
      </w:pPr>
      <w:r>
        <w:rPr>
          <w:spacing w:val="-1"/>
        </w:rPr>
        <w:t>在确定权益工具授予日的公允价值时，考虑股份支付协议规定的可行权条件中的市场条件和非可行权</w:t>
      </w:r>
      <w:r>
        <w:rPr/>
        <w:t> </w:t>
      </w:r>
      <w:r>
        <w:rPr>
          <w:spacing w:val="-5"/>
        </w:rPr>
        <w:t>条件的影响。股份支付存在非可行权条件的，只要职工或其他方满足了所有可行权条件中的非市场条件（如</w:t>
      </w:r>
      <w:r>
        <w:rPr>
          <w:spacing w:val="-101"/>
        </w:rPr>
        <w:t> </w:t>
      </w:r>
      <w:r>
        <w:rPr>
          <w:spacing w:val="-101"/>
        </w:rPr>
      </w:r>
      <w:r>
        <w:rPr/>
        <w:t>服务期限等），即确认已得到服务相对应的成本费用。</w:t>
      </w:r>
    </w:p>
    <w:p>
      <w:pPr>
        <w:pStyle w:val="BodyText"/>
        <w:spacing w:line="408" w:lineRule="auto"/>
        <w:ind w:left="1554" w:right="1121" w:hanging="420"/>
        <w:jc w:val="left"/>
      </w:pPr>
      <w:r>
        <w:rPr>
          <w:rFonts w:ascii="宋体" w:hAnsi="宋体" w:cs="宋体" w:eastAsia="宋体" w:hint="default"/>
        </w:rPr>
        <w:t>26.3</w:t>
      </w:r>
      <w:r>
        <w:rPr/>
        <w:t>确认可行权权益工具最佳估计的依据 </w:t>
      </w:r>
      <w:r>
        <w:rPr>
          <w:spacing w:val="-1"/>
        </w:rPr>
        <w:t>等待期内每个资产负债表日，根据最新取得的可行权职工人数变动等后续信息作出最佳估计，修正预</w:t>
      </w:r>
    </w:p>
    <w:p>
      <w:pPr>
        <w:pStyle w:val="BodyText"/>
        <w:spacing w:line="408" w:lineRule="auto"/>
        <w:ind w:left="1134" w:right="1722"/>
        <w:jc w:val="left"/>
      </w:pPr>
      <w:r>
        <w:rPr/>
        <w:t>计可行权的权益工具数量。在可行权日，最终预计可行权权益工具的数量与实际可行权数量一致。 </w:t>
      </w:r>
      <w:r>
        <w:rPr>
          <w:rFonts w:ascii="宋体" w:hAnsi="宋体" w:cs="宋体" w:eastAsia="宋体" w:hint="default"/>
        </w:rPr>
        <w:t>26.4</w:t>
      </w:r>
      <w:r>
        <w:rPr>
          <w:rFonts w:ascii="宋体" w:hAnsi="宋体" w:cs="宋体" w:eastAsia="宋体" w:hint="default"/>
          <w:spacing w:val="-1"/>
        </w:rPr>
        <w:t> </w:t>
      </w:r>
      <w:r>
        <w:rPr/>
        <w:t>实施、修改、终止股份支付计划的相关会计处理</w:t>
      </w:r>
    </w:p>
    <w:p>
      <w:pPr>
        <w:pStyle w:val="BodyText"/>
        <w:spacing w:line="408" w:lineRule="auto"/>
        <w:ind w:left="1134" w:right="1131" w:firstLine="420"/>
        <w:jc w:val="both"/>
      </w:pPr>
      <w:r>
        <w:rPr>
          <w:spacing w:val="-1"/>
        </w:rPr>
        <w:t>以权益结算的涉及职工的股份支付，授予后立即可行权的，按照授予日权益工具的公允价值计入成本</w:t>
      </w:r>
      <w:r>
        <w:rPr/>
        <w:t> </w:t>
      </w:r>
      <w:r>
        <w:rPr>
          <w:spacing w:val="-1"/>
        </w:rPr>
        <w:t>费用和资本公积；授予后须完成等待期内的服务或达到规定业绩条件才可行权的，在等待期内的每个资产</w:t>
      </w:r>
      <w:r>
        <w:rPr>
          <w:spacing w:val="-81"/>
        </w:rPr>
        <w:t> </w:t>
      </w:r>
      <w:r>
        <w:rPr>
          <w:spacing w:val="-81"/>
        </w:rPr>
      </w:r>
      <w:r>
        <w:rPr>
          <w:spacing w:val="-1"/>
        </w:rPr>
        <w:t>负债表日，以对可行权权益工具数量的最佳估计为基础，按照权益工具授予日的公允价值，将当期取得的</w:t>
      </w:r>
      <w:r>
        <w:rPr>
          <w:spacing w:val="-83"/>
        </w:rPr>
        <w:t> </w:t>
      </w:r>
      <w:r>
        <w:rPr>
          <w:spacing w:val="-83"/>
        </w:rPr>
      </w:r>
      <w:r>
        <w:rPr>
          <w:spacing w:val="-1"/>
        </w:rPr>
        <w:t>服务计入相关成本或费用和资本公积。在可行权日之后不再对已确认的相关成本或费用和所有者权益总额</w:t>
      </w:r>
      <w:r>
        <w:rPr>
          <w:spacing w:val="-81"/>
        </w:rPr>
        <w:t> </w:t>
      </w:r>
      <w:r>
        <w:rPr>
          <w:spacing w:val="-81"/>
        </w:rPr>
      </w:r>
      <w:r>
        <w:rPr/>
        <w:t>进行调整。</w:t>
      </w:r>
    </w:p>
    <w:p>
      <w:pPr>
        <w:pStyle w:val="BodyText"/>
        <w:spacing w:line="408" w:lineRule="auto"/>
        <w:ind w:left="1134" w:right="1131" w:firstLine="420"/>
        <w:jc w:val="both"/>
      </w:pPr>
      <w:r>
        <w:rPr>
          <w:spacing w:val="-1"/>
        </w:rPr>
        <w:t>以现金结算的涉及职工的股份支付，授予后立即可行权的，按照授予日本公司承担负债的公允价值计</w:t>
      </w:r>
      <w:r>
        <w:rPr/>
        <w:t> </w:t>
      </w:r>
      <w:r>
        <w:rPr>
          <w:spacing w:val="-1"/>
        </w:rPr>
        <w:t>入相关成本或费用和相应负债；授予后须完成等待期内的服务或达到规定业绩条件才可行权的，在等待期</w:t>
      </w:r>
      <w:r>
        <w:rPr>
          <w:spacing w:val="-81"/>
        </w:rPr>
        <w:t> </w:t>
      </w:r>
      <w:r>
        <w:rPr>
          <w:spacing w:val="-81"/>
        </w:rPr>
      </w:r>
      <w:r>
        <w:rPr>
          <w:spacing w:val="-1"/>
        </w:rPr>
        <w:t>内的每个资产负债表日，以对可行权情况的最佳估计为基础，按照本公司承担负债的公允价值金额，将当</w:t>
      </w:r>
      <w:r>
        <w:rPr>
          <w:spacing w:val="-83"/>
        </w:rPr>
        <w:t> </w:t>
      </w:r>
      <w:r>
        <w:rPr>
          <w:spacing w:val="-83"/>
        </w:rPr>
      </w:r>
      <w:r>
        <w:rPr>
          <w:spacing w:val="-1"/>
        </w:rPr>
        <w:t>期取得的服务计入相关成本或费用和相应负债。在相关负债结算前的每个资产负债表日以及结算日，对负</w:t>
      </w:r>
      <w:r>
        <w:rPr>
          <w:spacing w:val="-81"/>
        </w:rPr>
        <w:t> </w:t>
      </w:r>
      <w:r>
        <w:rPr>
          <w:spacing w:val="-81"/>
        </w:rPr>
      </w:r>
      <w:r>
        <w:rPr/>
        <w:t>债的公允价值重新计量，其变动计入当期损益。</w:t>
      </w:r>
    </w:p>
    <w:p>
      <w:pPr>
        <w:pStyle w:val="BodyText"/>
        <w:spacing w:line="408" w:lineRule="auto"/>
        <w:ind w:left="1134" w:right="1121" w:firstLine="420"/>
        <w:jc w:val="left"/>
        <w:rPr>
          <w:rFonts w:ascii="宋体" w:hAnsi="宋体" w:cs="宋体" w:eastAsia="宋体" w:hint="default"/>
        </w:rPr>
      </w:pPr>
      <w:r>
        <w:rPr>
          <w:spacing w:val="-1"/>
        </w:rPr>
        <w:t>若在等待期内取消了授予的权益工具，本公司对取消所授予的权益性工具作为加速行权处理，将剩余</w:t>
      </w:r>
      <w:r>
        <w:rPr/>
        <w:t> </w:t>
      </w:r>
      <w:r>
        <w:rPr>
          <w:spacing w:val="-1"/>
        </w:rPr>
        <w:t>等待期内应确认的金额立即计入当期损益，同时确认资本公积。职工或其他方能够选择满足非可行权条件</w:t>
      </w:r>
      <w:r>
        <w:rPr>
          <w:spacing w:val="-81"/>
        </w:rPr>
        <w:t> </w:t>
      </w:r>
      <w:r>
        <w:rPr>
          <w:spacing w:val="-81"/>
        </w:rPr>
      </w:r>
      <w:r>
        <w:rPr/>
        <w:t>但在等待期内未满足的，本公司将其作为授予权益工具的取消处理。 </w:t>
      </w:r>
      <w:bookmarkStart w:name="27、优先股、永续债等其他金融工具" w:id="206"/>
      <w:bookmarkEnd w:id="206"/>
      <w:r>
        <w:rPr/>
      </w:r>
      <w:r>
        <w:rPr>
          <w:rFonts w:ascii="宋体" w:hAnsi="宋体" w:cs="宋体" w:eastAsia="宋体" w:hint="default"/>
          <w:b/>
          <w:bCs/>
        </w:rPr>
        <w:t>27</w:t>
      </w:r>
      <w:r>
        <w:rPr>
          <w:rFonts w:ascii="宋体" w:hAnsi="宋体" w:cs="宋体" w:eastAsia="宋体" w:hint="default"/>
          <w:b/>
          <w:bCs/>
        </w:rPr>
        <w:t>、优先股、永续债等其他金融工具</w:t>
      </w:r>
      <w:r>
        <w:rPr>
          <w:rFonts w:ascii="宋体" w:hAnsi="宋体" w:cs="宋体" w:eastAsia="宋体" w:hint="default"/>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8、收入" w:id="207"/>
      <w:bookmarkEnd w:id="207"/>
      <w:r>
        <w:rPr>
          <w:rFonts w:ascii="宋体" w:hAnsi="宋体" w:cs="宋体" w:eastAsia="宋体" w:hint="default"/>
          <w:sz w:val="21"/>
          <w:szCs w:val="21"/>
        </w:rPr>
      </w:r>
      <w:r>
        <w:rPr>
          <w:rFonts w:ascii="宋体" w:hAnsi="宋体" w:cs="宋体" w:eastAsia="宋体"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240" w:lineRule="auto"/>
        <w:ind w:left="1134" w:right="1121"/>
        <w:jc w:val="left"/>
      </w:pPr>
      <w:r>
        <w:rPr/>
        <w:t>公司是否需要遵守特殊行业的披露要求</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 是 √ 否</w:t>
      </w:r>
    </w:p>
    <w:p>
      <w:pPr>
        <w:spacing w:line="240" w:lineRule="auto" w:before="10"/>
        <w:rPr>
          <w:rFonts w:ascii="宋体" w:hAnsi="宋体" w:cs="宋体" w:eastAsia="宋体" w:hint="default"/>
          <w:sz w:val="14"/>
          <w:szCs w:val="14"/>
        </w:rPr>
      </w:pPr>
    </w:p>
    <w:p>
      <w:pPr>
        <w:pStyle w:val="BodyText"/>
        <w:spacing w:line="408" w:lineRule="auto" w:before="0"/>
        <w:ind w:right="1132" w:firstLine="480"/>
        <w:jc w:val="both"/>
      </w:pPr>
      <w:r>
        <w:rPr>
          <w:spacing w:val="-2"/>
        </w:rPr>
        <w:t>收入的金额按照本公司在日常经营活动中销售商品和提供劳务时，已收或应收合同或协议价款的公允</w:t>
      </w:r>
      <w:r>
        <w:rPr/>
        <w:t> 价值确定。收入按扣除增值税、商业折扣、销售折让及销售退回的净额列示。</w:t>
      </w:r>
    </w:p>
    <w:p>
      <w:pPr>
        <w:pStyle w:val="BodyText"/>
        <w:spacing w:line="408" w:lineRule="auto"/>
        <w:ind w:right="1132" w:firstLine="480"/>
        <w:jc w:val="both"/>
      </w:pPr>
      <w:r>
        <w:rPr>
          <w:spacing w:val="-2"/>
        </w:rPr>
        <w:t>与交易相关的经济利益能够流入本公司，相关的收入能够可靠计量且满足下列各项经营活动的特定收</w:t>
      </w:r>
      <w:r>
        <w:rPr/>
        <w:t> 入确认标准时，确认相关的收入。</w:t>
      </w:r>
    </w:p>
    <w:p>
      <w:pPr>
        <w:pStyle w:val="BodyText"/>
        <w:spacing w:line="240" w:lineRule="auto"/>
        <w:ind w:right="1121"/>
        <w:jc w:val="left"/>
      </w:pPr>
      <w:r>
        <w:rPr>
          <w:rFonts w:ascii="宋体" w:hAnsi="宋体" w:cs="宋体" w:eastAsia="宋体" w:hint="default"/>
        </w:rPr>
        <w:t>28.1</w:t>
      </w:r>
      <w:r>
        <w:rPr>
          <w:rFonts w:ascii="宋体" w:hAnsi="宋体" w:cs="宋体" w:eastAsia="宋体" w:hint="default"/>
          <w:spacing w:val="-1"/>
        </w:rPr>
        <w:t> </w:t>
      </w:r>
      <w:r>
        <w:rPr/>
        <w:t>商品销售</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spacing w:val="-1"/>
        </w:rPr>
        <w:t>商品销售在商品所有权上的主要风险和报酬已转移给买方，本公司不再对该商品实施继续管理权和实</w:t>
      </w:r>
      <w:r>
        <w:rPr/>
        <w:t> </w:t>
      </w:r>
      <w:r>
        <w:rPr>
          <w:spacing w:val="-1"/>
        </w:rPr>
        <w:t>际控制权，与交易相关的经济利益很可能流入企业，并且与销售该商品相关的收入和成本能够可靠地计量</w:t>
      </w:r>
      <w:r>
        <w:rPr>
          <w:spacing w:val="-81"/>
        </w:rPr>
        <w:t> </w:t>
      </w:r>
      <w:r>
        <w:rPr>
          <w:spacing w:val="-81"/>
        </w:rPr>
      </w:r>
      <w:r>
        <w:rPr>
          <w:spacing w:val="-1"/>
        </w:rPr>
        <w:t>时，确认营业收入的实现。收入的金额按照本公司在日常经营活动中销售商品和提供劳务时，已收或应收</w:t>
      </w:r>
      <w:r>
        <w:rPr>
          <w:spacing w:val="-83"/>
        </w:rPr>
        <w:t> </w:t>
      </w:r>
      <w:r>
        <w:rPr>
          <w:spacing w:val="-83"/>
        </w:rPr>
      </w:r>
      <w:r>
        <w:rPr/>
        <w:t>合同或协议价款的公允价值确定。收入按扣除增值税、商业折扣、销售折让及销售退回的净额列示。</w:t>
      </w:r>
    </w:p>
    <w:p>
      <w:pPr>
        <w:pStyle w:val="BodyText"/>
        <w:spacing w:line="408" w:lineRule="auto"/>
        <w:ind w:right="4033" w:firstLine="420"/>
        <w:jc w:val="left"/>
      </w:pPr>
      <w:r>
        <w:rPr/>
        <w:t>产品销售收入一般在按合同生产、发货，并经客户验收时确认收入。 </w:t>
      </w:r>
      <w:r>
        <w:rPr>
          <w:rFonts w:ascii="宋体" w:hAnsi="宋体" w:cs="宋体" w:eastAsia="宋体" w:hint="default"/>
        </w:rPr>
        <w:t>28.2</w:t>
      </w:r>
      <w:r>
        <w:rPr>
          <w:rFonts w:ascii="宋体" w:hAnsi="宋体" w:cs="宋体" w:eastAsia="宋体" w:hint="default"/>
          <w:spacing w:val="-1"/>
        </w:rPr>
        <w:t> </w:t>
      </w:r>
      <w:r>
        <w:rPr/>
        <w:t>提供劳务</w:t>
      </w:r>
    </w:p>
    <w:p>
      <w:pPr>
        <w:pStyle w:val="BodyText"/>
        <w:spacing w:line="408" w:lineRule="auto"/>
        <w:ind w:right="1130" w:firstLine="420"/>
        <w:jc w:val="both"/>
      </w:pPr>
      <w:r>
        <w:rPr>
          <w:spacing w:val="-1"/>
        </w:rPr>
        <w:t>提供的劳务在同一会计年度开始并完成的，在劳务已经提供，收到价款或取得收取价款的证据时，确</w:t>
      </w:r>
      <w:r>
        <w:rPr/>
        <w:t> </w:t>
      </w:r>
      <w:r>
        <w:rPr>
          <w:spacing w:val="-1"/>
        </w:rPr>
        <w:t>认营业收入的实现；劳务的开始和完成分属不同会计年度的，在劳务合同的总收入、劳务的完成程度能够</w:t>
      </w:r>
      <w:r>
        <w:rPr>
          <w:spacing w:val="-83"/>
        </w:rPr>
        <w:t> </w:t>
      </w:r>
      <w:r>
        <w:rPr>
          <w:spacing w:val="-83"/>
        </w:rPr>
      </w:r>
      <w:r>
        <w:rPr>
          <w:spacing w:val="-1"/>
        </w:rPr>
        <w:t>可靠地确定，与交易相关的价款能够流入，已经发生的成本和为完成劳务将要发生的成本能够可靠地计量</w:t>
      </w:r>
      <w:r>
        <w:rPr>
          <w:spacing w:val="-81"/>
        </w:rPr>
        <w:t> </w:t>
      </w:r>
      <w:r>
        <w:rPr>
          <w:spacing w:val="-81"/>
        </w:rPr>
      </w:r>
      <w:r>
        <w:rPr>
          <w:spacing w:val="-1"/>
        </w:rPr>
        <w:t>时，按完工百分比法确认营业收入的实现；长期合同工程在合同结果已经能够合理地预见时，按结账时已</w:t>
      </w:r>
      <w:r>
        <w:rPr>
          <w:spacing w:val="-83"/>
        </w:rPr>
        <w:t> </w:t>
      </w:r>
      <w:r>
        <w:rPr>
          <w:spacing w:val="-83"/>
        </w:rPr>
      </w:r>
      <w:r>
        <w:rPr/>
        <w:t>完成工程进度的百分比法确认营业收入的实现。</w:t>
      </w:r>
    </w:p>
    <w:p>
      <w:pPr>
        <w:pStyle w:val="BodyText"/>
        <w:spacing w:line="408" w:lineRule="auto"/>
        <w:ind w:left="1134" w:right="1141" w:firstLine="420"/>
        <w:jc w:val="both"/>
      </w:pPr>
      <w:r>
        <w:rPr/>
        <w:t>（</w:t>
      </w:r>
      <w:r>
        <w:rPr>
          <w:rFonts w:ascii="宋体" w:hAnsi="宋体" w:cs="宋体" w:eastAsia="宋体" w:hint="default"/>
        </w:rPr>
        <w:t>1</w:t>
      </w:r>
      <w:r>
        <w:rPr/>
        <w:t>）软件开发等技术服务收入确认的方法：公司为客户提供的软件开发等技术服务收入通常在开发 完成，客户验收后确认收入。</w:t>
      </w:r>
    </w:p>
    <w:p>
      <w:pPr>
        <w:pStyle w:val="BodyText"/>
        <w:spacing w:line="408" w:lineRule="auto"/>
        <w:ind w:left="1134" w:right="0" w:firstLine="420"/>
        <w:jc w:val="left"/>
      </w:pPr>
      <w:r>
        <w:rPr>
          <w:spacing w:val="-1"/>
        </w:rPr>
        <w:t>（</w:t>
      </w:r>
      <w:r>
        <w:rPr>
          <w:rFonts w:ascii="宋体" w:hAnsi="宋体" w:cs="宋体" w:eastAsia="宋体" w:hint="default"/>
          <w:spacing w:val="-1"/>
        </w:rPr>
        <w:t>2</w:t>
      </w:r>
      <w:r>
        <w:rPr>
          <w:spacing w:val="-1"/>
        </w:rPr>
        <w:t>）电力工程施工收入确认的方法：对于电力工程施工收入合同，公司按照完工百分比法确认收入。</w:t>
      </w:r>
      <w:r>
        <w:rPr/>
        <w:t> 完工百分比由施工验收签单所确定的工程量占合同要求及安装设备总量的比例来确定。</w:t>
      </w:r>
    </w:p>
    <w:p>
      <w:pPr>
        <w:pStyle w:val="BodyText"/>
        <w:spacing w:line="408" w:lineRule="auto"/>
        <w:ind w:left="1554" w:right="1121"/>
        <w:jc w:val="left"/>
      </w:pPr>
      <w:r>
        <w:rPr/>
        <w:t>（</w:t>
      </w:r>
      <w:r>
        <w:rPr>
          <w:rFonts w:ascii="宋体" w:hAnsi="宋体" w:cs="宋体" w:eastAsia="宋体" w:hint="default"/>
        </w:rPr>
        <w:t>3</w:t>
      </w:r>
      <w:r>
        <w:rPr/>
        <w:t>）电力设计收入确认的方法 </w:t>
      </w:r>
      <w:r>
        <w:rPr>
          <w:spacing w:val="-1"/>
        </w:rPr>
        <w:t>公司为客户提供的电力设计服务收入通常在按合同约定设计完成交付图纸，客户完成设计成果验收后</w:t>
      </w:r>
    </w:p>
    <w:p>
      <w:pPr>
        <w:pStyle w:val="BodyText"/>
        <w:spacing w:line="240" w:lineRule="auto"/>
        <w:ind w:left="1134" w:right="1121"/>
        <w:jc w:val="left"/>
      </w:pPr>
      <w:r>
        <w:rPr/>
        <w:t>确认收入。</w:t>
      </w:r>
    </w:p>
    <w:p>
      <w:pPr>
        <w:spacing w:line="240" w:lineRule="auto" w:before="10"/>
        <w:rPr>
          <w:rFonts w:ascii="宋体" w:hAnsi="宋体" w:cs="宋体" w:eastAsia="宋体" w:hint="default"/>
          <w:sz w:val="14"/>
          <w:szCs w:val="14"/>
        </w:rPr>
      </w:pPr>
    </w:p>
    <w:p>
      <w:pPr>
        <w:pStyle w:val="BodyText"/>
        <w:spacing w:line="408" w:lineRule="auto" w:before="0"/>
        <w:ind w:left="1554" w:right="1121" w:hanging="420"/>
        <w:jc w:val="left"/>
      </w:pPr>
      <w:r>
        <w:rPr>
          <w:rFonts w:ascii="宋体" w:hAnsi="宋体" w:cs="宋体" w:eastAsia="宋体" w:hint="default"/>
        </w:rPr>
        <w:t>28.3</w:t>
      </w:r>
      <w:r>
        <w:rPr/>
        <w:t>让渡资产使用权 </w:t>
      </w:r>
      <w:r>
        <w:rPr>
          <w:spacing w:val="-1"/>
        </w:rPr>
        <w:t>让渡资产使用权取得的利息收入和使用费收入，在与交易相关的经济利益能够流入企业，且收入的金</w:t>
      </w:r>
    </w:p>
    <w:p>
      <w:pPr>
        <w:pStyle w:val="BodyText"/>
        <w:spacing w:line="408" w:lineRule="auto"/>
        <w:ind w:left="1134" w:right="6972"/>
        <w:jc w:val="left"/>
      </w:pPr>
      <w:r>
        <w:rPr/>
        <w:t>额能够可靠地计量时，确认收入的实现。 </w:t>
      </w:r>
      <w:r>
        <w:rPr>
          <w:rFonts w:ascii="宋体" w:hAnsi="宋体" w:cs="宋体" w:eastAsia="宋体" w:hint="default"/>
        </w:rPr>
        <w:t>28.4</w:t>
      </w:r>
      <w:r>
        <w:rPr/>
        <w:t>建造合同收入</w:t>
      </w:r>
    </w:p>
    <w:p>
      <w:pPr>
        <w:pStyle w:val="BodyText"/>
        <w:spacing w:line="408" w:lineRule="auto"/>
        <w:ind w:left="1553" w:right="1303"/>
        <w:jc w:val="left"/>
      </w:pPr>
      <w:r>
        <w:rPr/>
        <w:t>在资产负债表日，建造合同的结果能够可靠估计的，根据完工百分比法确认合同收入和合同费用。 固定造价合同的结果能够可靠估计，是指同时满足下列条件：</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1</w:t>
      </w:r>
      <w:r>
        <w:rPr/>
        <w:t>）合同总收入能够可靠地计量；</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2</w:t>
      </w:r>
      <w:r>
        <w:rPr/>
        <w:t>）与合同相关的经济利益很可能流入企业；</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3</w:t>
      </w:r>
      <w:r>
        <w:rPr/>
        <w:t>）实际发生的合同成本能够清楚地区分和可靠地计量；</w:t>
      </w:r>
    </w:p>
    <w:p>
      <w:pPr>
        <w:spacing w:line="240" w:lineRule="auto" w:before="10"/>
        <w:rPr>
          <w:rFonts w:ascii="宋体" w:hAnsi="宋体" w:cs="宋体" w:eastAsia="宋体" w:hint="default"/>
          <w:sz w:val="14"/>
          <w:szCs w:val="14"/>
        </w:rPr>
      </w:pPr>
    </w:p>
    <w:p>
      <w:pPr>
        <w:pStyle w:val="BodyText"/>
        <w:spacing w:line="408" w:lineRule="auto" w:before="0"/>
        <w:ind w:left="1553" w:right="4348"/>
        <w:jc w:val="left"/>
      </w:pPr>
      <w:r>
        <w:rPr>
          <w:rFonts w:ascii="宋体" w:hAnsi="宋体" w:cs="宋体" w:eastAsia="宋体" w:hint="default"/>
        </w:rPr>
        <w:t>4</w:t>
      </w:r>
      <w:r>
        <w:rPr/>
        <w:t>）合同完工进度和为完成合同尚需发生的成本能够可靠地确定。 成本加成合同的结果能够可靠估计，是指同时满足下列条件： </w:t>
      </w:r>
      <w:r>
        <w:rPr>
          <w:rFonts w:ascii="宋体" w:hAnsi="宋体" w:cs="宋体" w:eastAsia="宋体" w:hint="default"/>
        </w:rPr>
        <w:t>1</w:t>
      </w:r>
      <w:r>
        <w:rPr/>
        <w:t>）与合同相关的经济利益很可能流入企业；</w:t>
      </w:r>
    </w:p>
    <w:p>
      <w:pPr>
        <w:pStyle w:val="BodyText"/>
        <w:spacing w:line="408" w:lineRule="auto"/>
        <w:ind w:left="1553" w:right="1121"/>
        <w:jc w:val="left"/>
      </w:pPr>
      <w:r>
        <w:rPr>
          <w:rFonts w:ascii="宋体" w:hAnsi="宋体" w:cs="宋体" w:eastAsia="宋体" w:hint="default"/>
        </w:rPr>
        <w:t>2</w:t>
      </w:r>
      <w:r>
        <w:rPr/>
        <w:t>）实际发生的合同成本能够清楚地区分和可靠地计量。 </w:t>
      </w:r>
      <w:r>
        <w:rPr>
          <w:spacing w:val="-1"/>
        </w:rPr>
        <w:t>公司采用累计实际发生的合同成本占合同预计总成本的比例（已经完成的合同工作量占合同预计总工</w:t>
      </w:r>
    </w:p>
    <w:p>
      <w:pPr>
        <w:pStyle w:val="BodyText"/>
        <w:spacing w:line="408" w:lineRule="auto"/>
        <w:ind w:left="1554" w:right="1121" w:hanging="420"/>
        <w:jc w:val="left"/>
      </w:pPr>
      <w:r>
        <w:rPr/>
        <w:t>作量的比例或实际测定的完工进度）确定合同完工进度。 </w:t>
      </w:r>
      <w:r>
        <w:rPr>
          <w:spacing w:val="-1"/>
        </w:rPr>
        <w:t>建造合同的结果不能可靠估计的，合同成本能够收回的，合同收入根据能够收回的实际合同成本予以</w:t>
      </w:r>
    </w:p>
    <w:p>
      <w:pPr>
        <w:pStyle w:val="BodyText"/>
        <w:spacing w:line="408" w:lineRule="auto"/>
        <w:ind w:left="1134" w:right="1023"/>
        <w:jc w:val="left"/>
      </w:pPr>
      <w:r>
        <w:rPr>
          <w:spacing w:val="-3"/>
        </w:rPr>
        <w:t>确认，合同成本在其发生的当期确认为合同费用；合同成本不可能收回的，在发生时立即确认为合同费用，</w:t>
      </w:r>
      <w:r>
        <w:rPr>
          <w:spacing w:val="-90"/>
        </w:rPr>
        <w:t> </w:t>
      </w:r>
      <w:r>
        <w:rPr>
          <w:spacing w:val="-90"/>
        </w:rPr>
      </w:r>
      <w:r>
        <w:rPr/>
        <w:t>不确认合同收入。</w:t>
      </w:r>
    </w:p>
    <w:p>
      <w:pPr>
        <w:pStyle w:val="Heading4"/>
        <w:spacing w:line="240" w:lineRule="auto" w:before="46"/>
        <w:ind w:right="1121"/>
        <w:jc w:val="left"/>
        <w:rPr>
          <w:b w:val="0"/>
          <w:bCs w:val="0"/>
        </w:rPr>
      </w:pPr>
      <w:bookmarkStart w:name="29、政府补助" w:id="208"/>
      <w:bookmarkEnd w:id="208"/>
      <w:r>
        <w:rPr>
          <w:b w:val="0"/>
          <w:bCs w:val="0"/>
        </w:rPr>
      </w:r>
      <w:r>
        <w:rPr>
          <w:rFonts w:ascii="宋体" w:hAnsi="宋体" w:cs="宋体" w:eastAsia="宋体" w:hint="default"/>
        </w:rPr>
        <w:t>29</w:t>
      </w:r>
      <w:r>
        <w:rPr/>
        <w:t>、政府补助</w:t>
      </w:r>
      <w:r>
        <w:rPr>
          <w:b w:val="0"/>
          <w:bCs w:val="0"/>
        </w:rPr>
      </w:r>
    </w:p>
    <w:p>
      <w:pPr>
        <w:spacing w:line="240" w:lineRule="auto" w:before="10"/>
        <w:rPr>
          <w:rFonts w:ascii="宋体" w:hAnsi="宋体" w:cs="宋体" w:eastAsia="宋体" w:hint="default"/>
          <w:b/>
          <w:bCs/>
          <w:sz w:val="14"/>
          <w:szCs w:val="14"/>
        </w:rPr>
      </w:pPr>
    </w:p>
    <w:p>
      <w:pPr>
        <w:spacing w:line="408" w:lineRule="auto" w:before="0"/>
        <w:ind w:left="1442" w:right="1121" w:hanging="309"/>
        <w:jc w:val="left"/>
        <w:rPr>
          <w:rFonts w:ascii="宋体" w:hAnsi="宋体" w:cs="宋体" w:eastAsia="宋体" w:hint="default"/>
          <w:sz w:val="21"/>
          <w:szCs w:val="21"/>
        </w:rPr>
      </w:pPr>
      <w:bookmarkStart w:name="（1）与资产相关的政府补助判断依据及会计处理方法" w:id="209"/>
      <w:bookmarkEnd w:id="20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与资产相关的政府补助，是指公司取得的、用于购建或以其他方式形成长期资产的政府补助。与资产</w:t>
      </w:r>
    </w:p>
    <w:p>
      <w:pPr>
        <w:pStyle w:val="BodyText"/>
        <w:spacing w:line="408" w:lineRule="auto"/>
        <w:ind w:left="1134" w:right="1133"/>
        <w:jc w:val="both"/>
      </w:pPr>
      <w:r>
        <w:rPr>
          <w:spacing w:val="-1"/>
        </w:rPr>
        <w:t>相关的政府补助，确认为递延收益，并在相关资产使用寿命内平均分配，计入当期损益。但是，按照名义</w:t>
      </w:r>
      <w:r>
        <w:rPr>
          <w:spacing w:val="-83"/>
        </w:rPr>
        <w:t> </w:t>
      </w:r>
      <w:r>
        <w:rPr>
          <w:spacing w:val="-83"/>
        </w:rPr>
      </w:r>
      <w:r>
        <w:rPr>
          <w:spacing w:val="-1"/>
        </w:rPr>
        <w:t>金额计量的政府补助，直接计入当期损益。（与本公司日常活动相关的，计入其他收益；与本公司日常活</w:t>
      </w:r>
      <w:r>
        <w:rPr>
          <w:spacing w:val="-83"/>
        </w:rPr>
        <w:t> </w:t>
      </w:r>
      <w:r>
        <w:rPr>
          <w:spacing w:val="-83"/>
        </w:rPr>
      </w:r>
      <w:r>
        <w:rPr/>
        <w:t>动无关的，计入营业外收入）</w:t>
      </w:r>
    </w:p>
    <w:p>
      <w:pPr>
        <w:pStyle w:val="BodyText"/>
        <w:spacing w:line="408" w:lineRule="auto"/>
        <w:ind w:right="1093"/>
        <w:jc w:val="left"/>
      </w:pPr>
      <w:bookmarkStart w:name="（2）与收益相关的政府补助判断依据及会计处理方法" w:id="210"/>
      <w:bookmarkEnd w:id="210"/>
      <w:r>
        <w:rPr/>
      </w: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）与收益相关的政府补助判断依据及会计处理方法</w:t>
      </w:r>
      <w:r>
        <w:rPr>
          <w:rFonts w:ascii="宋体" w:hAnsi="宋体" w:cs="宋体" w:eastAsia="宋体" w:hint="default"/>
          <w:b/>
          <w:bCs/>
          <w:w w:val="99"/>
        </w:rPr>
        <w:t> </w:t>
      </w:r>
      <w:r>
        <w:rPr>
          <w:spacing w:val="-1"/>
        </w:rPr>
        <w:t>与收益相关的政府补助，是指除与资产相关的政府补助之外的政府补助。与收益相关的政府补助，用于补</w:t>
      </w:r>
      <w:r>
        <w:rPr>
          <w:spacing w:val="-83"/>
        </w:rPr>
        <w:t> </w:t>
      </w:r>
      <w:r>
        <w:rPr>
          <w:spacing w:val="-83"/>
        </w:rPr>
      </w:r>
      <w:r>
        <w:rPr>
          <w:spacing w:val="-1"/>
        </w:rPr>
        <w:t>偿公司以后期间的相关费用或损失的，确认为递延收益，并在确认相关费用的期间，计入当期损益；用于</w:t>
      </w:r>
      <w:r>
        <w:rPr>
          <w:spacing w:val="-86"/>
        </w:rPr>
        <w:t> </w:t>
      </w:r>
      <w:r>
        <w:rPr>
          <w:spacing w:val="-86"/>
        </w:rPr>
      </w:r>
      <w:r>
        <w:rPr/>
        <w:t>补偿公司已发生的相关费用或损失的，直接计入当期损益。（与本公司日常活动相关的，计入其他收益； 与本公司日常活动无关的，计入营业外收入）</w:t>
      </w:r>
    </w:p>
    <w:p>
      <w:pPr>
        <w:spacing w:line="408" w:lineRule="auto" w:before="46"/>
        <w:ind w:left="1557" w:right="1121" w:hanging="424"/>
        <w:jc w:val="left"/>
        <w:rPr>
          <w:rFonts w:ascii="宋体" w:hAnsi="宋体" w:cs="宋体" w:eastAsia="宋体" w:hint="default"/>
          <w:sz w:val="21"/>
          <w:szCs w:val="21"/>
        </w:rPr>
      </w:pPr>
      <w:bookmarkStart w:name="30、递延所得税资产/递延所得税负债" w:id="211"/>
      <w:bookmarkEnd w:id="211"/>
      <w:r>
        <w:rPr/>
      </w:r>
      <w:r>
        <w:rPr>
          <w:rFonts w:ascii="宋体" w:hAnsi="宋体" w:cs="宋体" w:eastAsia="宋体" w:hint="default"/>
          <w:b/>
          <w:bCs/>
          <w:sz w:val="21"/>
          <w:szCs w:val="21"/>
        </w:rPr>
        <w:t>30</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宋体" w:hAnsi="宋体" w:cs="宋体" w:eastAsia="宋体" w:hint="default"/>
          <w:sz w:val="21"/>
          <w:szCs w:val="21"/>
        </w:rPr>
        <w:t>(</w:t>
      </w:r>
      <w:r>
        <w:rPr>
          <w:rFonts w:ascii="宋体" w:hAnsi="宋体" w:cs="宋体" w:eastAsia="宋体" w:hint="default"/>
          <w:sz w:val="21"/>
          <w:szCs w:val="21"/>
        </w:rPr>
        <w:t>包括应纳税暂时</w:t>
      </w:r>
    </w:p>
    <w:p>
      <w:pPr>
        <w:pStyle w:val="BodyText"/>
        <w:spacing w:line="408" w:lineRule="auto"/>
        <w:ind w:right="1131"/>
        <w:jc w:val="both"/>
      </w:pPr>
      <w:r>
        <w:rPr/>
        <w:t>性差异和可抵扣暂时性差异</w:t>
      </w:r>
      <w:r>
        <w:rPr>
          <w:rFonts w:ascii="宋体" w:hAnsi="宋体" w:cs="宋体" w:eastAsia="宋体" w:hint="default"/>
        </w:rPr>
        <w:t>)</w:t>
      </w:r>
      <w:r>
        <w:rPr/>
        <w:t>计算确认。对于按照税法规定能够于以后年度抵减应纳税所得额的可抵扣亏</w:t>
      </w:r>
      <w:r>
        <w:rPr>
          <w:spacing w:val="-31"/>
        </w:rPr>
        <w:t> </w:t>
      </w:r>
      <w:r>
        <w:rPr>
          <w:spacing w:val="-31"/>
        </w:rPr>
      </w:r>
      <w:r>
        <w:rPr>
          <w:spacing w:val="-1"/>
        </w:rPr>
        <w:t>损，视同可抵扣暂时性差异。对于商誉的初始确认产生的暂时性差异，不确认相应的递延所得税负债。对</w:t>
      </w:r>
      <w:r>
        <w:rPr>
          <w:spacing w:val="-85"/>
        </w:rPr>
        <w:t> </w:t>
      </w:r>
      <w:r>
        <w:rPr>
          <w:spacing w:val="-85"/>
        </w:rPr>
      </w:r>
      <w:r>
        <w:rPr>
          <w:spacing w:val="3"/>
        </w:rPr>
        <w:t>于既不影响会计利润也不影响应纳税所得额</w:t>
      </w:r>
      <w:r>
        <w:rPr>
          <w:rFonts w:ascii="宋体" w:hAnsi="宋体" w:cs="宋体" w:eastAsia="宋体" w:hint="default"/>
          <w:spacing w:val="3"/>
        </w:rPr>
        <w:t>(</w:t>
      </w:r>
      <w:r>
        <w:rPr>
          <w:spacing w:val="3"/>
        </w:rPr>
        <w:t>或可抵扣亏损</w:t>
      </w:r>
      <w:r>
        <w:rPr>
          <w:rFonts w:ascii="宋体" w:hAnsi="宋体" w:cs="宋体" w:eastAsia="宋体" w:hint="default"/>
          <w:spacing w:val="3"/>
        </w:rPr>
        <w:t>)</w:t>
      </w:r>
      <w:r>
        <w:rPr>
          <w:spacing w:val="3"/>
        </w:rPr>
        <w:t>的非企业合并的交易中产生的资产或负债的</w:t>
      </w:r>
      <w:r>
        <w:rPr>
          <w:spacing w:val="-82"/>
        </w:rPr>
        <w:t> </w:t>
      </w:r>
      <w:r>
        <w:rPr>
          <w:spacing w:val="-82"/>
        </w:rPr>
      </w:r>
      <w:r>
        <w:rPr>
          <w:spacing w:val="-1"/>
        </w:rPr>
        <w:t>初始确认形成的暂时性差异，不确认相应的递延所得税资产和递延所得税负债。于资产负债表日，递延所</w:t>
      </w:r>
      <w:r>
        <w:rPr>
          <w:spacing w:val="-83"/>
        </w:rPr>
        <w:t> </w:t>
      </w:r>
      <w:r>
        <w:rPr>
          <w:spacing w:val="-83"/>
        </w:rPr>
      </w:r>
      <w:r>
        <w:rPr/>
        <w:t>得税资产和递延所得税负债，按照预期收回该资产或清偿该负债期间的适用税率计量。</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21" w:firstLine="420"/>
        <w:jc w:val="left"/>
      </w:pPr>
      <w:r>
        <w:rPr>
          <w:spacing w:val="-1"/>
        </w:rPr>
        <w:t>递延所得税资产的确认以本公司很可能取得用来抵扣可抵扣暂时性差异、可抵扣亏损和税款抵减的应</w:t>
      </w:r>
      <w:r>
        <w:rPr/>
        <w:t> 纳税所得额为限。</w:t>
      </w:r>
    </w:p>
    <w:p>
      <w:pPr>
        <w:pStyle w:val="BodyText"/>
        <w:spacing w:line="408" w:lineRule="auto"/>
        <w:ind w:right="1131" w:firstLine="420"/>
        <w:jc w:val="both"/>
      </w:pPr>
      <w:r>
        <w:rPr>
          <w:spacing w:val="-1"/>
        </w:rPr>
        <w:t>对子公司、联营企业及合营企业投资相关的暂时性差异产生的递延所得税资产和递延所得税负债，予</w:t>
      </w:r>
      <w:r>
        <w:rPr/>
        <w:t> </w:t>
      </w:r>
      <w:r>
        <w:rPr>
          <w:spacing w:val="-1"/>
        </w:rPr>
        <w:t>以确认。但本公司能够控制暂时性差异转回的时间且该暂时性差异在可预见的未来很可能不会转回的，不</w:t>
      </w:r>
      <w:r>
        <w:rPr>
          <w:spacing w:val="-81"/>
        </w:rPr>
        <w:t> </w:t>
      </w:r>
      <w:r>
        <w:rPr>
          <w:spacing w:val="-81"/>
        </w:rPr>
      </w:r>
      <w:r>
        <w:rPr/>
        <w:t>予确认。</w:t>
      </w:r>
    </w:p>
    <w:p>
      <w:pPr>
        <w:pStyle w:val="Heading4"/>
        <w:spacing w:line="240" w:lineRule="auto" w:before="46"/>
        <w:ind w:left="1133" w:right="1121"/>
        <w:jc w:val="left"/>
        <w:rPr>
          <w:b w:val="0"/>
          <w:bCs w:val="0"/>
        </w:rPr>
      </w:pPr>
      <w:bookmarkStart w:name="31、租赁" w:id="212"/>
      <w:bookmarkEnd w:id="212"/>
      <w:r>
        <w:rPr>
          <w:b w:val="0"/>
          <w:bCs w:val="0"/>
        </w:rPr>
      </w:r>
      <w:r>
        <w:rPr>
          <w:rFonts w:ascii="宋体" w:hAnsi="宋体" w:cs="宋体" w:eastAsia="宋体" w:hint="default"/>
        </w:rPr>
        <w:t>31</w:t>
      </w:r>
      <w:r>
        <w:rPr/>
        <w:t>、租赁</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3" w:right="3823" w:firstLine="0"/>
        <w:jc w:val="left"/>
        <w:rPr>
          <w:rFonts w:ascii="宋体" w:hAnsi="宋体" w:cs="宋体" w:eastAsia="宋体" w:hint="default"/>
          <w:sz w:val="21"/>
          <w:szCs w:val="21"/>
        </w:rPr>
      </w:pPr>
      <w:bookmarkStart w:name="（1）经营租赁的会计处理方法" w:id="213"/>
      <w:bookmarkEnd w:id="213"/>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pStyle w:val="BodyText"/>
        <w:spacing w:line="408" w:lineRule="auto"/>
        <w:ind w:right="1121"/>
        <w:jc w:val="left"/>
      </w:pPr>
      <w:bookmarkStart w:name="（2）融资租赁的会计处理方法" w:id="214"/>
      <w:bookmarkEnd w:id="214"/>
      <w:r>
        <w:rPr/>
      </w: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）融资租赁的会计处理方法</w:t>
      </w:r>
      <w:r>
        <w:rPr>
          <w:rFonts w:ascii="宋体" w:hAnsi="宋体" w:cs="宋体" w:eastAsia="宋体" w:hint="default"/>
          <w:b/>
          <w:bCs/>
          <w:w w:val="99"/>
        </w:rPr>
        <w:t> </w:t>
      </w:r>
      <w:r>
        <w:rPr>
          <w:spacing w:val="-1"/>
        </w:rPr>
        <w:t>按租赁资产的公允价值与最低租赁付款额的现值两者中较低者作为租入资产的入账价值，租入资产的入账</w:t>
      </w:r>
      <w:r>
        <w:rPr>
          <w:spacing w:val="-81"/>
        </w:rPr>
        <w:t> </w:t>
      </w:r>
      <w:r>
        <w:rPr>
          <w:spacing w:val="-81"/>
        </w:rPr>
      </w:r>
      <w:r>
        <w:rPr>
          <w:spacing w:val="-1"/>
        </w:rPr>
        <w:t>价值与最低租赁付款额之间的差额为未确认融资费用，在租赁期内按实际利率法摊销。最低租赁付款额扣</w:t>
      </w:r>
      <w:r>
        <w:rPr>
          <w:spacing w:val="-81"/>
        </w:rPr>
        <w:t> </w:t>
      </w:r>
      <w:r>
        <w:rPr>
          <w:spacing w:val="-81"/>
        </w:rPr>
      </w:r>
      <w:r>
        <w:rPr/>
        <w:t>除未确认融资费用后的余额以长期应付款列示。</w:t>
      </w:r>
    </w:p>
    <w:p>
      <w:pPr>
        <w:pStyle w:val="Heading4"/>
        <w:spacing w:line="408" w:lineRule="auto" w:before="46"/>
        <w:ind w:left="1505" w:right="7379" w:hanging="372"/>
        <w:jc w:val="left"/>
        <w:rPr>
          <w:rFonts w:ascii="宋体" w:hAnsi="宋体" w:cs="宋体" w:eastAsia="宋体" w:hint="default"/>
          <w:b w:val="0"/>
          <w:bCs w:val="0"/>
        </w:rPr>
      </w:pPr>
      <w:bookmarkStart w:name="32、其他重要的会计政策和会计估计" w:id="215"/>
      <w:bookmarkEnd w:id="215"/>
      <w:r>
        <w:rPr>
          <w:b w:val="0"/>
          <w:bCs w:val="0"/>
        </w:rPr>
      </w:r>
      <w:r>
        <w:rPr>
          <w:rFonts w:ascii="宋体" w:hAnsi="宋体" w:cs="宋体" w:eastAsia="宋体" w:hint="default"/>
        </w:rPr>
        <w:t>32</w:t>
      </w:r>
      <w:r>
        <w:rPr/>
        <w:t>、其他重要的会计政策和会计估计</w:t>
      </w:r>
      <w:r>
        <w:rPr>
          <w:w w:val="99"/>
        </w:rPr>
        <w:t> </w:t>
      </w:r>
      <w:r>
        <w:rPr>
          <w:rFonts w:ascii="宋体" w:hAnsi="宋体" w:cs="宋体" w:eastAsia="宋体" w:hint="default"/>
          <w:b w:val="0"/>
          <w:bCs w:val="0"/>
        </w:rPr>
        <w:t>商誉：</w:t>
      </w:r>
    </w:p>
    <w:p>
      <w:pPr>
        <w:pStyle w:val="BodyText"/>
        <w:spacing w:line="408" w:lineRule="auto"/>
        <w:ind w:right="1121" w:firstLine="372"/>
        <w:jc w:val="left"/>
      </w:pPr>
      <w:r>
        <w:rPr/>
        <w:t>商誉为股权投资成本超过应享有的被投资单位于投资取得日的公允价值份额的差额，或者为非同一控 制下企业合并成本超过企业合并中取得的被购买方可辨认净资产于购买日的公允价值份额的差额。</w:t>
      </w:r>
    </w:p>
    <w:p>
      <w:pPr>
        <w:pStyle w:val="BodyText"/>
        <w:spacing w:line="408" w:lineRule="auto"/>
        <w:ind w:right="1121" w:firstLine="372"/>
        <w:jc w:val="left"/>
      </w:pPr>
      <w:r>
        <w:rPr/>
        <w:t>企业合并形成的商誉在合并财务报表上单独列示。购买联营企业和合营企业股权投资成本超过投资时 应享有被投资单位的公允价值份额的差额，包含于长期股权投资。</w:t>
      </w:r>
    </w:p>
    <w:p>
      <w:pPr>
        <w:pStyle w:val="BodyText"/>
        <w:spacing w:line="408" w:lineRule="auto"/>
        <w:ind w:right="1121" w:firstLine="420"/>
        <w:jc w:val="left"/>
        <w:rPr>
          <w:rFonts w:ascii="宋体" w:hAnsi="宋体" w:cs="宋体" w:eastAsia="宋体" w:hint="default"/>
        </w:rPr>
      </w:pPr>
      <w:r>
        <w:rPr>
          <w:spacing w:val="-1"/>
        </w:rPr>
        <w:t>企业合并形成的商誉每年进行减值测试。减值测试时，商誉的账面价值根据企业合并的协同效应分摊</w:t>
      </w:r>
      <w:r>
        <w:rPr/>
        <w:t> 至受益的资产组或资产组组合。期末商誉按成本减去累计减值损失后的净额列示。 </w:t>
      </w:r>
      <w:bookmarkStart w:name="33、重要会计政策和会计估计变更" w:id="216"/>
      <w:bookmarkEnd w:id="216"/>
      <w:r>
        <w:rPr/>
      </w:r>
      <w:r>
        <w:rPr>
          <w:rFonts w:ascii="宋体" w:hAnsi="宋体" w:cs="宋体" w:eastAsia="宋体" w:hint="default"/>
          <w:b/>
          <w:bCs/>
        </w:rPr>
        <w:t>33</w:t>
      </w:r>
      <w:r>
        <w:rPr>
          <w:rFonts w:ascii="宋体" w:hAnsi="宋体" w:cs="宋体" w:eastAsia="宋体" w:hint="default"/>
          <w:b/>
          <w:bCs/>
        </w:rPr>
        <w:t>、重要会计政策和会计估计变更</w:t>
      </w:r>
      <w:r>
        <w:rPr>
          <w:rFonts w:ascii="宋体" w:hAnsi="宋体" w:cs="宋体" w:eastAsia="宋体" w:hint="default"/>
        </w:rPr>
      </w:r>
    </w:p>
    <w:p>
      <w:pPr>
        <w:pStyle w:val="Heading4"/>
        <w:spacing w:line="240" w:lineRule="auto" w:before="46"/>
        <w:ind w:left="1133" w:right="1121"/>
        <w:jc w:val="left"/>
        <w:rPr>
          <w:b w:val="0"/>
          <w:bCs w:val="0"/>
        </w:rPr>
      </w:pPr>
      <w:bookmarkStart w:name="（1）重要会计政策变更" w:id="217"/>
      <w:bookmarkEnd w:id="217"/>
      <w:r>
        <w:rPr>
          <w:b w:val="0"/>
          <w:bCs w:val="0"/>
        </w:rPr>
      </w:r>
      <w:r>
        <w:rPr/>
        <w:t>（</w:t>
      </w:r>
      <w:r>
        <w:rPr>
          <w:rFonts w:ascii="宋体" w:hAnsi="宋体" w:cs="宋体" w:eastAsia="宋体" w:hint="default"/>
        </w:rPr>
        <w:t>1</w:t>
      </w:r>
      <w:r>
        <w:rPr/>
        <w:t>）重要会计政策变更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pict>
          <v:shape style="position:absolute;margin-left:258.519989pt;margin-top:38.063675pt;width:145.15pt;height:15.6pt;mso-position-horizontal-relative:page;mso-position-vertical-relative:paragraph;z-index:-109451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持有待售的非流动资产、</w:t>
                  </w:r>
                </w:p>
              </w:txbxContent>
            </v:textbox>
            <w10:wrap type="none"/>
          </v:shape>
        </w:pict>
      </w:r>
      <w:r>
        <w:rPr/>
        <w:pict>
          <v:group style="position:absolute;margin-left:354.820007pt;margin-top:108.533676pt;width:48.85pt;height:39.550pt;mso-position-horizontal-relative:page;mso-position-vertical-relative:paragraph;z-index:-1094488" coordorigin="7096,2171" coordsize="977,791">
            <v:group style="position:absolute;left:7107;top:2181;width:2;height:313" coordorigin="7107,2181" coordsize="2,313">
              <v:shape style="position:absolute;left:7107;top:2181;width:2;height:313" coordorigin="7107,2181" coordsize="0,313" path="m7107,2181l7107,2493e" filled="false" stroked="true" strokeweight="1.02pt" strokecolor="#ffffff">
                <v:path arrowok="t"/>
              </v:shape>
            </v:group>
            <v:group style="position:absolute;left:7096;top:2493;width:977;height:468" coordorigin="7096,2493" coordsize="977,468">
              <v:shape style="position:absolute;left:7096;top:2493;width:977;height:468" coordorigin="7096,2493" coordsize="977,468" path="m7096,2961l8073,2961,8073,2493,7096,2493,7096,2961xe" filled="true" fillcolor="#ffffff" stroked="false">
                <v:path arrowok="t"/>
                <v:fill type="solid"/>
              </v:shape>
            </v:group>
            <v:group style="position:absolute;left:7117;top:2181;width:936;height:313" coordorigin="7117,2181" coordsize="936,313">
              <v:shape style="position:absolute;left:7117;top:2181;width:936;height:313" coordorigin="7117,2181" coordsize="936,313" path="m7117,2493l8053,2493,8053,2181,7117,2181,7117,2493xe" filled="true" fillcolor="#ffffff" stroked="false">
                <v:path arrowok="t"/>
                <v:fill type="solid"/>
              </v:shape>
            </v:group>
            <w10:wrap type="none"/>
          </v:group>
        </w:pict>
      </w: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5956"/>
        <w:gridCol w:w="991"/>
        <w:gridCol w:w="2623"/>
      </w:tblGrid>
      <w:tr>
        <w:trPr>
          <w:trHeight w:val="334" w:hRule="exact"/>
        </w:trPr>
        <w:tc>
          <w:tcPr>
            <w:tcW w:w="595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62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50" w:hRule="exact"/>
        </w:trPr>
        <w:tc>
          <w:tcPr>
            <w:tcW w:w="59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5"/>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年度发布</w:t>
            </w:r>
            <w:r>
              <w:rPr>
                <w:rFonts w:ascii="宋体" w:hAnsi="宋体" w:cs="宋体" w:eastAsia="宋体" w:hint="default"/>
                <w:spacing w:val="-90"/>
                <w:sz w:val="18"/>
                <w:szCs w:val="18"/>
              </w:rPr>
              <w:t>了</w:t>
            </w:r>
            <w:r>
              <w:rPr>
                <w:rFonts w:ascii="宋体" w:hAnsi="宋体" w:cs="宋体" w:eastAsia="宋体" w:hint="default"/>
                <w:sz w:val="18"/>
                <w:szCs w:val="18"/>
              </w:rPr>
              <w:t>《企业会计准则第</w:t>
            </w:r>
            <w:r>
              <w:rPr>
                <w:rFonts w:ascii="宋体" w:hAnsi="宋体" w:cs="宋体" w:eastAsia="宋体" w:hint="default"/>
                <w:spacing w:val="-56"/>
                <w:sz w:val="18"/>
                <w:szCs w:val="18"/>
              </w:rPr>
              <w:t> </w:t>
            </w:r>
            <w:r>
              <w:rPr>
                <w:rFonts w:ascii="宋体" w:hAnsi="宋体" w:cs="宋体" w:eastAsia="宋体" w:hint="default"/>
                <w:sz w:val="18"/>
                <w:szCs w:val="18"/>
              </w:rPr>
              <w:t>42</w:t>
            </w:r>
            <w:r>
              <w:rPr>
                <w:rFonts w:ascii="宋体" w:hAnsi="宋体" w:cs="宋体" w:eastAsia="宋体" w:hint="default"/>
                <w:spacing w:val="-5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p>
          <w:p>
            <w:pPr>
              <w:pStyle w:val="TableParagraph"/>
              <w:spacing w:line="316" w:lineRule="auto" w:before="76"/>
              <w:ind w:left="13" w:right="21"/>
              <w:jc w:val="left"/>
              <w:rPr>
                <w:rFonts w:ascii="宋体" w:hAnsi="宋体" w:cs="宋体" w:eastAsia="宋体" w:hint="default"/>
                <w:sz w:val="18"/>
                <w:szCs w:val="18"/>
              </w:rPr>
            </w:pPr>
            <w:r>
              <w:rPr>
                <w:rFonts w:ascii="宋体" w:hAnsi="宋体" w:cs="宋体" w:eastAsia="宋体" w:hint="default"/>
                <w:spacing w:val="-11"/>
                <w:sz w:val="18"/>
                <w:szCs w:val="18"/>
              </w:rPr>
              <w:t>处置组和终止经营》，自</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4"/>
                <w:sz w:val="18"/>
                <w:szCs w:val="18"/>
              </w:rPr>
              <w:t> </w:t>
            </w:r>
            <w:r>
              <w:rPr>
                <w:rFonts w:ascii="宋体" w:hAnsi="宋体" w:cs="宋体" w:eastAsia="宋体" w:hint="default"/>
                <w:spacing w:val="-2"/>
                <w:sz w:val="18"/>
                <w:szCs w:val="18"/>
              </w:rPr>
              <w:t>起施行，对于施行日存在的持有</w:t>
            </w:r>
            <w:r>
              <w:rPr>
                <w:rFonts w:ascii="宋体" w:hAnsi="宋体" w:cs="宋体" w:eastAsia="宋体" w:hint="default"/>
                <w:sz w:val="18"/>
                <w:szCs w:val="18"/>
              </w:rPr>
              <w:t> 待售的非流动资产、处置组和终止经营，要求采用未来适用法处理。</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8.85pt;height:15.6pt;mso-position-horizontal-relative:char;mso-position-vertical-relative:line" coordorigin="0,0" coordsize="977,312">
                  <v:group style="position:absolute;left:0;top:0;width:977;height:312" coordorigin="0,0" coordsize="977,312">
                    <v:shape style="position:absolute;left:0;top:0;width:977;height:312" coordorigin="0,0" coordsize="977,312" path="m0,312l977,312,97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已批准</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公司报告期内无对应列报事项</w:t>
            </w:r>
          </w:p>
        </w:tc>
      </w:tr>
      <w:tr>
        <w:trPr>
          <w:trHeight w:val="1264" w:hRule="exact"/>
        </w:trPr>
        <w:tc>
          <w:tcPr>
            <w:tcW w:w="59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年度修订了《企业会计准则第</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政</w:t>
            </w:r>
            <w:r>
              <w:rPr>
                <w:rFonts w:ascii="宋体" w:hAnsi="宋体" w:cs="宋体" w:eastAsia="宋体" w:hint="default"/>
                <w:spacing w:val="1"/>
                <w:sz w:val="18"/>
                <w:szCs w:val="18"/>
              </w:rPr>
              <w:t>府</w:t>
            </w:r>
            <w:r>
              <w:rPr>
                <w:rFonts w:ascii="宋体" w:hAnsi="宋体" w:cs="宋体" w:eastAsia="宋体" w:hint="default"/>
                <w:sz w:val="18"/>
                <w:szCs w:val="18"/>
              </w:rPr>
              <w:t>补助</w:t>
            </w:r>
            <w:r>
              <w:rPr>
                <w:rFonts w:ascii="宋体" w:hAnsi="宋体" w:cs="宋体" w:eastAsia="宋体" w:hint="default"/>
                <w:spacing w:val="-90"/>
                <w:sz w:val="18"/>
                <w:szCs w:val="18"/>
              </w:rPr>
              <w:t>》</w:t>
            </w:r>
            <w:r>
              <w:rPr>
                <w:rFonts w:ascii="宋体" w:hAnsi="宋体" w:cs="宋体" w:eastAsia="宋体" w:hint="default"/>
                <w:sz w:val="18"/>
                <w:szCs w:val="18"/>
              </w:rPr>
              <w:t>，修订后的</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准则自</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日起施行，对于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日存在的政府补助，</w:t>
            </w:r>
          </w:p>
          <w:p>
            <w:pPr>
              <w:pStyle w:val="TableParagraph"/>
              <w:spacing w:line="316" w:lineRule="auto" w:before="76"/>
              <w:ind w:left="13" w:right="111"/>
              <w:jc w:val="left"/>
              <w:rPr>
                <w:rFonts w:ascii="宋体" w:hAnsi="宋体" w:cs="宋体" w:eastAsia="宋体" w:hint="default"/>
                <w:sz w:val="18"/>
                <w:szCs w:val="18"/>
              </w:rPr>
            </w:pPr>
            <w:r>
              <w:rPr>
                <w:rFonts w:ascii="宋体" w:hAnsi="宋体" w:cs="宋体" w:eastAsia="宋体" w:hint="default"/>
                <w:spacing w:val="-3"/>
                <w:sz w:val="18"/>
                <w:szCs w:val="18"/>
              </w:rPr>
              <w:t>要求采用未来适用法处理；对于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日至施行日新增的政府补助 也要求按照修订后的准则进行调整。</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196" w:lineRule="exact"/>
              <w:ind w:left="218" w:right="0"/>
              <w:jc w:val="left"/>
              <w:rPr>
                <w:rFonts w:ascii="宋体" w:hAnsi="宋体" w:cs="宋体" w:eastAsia="宋体" w:hint="default"/>
                <w:sz w:val="18"/>
                <w:szCs w:val="18"/>
              </w:rPr>
            </w:pPr>
            <w:r>
              <w:rPr>
                <w:rFonts w:ascii="宋体" w:hAnsi="宋体" w:cs="宋体" w:eastAsia="宋体" w:hint="default"/>
                <w:sz w:val="18"/>
                <w:szCs w:val="18"/>
              </w:rPr>
              <w:t>已批准</w:t>
            </w:r>
          </w:p>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1" w:right="417"/>
              <w:jc w:val="left"/>
              <w:rPr>
                <w:rFonts w:ascii="宋体" w:hAnsi="宋体" w:cs="宋体" w:eastAsia="宋体" w:hint="default"/>
                <w:sz w:val="18"/>
                <w:szCs w:val="18"/>
              </w:rPr>
            </w:pPr>
            <w:r>
              <w:rPr>
                <w:rFonts w:ascii="宋体" w:hAnsi="宋体" w:cs="宋体" w:eastAsia="宋体" w:hint="default"/>
                <w:sz w:val="18"/>
                <w:szCs w:val="18"/>
              </w:rPr>
              <w:t>公司报告期内确认其他收益 </w:t>
            </w:r>
            <w:r>
              <w:rPr>
                <w:rFonts w:ascii="宋体" w:hAnsi="宋体" w:cs="宋体" w:eastAsia="宋体" w:hint="default"/>
                <w:sz w:val="18"/>
                <w:szCs w:val="18"/>
              </w:rPr>
              <w:t>11,730,503.17</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334" w:hRule="exact"/>
        </w:trPr>
        <w:tc>
          <w:tcPr>
            <w:tcW w:w="59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54"/>
              <w:jc w:val="center"/>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年度发布了《财政部关于修订印发一般企业财务报表格式的</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已批准</w:t>
            </w:r>
          </w:p>
        </w:tc>
        <w:tc>
          <w:tcPr>
            <w:tcW w:w="26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公司报告期内确认资产处置收益</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5956"/>
        <w:gridCol w:w="991"/>
        <w:gridCol w:w="2623"/>
      </w:tblGrid>
      <w:tr>
        <w:trPr>
          <w:trHeight w:val="334" w:hRule="exact"/>
        </w:trPr>
        <w:tc>
          <w:tcPr>
            <w:tcW w:w="595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88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62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71" w:hRule="exact"/>
        </w:trPr>
        <w:tc>
          <w:tcPr>
            <w:tcW w:w="5956"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10"/>
              <w:ind w:left="13" w:right="68"/>
              <w:jc w:val="left"/>
              <w:rPr>
                <w:rFonts w:ascii="宋体" w:hAnsi="宋体" w:cs="宋体" w:eastAsia="宋体" w:hint="default"/>
                <w:sz w:val="18"/>
                <w:szCs w:val="18"/>
              </w:rPr>
            </w:pPr>
            <w:r>
              <w:rPr>
                <w:rFonts w:ascii="宋体" w:hAnsi="宋体" w:cs="宋体" w:eastAsia="宋体" w:hint="default"/>
                <w:spacing w:val="-5"/>
                <w:sz w:val="18"/>
                <w:szCs w:val="18"/>
              </w:rPr>
              <w:t>通知》，对一般企业财务报表格式进行了修订，</w:t>
            </w:r>
            <w:r>
              <w:rPr>
                <w:rFonts w:ascii="宋体" w:hAnsi="宋体" w:cs="宋体" w:eastAsia="宋体" w:hint="default"/>
                <w:spacing w:val="6"/>
                <w:sz w:val="18"/>
                <w:szCs w:val="18"/>
              </w:rPr>
              <w:t> </w:t>
            </w:r>
            <w:r>
              <w:rPr>
                <w:rFonts w:ascii="宋体" w:hAnsi="宋体" w:cs="宋体" w:eastAsia="宋体" w:hint="default"/>
                <w:sz w:val="18"/>
                <w:szCs w:val="18"/>
              </w:rPr>
              <w:t>适用于</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年度及以后期 间的财务报表。报告期内对比较期间财务报表进行追溯调整。</w:t>
            </w:r>
          </w:p>
        </w:tc>
        <w:tc>
          <w:tcPr>
            <w:tcW w:w="991" w:type="dxa"/>
            <w:tcBorders>
              <w:top w:val="single" w:sz="6" w:space="0" w:color="000000"/>
              <w:left w:val="single" w:sz="6" w:space="0" w:color="000000"/>
              <w:bottom w:val="single" w:sz="12" w:space="0" w:color="000000"/>
              <w:right w:val="single" w:sz="6" w:space="0" w:color="000000"/>
            </w:tcBorders>
          </w:tcPr>
          <w:p>
            <w:pPr/>
          </w:p>
        </w:tc>
        <w:tc>
          <w:tcPr>
            <w:tcW w:w="26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9,701.31</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w:t>
            </w:r>
            <w:r>
              <w:rPr>
                <w:rFonts w:ascii="宋体" w:hAnsi="宋体" w:cs="宋体" w:eastAsia="宋体" w:hint="default"/>
                <w:sz w:val="18"/>
                <w:szCs w:val="18"/>
              </w:rPr>
              <w:t>追溯</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年报</w:t>
            </w:r>
            <w:r>
              <w:rPr>
                <w:rFonts w:ascii="宋体" w:hAnsi="宋体" w:cs="宋体" w:eastAsia="宋体" w:hint="default"/>
                <w:spacing w:val="1"/>
                <w:sz w:val="18"/>
                <w:szCs w:val="18"/>
              </w:rPr>
              <w:t>表</w:t>
            </w:r>
            <w:r>
              <w:rPr>
                <w:rFonts w:ascii="宋体" w:hAnsi="宋体" w:cs="宋体" w:eastAsia="宋体" w:hint="default"/>
                <w:sz w:val="18"/>
                <w:szCs w:val="18"/>
              </w:rPr>
              <w:t>调</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年资产处置收益</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125,938.73</w:t>
            </w:r>
            <w:r>
              <w:rPr>
                <w:rFonts w:ascii="宋体" w:hAnsi="宋体" w:cs="宋体" w:eastAsia="宋体" w:hint="default"/>
                <w:spacing w:val="-46"/>
                <w:sz w:val="18"/>
                <w:szCs w:val="18"/>
              </w:rPr>
              <w:t> </w:t>
            </w:r>
            <w:r>
              <w:rPr>
                <w:rFonts w:ascii="宋体" w:hAnsi="宋体" w:cs="宋体" w:eastAsia="宋体" w:hint="default"/>
                <w:sz w:val="18"/>
                <w:szCs w:val="18"/>
              </w:rPr>
              <w:t>元，调减营业外收入</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125,938.73</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Style w:val="Heading4"/>
        <w:spacing w:line="240" w:lineRule="auto" w:before="63"/>
        <w:ind w:right="1121"/>
        <w:jc w:val="left"/>
        <w:rPr>
          <w:b w:val="0"/>
          <w:bCs w:val="0"/>
        </w:rPr>
      </w:pPr>
      <w:bookmarkStart w:name="（2）重要会计估计变更" w:id="218"/>
      <w:bookmarkEnd w:id="218"/>
      <w:r>
        <w:rPr>
          <w:b w:val="0"/>
          <w:bCs w:val="0"/>
        </w:rPr>
      </w:r>
      <w:r>
        <w:rPr/>
        <w:t>（</w:t>
      </w:r>
      <w:r>
        <w:rPr>
          <w:rFonts w:ascii="宋体" w:hAnsi="宋体" w:cs="宋体" w:eastAsia="宋体" w:hint="default"/>
        </w:rPr>
        <w:t>2</w:t>
      </w:r>
      <w:r>
        <w:rPr/>
        <w:t>）重要会计估计变更</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4、其他" w:id="219"/>
      <w:bookmarkEnd w:id="219"/>
      <w:r>
        <w:rPr>
          <w:rFonts w:ascii="宋体" w:hAnsi="宋体" w:cs="宋体" w:eastAsia="宋体" w:hint="default"/>
          <w:sz w:val="21"/>
          <w:szCs w:val="21"/>
        </w:rPr>
      </w:r>
      <w:r>
        <w:rPr>
          <w:rFonts w:ascii="宋体" w:hAnsi="宋体" w:cs="宋体" w:eastAsia="宋体"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364" w:lineRule="auto" w:before="9"/>
        <w:ind w:left="1134" w:right="896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六、税项" w:id="220"/>
      <w:bookmarkEnd w:id="220"/>
      <w:r>
        <w:rPr>
          <w:rFonts w:ascii="宋体" w:hAnsi="宋体" w:cs="宋体" w:eastAsia="宋体" w:hint="default"/>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1"/>
      <w:bookmarkEnd w:id="221"/>
      <w:r>
        <w:rPr>
          <w:rFonts w:ascii="宋体" w:hAnsi="宋体" w:cs="宋体" w:eastAsia="宋体" w:hint="default"/>
          <w:b/>
          <w:bCs/>
          <w:spacing w:val="1"/>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125" w:type="dxa"/>
        <w:tblLayout w:type="fixed"/>
        <w:tblCellMar>
          <w:top w:w="0" w:type="dxa"/>
          <w:left w:w="0" w:type="dxa"/>
          <w:bottom w:w="0" w:type="dxa"/>
          <w:right w:w="0" w:type="dxa"/>
        </w:tblCellMar>
        <w:tblLook w:val="01E0"/>
      </w:tblPr>
      <w:tblGrid>
        <w:gridCol w:w="2972"/>
        <w:gridCol w:w="3969"/>
        <w:gridCol w:w="2623"/>
      </w:tblGrid>
      <w:tr>
        <w:trPr>
          <w:trHeight w:val="415" w:hRule="exact"/>
        </w:trPr>
        <w:tc>
          <w:tcPr>
            <w:tcW w:w="297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9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62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2972" w:type="dxa"/>
            <w:tcBorders>
              <w:top w:val="single" w:sz="6" w:space="0" w:color="000000"/>
              <w:left w:val="single" w:sz="12" w:space="0" w:color="000000"/>
              <w:bottom w:val="nil" w:sz="6" w:space="0" w:color="auto"/>
              <w:right w:val="single" w:sz="6" w:space="0" w:color="000000"/>
            </w:tcBorders>
            <w:shd w:val="clear" w:color="auto" w:fill="D2D2D2"/>
          </w:tcPr>
          <w:p>
            <w:pPr/>
          </w:p>
        </w:tc>
        <w:tc>
          <w:tcPr>
            <w:tcW w:w="3969" w:type="dxa"/>
            <w:vMerge w:val="restart"/>
            <w:tcBorders>
              <w:top w:val="single" w:sz="6" w:space="0" w:color="000000"/>
              <w:left w:val="single" w:sz="9" w:space="0" w:color="D2D2D2"/>
              <w:right w:val="single" w:sz="6" w:space="0" w:color="000000"/>
            </w:tcBorders>
          </w:tcPr>
          <w:p>
            <w:pPr>
              <w:pStyle w:val="TableParagraph"/>
              <w:spacing w:line="319" w:lineRule="auto" w:before="51"/>
              <w:ind w:left="16" w:right="61"/>
              <w:jc w:val="left"/>
              <w:rPr>
                <w:rFonts w:ascii="宋体" w:hAnsi="宋体" w:cs="宋体" w:eastAsia="宋体" w:hint="default"/>
                <w:sz w:val="18"/>
                <w:szCs w:val="18"/>
              </w:rPr>
            </w:pPr>
            <w:r>
              <w:rPr>
                <w:rFonts w:ascii="宋体" w:hAnsi="宋体" w:cs="宋体" w:eastAsia="宋体" w:hint="default"/>
                <w:sz w:val="18"/>
                <w:szCs w:val="18"/>
              </w:rPr>
              <w:t>应纳税增值额</w:t>
            </w:r>
            <w:r>
              <w:rPr>
                <w:rFonts w:ascii="宋体" w:hAnsi="宋体" w:cs="宋体" w:eastAsia="宋体" w:hint="default"/>
                <w:sz w:val="18"/>
                <w:szCs w:val="18"/>
              </w:rPr>
              <w:t>(</w:t>
            </w:r>
            <w:r>
              <w:rPr>
                <w:rFonts w:ascii="宋体" w:hAnsi="宋体" w:cs="宋体" w:eastAsia="宋体" w:hint="default"/>
                <w:sz w:val="18"/>
                <w:szCs w:val="18"/>
              </w:rPr>
              <w:t>应纳税额按应纳税销售额乘以适用 税率扣除当期允计抵扣的进项税后的余额计算</w:t>
            </w:r>
            <w:r>
              <w:rPr>
                <w:rFonts w:ascii="宋体" w:hAnsi="宋体" w:cs="宋体" w:eastAsia="宋体" w:hint="default"/>
                <w:sz w:val="18"/>
                <w:szCs w:val="18"/>
              </w:rPr>
              <w:t>)</w:t>
            </w:r>
          </w:p>
        </w:tc>
        <w:tc>
          <w:tcPr>
            <w:tcW w:w="2623"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38"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3%</w:t>
            </w:r>
          </w:p>
        </w:tc>
      </w:tr>
      <w:tr>
        <w:trPr>
          <w:trHeight w:val="392" w:hRule="exact"/>
        </w:trPr>
        <w:tc>
          <w:tcPr>
            <w:tcW w:w="2972"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增值税</w:t>
            </w:r>
          </w:p>
        </w:tc>
        <w:tc>
          <w:tcPr>
            <w:tcW w:w="3969" w:type="dxa"/>
            <w:vMerge/>
            <w:tcBorders>
              <w:left w:val="single" w:sz="9" w:space="0" w:color="D2D2D2"/>
              <w:right w:val="single" w:sz="6" w:space="0" w:color="000000"/>
            </w:tcBorders>
          </w:tcPr>
          <w:p>
            <w:pPr/>
          </w:p>
        </w:tc>
        <w:tc>
          <w:tcPr>
            <w:tcW w:w="2623" w:type="dxa"/>
            <w:vMerge/>
            <w:tcBorders>
              <w:left w:val="single" w:sz="6" w:space="0" w:color="000000"/>
              <w:right w:val="single" w:sz="12" w:space="0" w:color="000000"/>
            </w:tcBorders>
          </w:tcPr>
          <w:p>
            <w:pPr/>
          </w:p>
        </w:tc>
      </w:tr>
      <w:tr>
        <w:trPr>
          <w:trHeight w:val="163" w:hRule="exact"/>
        </w:trPr>
        <w:tc>
          <w:tcPr>
            <w:tcW w:w="2972" w:type="dxa"/>
            <w:tcBorders>
              <w:top w:val="nil" w:sz="6" w:space="0" w:color="auto"/>
              <w:left w:val="single" w:sz="12" w:space="0" w:color="000000"/>
              <w:bottom w:val="single" w:sz="6" w:space="0" w:color="000000"/>
              <w:right w:val="single" w:sz="6" w:space="0" w:color="000000"/>
            </w:tcBorders>
            <w:shd w:val="clear" w:color="auto" w:fill="D2D2D2"/>
          </w:tcPr>
          <w:p>
            <w:pPr/>
          </w:p>
        </w:tc>
        <w:tc>
          <w:tcPr>
            <w:tcW w:w="3969" w:type="dxa"/>
            <w:vMerge/>
            <w:tcBorders>
              <w:left w:val="single" w:sz="9" w:space="0" w:color="D2D2D2"/>
              <w:bottom w:val="single" w:sz="6" w:space="0" w:color="000000"/>
              <w:right w:val="single" w:sz="6" w:space="0" w:color="000000"/>
            </w:tcBorders>
          </w:tcPr>
          <w:p>
            <w:pPr/>
          </w:p>
        </w:tc>
        <w:tc>
          <w:tcPr>
            <w:tcW w:w="2623" w:type="dxa"/>
            <w:vMerge/>
            <w:tcBorders>
              <w:left w:val="single" w:sz="6" w:space="0" w:color="000000"/>
              <w:bottom w:val="single" w:sz="6" w:space="0" w:color="000000"/>
              <w:right w:val="single" w:sz="12" w:space="0" w:color="000000"/>
            </w:tcBorders>
          </w:tcPr>
          <w:p>
            <w:pPr/>
          </w:p>
        </w:tc>
      </w:tr>
      <w:tr>
        <w:trPr>
          <w:trHeight w:val="407" w:hRule="exact"/>
        </w:trPr>
        <w:tc>
          <w:tcPr>
            <w:tcW w:w="297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96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w:t>
            </w:r>
          </w:p>
        </w:tc>
      </w:tr>
      <w:tr>
        <w:trPr>
          <w:trHeight w:val="407" w:hRule="exact"/>
        </w:trPr>
        <w:tc>
          <w:tcPr>
            <w:tcW w:w="297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396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6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15%</w:t>
            </w:r>
          </w:p>
        </w:tc>
      </w:tr>
      <w:tr>
        <w:trPr>
          <w:trHeight w:val="415" w:hRule="exact"/>
        </w:trPr>
        <w:tc>
          <w:tcPr>
            <w:tcW w:w="29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26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w:t>
            </w:r>
          </w:p>
        </w:tc>
      </w:tr>
    </w:tbl>
    <w:p>
      <w:pPr>
        <w:pStyle w:val="BodyText"/>
        <w:spacing w:line="240" w:lineRule="auto" w:before="84"/>
        <w:ind w:left="1134" w:right="1121"/>
        <w:jc w:val="left"/>
      </w:pPr>
      <w:r>
        <w:rPr/>
        <w:t>存在不同企业所得税税率纳税主体的，披露情况说明</w:t>
      </w:r>
    </w:p>
    <w:p>
      <w:pPr>
        <w:spacing w:line="240" w:lineRule="auto" w:before="12"/>
        <w:rPr>
          <w:rFonts w:ascii="宋体" w:hAnsi="宋体" w:cs="宋体" w:eastAsia="宋体" w:hint="default"/>
          <w:sz w:val="9"/>
          <w:szCs w:val="9"/>
        </w:rPr>
      </w:pPr>
    </w:p>
    <w:tbl>
      <w:tblPr>
        <w:tblW w:w="0" w:type="auto"/>
        <w:jc w:val="left"/>
        <w:tblInd w:w="1118" w:type="dxa"/>
        <w:tblLayout w:type="fixed"/>
        <w:tblCellMar>
          <w:top w:w="0" w:type="dxa"/>
          <w:left w:w="0" w:type="dxa"/>
          <w:bottom w:w="0" w:type="dxa"/>
          <w:right w:w="0" w:type="dxa"/>
        </w:tblCellMar>
        <w:tblLook w:val="01E0"/>
      </w:tblPr>
      <w:tblGrid>
        <w:gridCol w:w="6947"/>
        <w:gridCol w:w="2622"/>
      </w:tblGrid>
      <w:tr>
        <w:trPr>
          <w:trHeight w:val="415" w:hRule="exact"/>
        </w:trPr>
        <w:tc>
          <w:tcPr>
            <w:tcW w:w="694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26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54" w:right="0"/>
              <w:jc w:val="left"/>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w:t>
            </w:r>
          </w:p>
        </w:tc>
      </w:tr>
      <w:tr>
        <w:trPr>
          <w:trHeight w:val="408"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江苏光一贵仁股权投资基金管理有限公司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江苏光一德能电气工程有限公司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w:t>
            </w:r>
          </w:p>
        </w:tc>
      </w:tr>
      <w:tr>
        <w:trPr>
          <w:trHeight w:val="408"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湖北鼎瑞科技有限公司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武汉睿博电气有限责任公司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荆州市山源科技有限公司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湖北瑞云软件科技有限公司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w:t>
            </w:r>
          </w:p>
        </w:tc>
      </w:tr>
      <w:tr>
        <w:trPr>
          <w:trHeight w:val="407" w:hRule="exact"/>
        </w:trPr>
        <w:tc>
          <w:tcPr>
            <w:tcW w:w="694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贵州健康云科技有限公司</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w:t>
            </w:r>
          </w:p>
        </w:tc>
      </w:tr>
      <w:tr>
        <w:trPr>
          <w:trHeight w:val="415" w:hRule="exact"/>
        </w:trPr>
        <w:tc>
          <w:tcPr>
            <w:tcW w:w="694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光一数道</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科技有限公司</w:t>
            </w:r>
          </w:p>
        </w:tc>
        <w:tc>
          <w:tcPr>
            <w:tcW w:w="2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408" w:lineRule="auto"/>
        <w:ind w:left="1133" w:right="9488"/>
        <w:jc w:val="left"/>
        <w:rPr>
          <w:b w:val="0"/>
          <w:bCs w:val="0"/>
        </w:rPr>
      </w:pPr>
      <w:bookmarkStart w:name="2、税收优惠" w:id="222"/>
      <w:bookmarkEnd w:id="222"/>
      <w:r>
        <w:rPr>
          <w:b w:val="0"/>
          <w:bCs w:val="0"/>
        </w:rPr>
      </w:r>
      <w:r>
        <w:rPr>
          <w:rFonts w:ascii="宋体" w:hAnsi="宋体" w:cs="宋体" w:eastAsia="宋体" w:hint="default"/>
        </w:rPr>
        <w:t>2</w:t>
      </w:r>
      <w:r>
        <w:rPr/>
        <w:t>、税收优惠</w:t>
      </w:r>
      <w:r>
        <w:rPr>
          <w:w w:val="99"/>
        </w:rPr>
        <w:t> </w:t>
      </w:r>
      <w:r>
        <w:rPr/>
        <w:t>企业所得税：</w:t>
      </w:r>
      <w:r>
        <w:rPr>
          <w:b w:val="0"/>
          <w:bCs w:val="0"/>
        </w:rPr>
      </w:r>
    </w:p>
    <w:p>
      <w:pPr>
        <w:pStyle w:val="BodyText"/>
        <w:spacing w:line="408" w:lineRule="auto"/>
        <w:ind w:right="1129" w:firstLine="420"/>
        <w:jc w:val="both"/>
      </w:pPr>
      <w:r>
        <w:rPr>
          <w:spacing w:val="-1"/>
        </w:rPr>
        <w:t>本公司子公司湖北索瑞电气有限公司（以下简称“索瑞电气”或“湖北索瑞”）于</w:t>
      </w:r>
      <w:r>
        <w:rPr>
          <w:rFonts w:ascii="宋体" w:hAnsi="宋体" w:cs="宋体" w:eastAsia="宋体" w:hint="default"/>
          <w:spacing w:val="-1"/>
        </w:rPr>
        <w:t>2014</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14</w:t>
      </w:r>
      <w:r>
        <w:rPr>
          <w:spacing w:val="-1"/>
        </w:rPr>
        <w:t>日通</w:t>
      </w:r>
      <w:r>
        <w:rPr/>
        <w:t> </w:t>
      </w:r>
      <w:r>
        <w:rPr>
          <w:spacing w:val="-1"/>
        </w:rPr>
        <w:t>过高新技术企业评审，取得《高新技术企业证书》，享受高新技术企业所得税优惠政策，有效期三年。在</w:t>
      </w:r>
      <w:r>
        <w:rPr>
          <w:spacing w:val="-83"/>
        </w:rPr>
        <w:t> </w:t>
      </w:r>
      <w:r>
        <w:rPr>
          <w:spacing w:val="-83"/>
        </w:rPr>
      </w:r>
      <w:r>
        <w:rPr/>
        <w:t>此期间内按</w:t>
      </w:r>
      <w:r>
        <w:rPr>
          <w:rFonts w:ascii="宋体" w:hAnsi="宋体" w:cs="宋体" w:eastAsia="宋体" w:hint="default"/>
        </w:rPr>
        <w:t>15%</w:t>
      </w:r>
      <w:r>
        <w:rPr/>
        <w:t>的税率缴纳企业所得税。</w:t>
      </w:r>
    </w:p>
    <w:p>
      <w:pPr>
        <w:pStyle w:val="BodyText"/>
        <w:spacing w:line="408" w:lineRule="auto"/>
        <w:ind w:right="1131" w:firstLine="420"/>
        <w:jc w:val="both"/>
      </w:pPr>
      <w:r>
        <w:rPr>
          <w:spacing w:val="-1"/>
        </w:rPr>
        <w:t>本公司子公司江苏苏源光一科技有限公司于</w:t>
      </w:r>
      <w:r>
        <w:rPr>
          <w:rFonts w:ascii="宋体" w:hAnsi="宋体" w:cs="宋体" w:eastAsia="宋体" w:hint="default"/>
          <w:spacing w:val="-1"/>
        </w:rPr>
        <w:t>2016</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spacing w:val="-1"/>
        </w:rPr>
        <w:t>日取得证书编号为</w:t>
      </w:r>
      <w:r>
        <w:rPr>
          <w:rFonts w:ascii="宋体" w:hAnsi="宋体" w:cs="宋体" w:eastAsia="宋体" w:hint="default"/>
          <w:spacing w:val="-1"/>
        </w:rPr>
        <w:t>GR201632000383</w:t>
      </w:r>
      <w:r>
        <w:rPr>
          <w:spacing w:val="-1"/>
        </w:rPr>
        <w:t>的《高新</w:t>
      </w:r>
      <w:r>
        <w:rPr/>
        <w:t> 技术企业证书》，享受高新技术企业所得税优惠政策，有效期三年。在此期间内按</w:t>
      </w:r>
      <w:r>
        <w:rPr>
          <w:rFonts w:ascii="宋体" w:hAnsi="宋体" w:cs="宋体" w:eastAsia="宋体" w:hint="default"/>
        </w:rPr>
        <w:t>15%</w:t>
      </w:r>
      <w:r>
        <w:rPr/>
        <w:t>的税率缴纳企业所</w:t>
      </w:r>
      <w:r>
        <w:rPr>
          <w:spacing w:val="-27"/>
        </w:rPr>
        <w:t> </w:t>
      </w:r>
      <w:r>
        <w:rPr>
          <w:spacing w:val="-27"/>
        </w:rPr>
      </w:r>
      <w:r>
        <w:rPr/>
        <w:t>得税。</w:t>
      </w:r>
    </w:p>
    <w:p>
      <w:pPr>
        <w:pStyle w:val="BodyText"/>
        <w:spacing w:line="240" w:lineRule="auto"/>
        <w:ind w:left="1555" w:right="0"/>
        <w:jc w:val="left"/>
      </w:pPr>
      <w:r>
        <w:rPr>
          <w:spacing w:val="3"/>
        </w:rPr>
        <w:t>本公司子公司江苏德能电力设计咨询有限公司于</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日取得证书编号为</w:t>
      </w:r>
      <w:r>
        <w:rPr>
          <w:rFonts w:ascii="宋体" w:hAnsi="宋体" w:cs="宋体" w:eastAsia="宋体" w:hint="default"/>
          <w:spacing w:val="3"/>
        </w:rPr>
        <w:t>GR201632001132</w:t>
      </w:r>
      <w:r>
        <w:rPr>
          <w:spacing w:val="3"/>
        </w:rPr>
        <w:t>的</w:t>
      </w:r>
    </w:p>
    <w:p>
      <w:pPr>
        <w:spacing w:line="240" w:lineRule="auto" w:before="10"/>
        <w:rPr>
          <w:rFonts w:ascii="宋体" w:hAnsi="宋体" w:cs="宋体" w:eastAsia="宋体" w:hint="default"/>
          <w:sz w:val="14"/>
          <w:szCs w:val="14"/>
        </w:rPr>
      </w:pPr>
    </w:p>
    <w:p>
      <w:pPr>
        <w:pStyle w:val="BodyText"/>
        <w:spacing w:line="408" w:lineRule="auto" w:before="0"/>
        <w:ind w:right="1121"/>
        <w:jc w:val="left"/>
      </w:pPr>
      <w:r>
        <w:rPr/>
        <w:t>《高新技术企业证书》，享受高新技术企业所得税优惠政策，有效期三年。在此期间内按</w:t>
      </w:r>
      <w:r>
        <w:rPr>
          <w:rFonts w:ascii="宋体" w:hAnsi="宋体" w:cs="宋体" w:eastAsia="宋体" w:hint="default"/>
        </w:rPr>
        <w:t>15%</w:t>
      </w:r>
      <w:r>
        <w:rPr/>
        <w:t>的税率缴纳</w:t>
      </w:r>
      <w:r>
        <w:rPr>
          <w:spacing w:val="-27"/>
        </w:rPr>
        <w:t> </w:t>
      </w:r>
      <w:r>
        <w:rPr>
          <w:spacing w:val="-27"/>
        </w:rPr>
      </w:r>
      <w:r>
        <w:rPr/>
        <w:t>企业所得税。</w:t>
      </w:r>
    </w:p>
    <w:p>
      <w:pPr>
        <w:pStyle w:val="Heading4"/>
        <w:spacing w:line="240" w:lineRule="auto" w:before="46"/>
        <w:ind w:left="1133" w:right="1121"/>
        <w:jc w:val="left"/>
        <w:rPr>
          <w:b w:val="0"/>
          <w:bCs w:val="0"/>
        </w:rPr>
      </w:pPr>
      <w:r>
        <w:rPr/>
        <w:t>增值税：</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21" w:firstLine="421"/>
        <w:jc w:val="left"/>
        <w:rPr>
          <w:rFonts w:ascii="宋体" w:hAnsi="宋体" w:cs="宋体" w:eastAsia="宋体" w:hint="default"/>
        </w:rPr>
      </w:pPr>
      <w:r>
        <w:rPr/>
        <w:t>公司及各子公司根据国务院</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28</w:t>
      </w:r>
      <w:r>
        <w:rPr/>
        <w:t>日下发的《国务院关于印发进一步鼓励软件产业和集成电路 产业发展若干政策的通知》国发</w:t>
      </w:r>
      <w:r>
        <w:rPr>
          <w:rFonts w:ascii="宋体" w:hAnsi="宋体" w:cs="宋体" w:eastAsia="宋体" w:hint="default"/>
        </w:rPr>
        <w:t>[2011]4</w:t>
      </w:r>
      <w:r>
        <w:rPr/>
        <w:t>号文件，对增值税一般纳税人销售其自行开发生产的软件产品，</w:t>
      </w:r>
      <w:r>
        <w:rPr>
          <w:spacing w:val="-34"/>
        </w:rPr>
        <w:t> </w:t>
      </w:r>
      <w:r>
        <w:rPr>
          <w:spacing w:val="-34"/>
        </w:rPr>
      </w:r>
      <w:r>
        <w:rPr/>
        <w:t>按</w:t>
      </w:r>
      <w:r>
        <w:rPr>
          <w:rFonts w:ascii="宋体" w:hAnsi="宋体" w:cs="宋体" w:eastAsia="宋体" w:hint="default"/>
        </w:rPr>
        <w:t>17%</w:t>
      </w:r>
      <w:r>
        <w:rPr/>
        <w:t>的法定税率征收增值税后，对其增值税实际税负超过</w:t>
      </w:r>
      <w:r>
        <w:rPr>
          <w:rFonts w:ascii="宋体" w:hAnsi="宋体" w:cs="宋体" w:eastAsia="宋体" w:hint="default"/>
        </w:rPr>
        <w:t>3%</w:t>
      </w:r>
      <w:r>
        <w:rPr/>
        <w:t>的部分实行即征即退的增值税优惠政策。 </w:t>
      </w:r>
      <w:bookmarkStart w:name="3、其他" w:id="223"/>
      <w:bookmarkEnd w:id="223"/>
      <w:r>
        <w:rPr/>
      </w:r>
      <w:r>
        <w:rPr>
          <w:rFonts w:ascii="宋体" w:hAnsi="宋体" w:cs="宋体" w:eastAsia="宋体" w:hint="default"/>
          <w:b/>
          <w:bCs/>
        </w:rPr>
        <w:t>3</w:t>
      </w:r>
      <w:r>
        <w:rPr>
          <w:rFonts w:ascii="宋体" w:hAnsi="宋体" w:cs="宋体" w:eastAsia="宋体" w:hint="default"/>
          <w:b/>
          <w:bCs/>
        </w:rPr>
        <w:t>、其他</w:t>
      </w:r>
      <w:r>
        <w:rPr>
          <w:rFonts w:ascii="宋体" w:hAnsi="宋体" w:cs="宋体" w:eastAsia="宋体" w:hint="default"/>
        </w:rPr>
      </w:r>
    </w:p>
    <w:p>
      <w:pPr>
        <w:pStyle w:val="BodyText"/>
        <w:spacing w:line="240" w:lineRule="auto"/>
        <w:ind w:right="1121"/>
        <w:jc w:val="left"/>
      </w:pPr>
      <w:r>
        <w:rPr/>
        <w:t>□ 适用 √</w:t>
      </w:r>
      <w:r>
        <w:rPr>
          <w:spacing w:val="-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21"/>
        <w:jc w:val="left"/>
        <w:rPr>
          <w:b w:val="0"/>
          <w:bCs w:val="0"/>
        </w:rPr>
      </w:pPr>
      <w:bookmarkStart w:name="七、合并财务报表项目注释" w:id="224"/>
      <w:bookmarkEnd w:id="224"/>
      <w:r>
        <w:rPr>
          <w:b w:val="0"/>
          <w:bCs w:val="0"/>
        </w:rPr>
      </w:r>
      <w:r>
        <w:rPr/>
        <w:t>七、合并财务报表项目注释</w:t>
      </w:r>
      <w:r>
        <w:rPr>
          <w:b w:val="0"/>
          <w:bCs w:val="0"/>
        </w:rPr>
      </w:r>
    </w:p>
    <w:p>
      <w:pPr>
        <w:pStyle w:val="Heading4"/>
        <w:spacing w:line="240" w:lineRule="auto" w:before="177"/>
        <w:ind w:left="1133" w:right="1121"/>
        <w:jc w:val="left"/>
        <w:rPr>
          <w:b w:val="0"/>
          <w:bCs w:val="0"/>
        </w:rPr>
      </w:pPr>
      <w:bookmarkStart w:name="1、货币资金" w:id="225"/>
      <w:bookmarkEnd w:id="225"/>
      <w:r>
        <w:rPr>
          <w:b w:val="0"/>
          <w:bCs w:val="0"/>
        </w:rPr>
      </w:r>
      <w:r>
        <w:rPr>
          <w:rFonts w:ascii="宋体" w:hAnsi="宋体" w:cs="宋体" w:eastAsia="宋体" w:hint="default"/>
        </w:rPr>
        <w:t>1</w:t>
      </w:r>
      <w:r>
        <w:rPr/>
        <w:t>、货币资金</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6"/>
          <w:szCs w:val="6"/>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370"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right="7"/>
              <w:jc w:val="center"/>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17" w:space="0" w:color="D2D2D2"/>
              <w:left w:val="single" w:sz="9"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335,216.33</w:t>
            </w:r>
          </w:p>
        </w:tc>
        <w:tc>
          <w:tcPr>
            <w:tcW w:w="318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180,364.03</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188,955,060.35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290,394,834.62</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039"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11,365,009.55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7,795,367.02</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200,655,286.23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298,370,565.67</w:t>
            </w:r>
          </w:p>
        </w:tc>
      </w:tr>
      <w:tr>
        <w:trPr>
          <w:trHeight w:val="419"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6" w:space="0" w:color="000000"/>
              <w:left w:val="single" w:sz="9" w:space="0" w:color="D2D2D2"/>
              <w:bottom w:val="single" w:sz="12" w:space="0" w:color="000000"/>
              <w:right w:val="single" w:sz="6" w:space="0" w:color="000000"/>
            </w:tcBorders>
          </w:tcPr>
          <w:p>
            <w:pPr/>
          </w:p>
        </w:tc>
        <w:tc>
          <w:tcPr>
            <w:tcW w:w="318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134" w:right="1121"/>
        <w:jc w:val="left"/>
        <w:rPr>
          <w:rFonts w:ascii="宋体" w:hAnsi="宋体" w:cs="宋体" w:eastAsia="宋体" w:hint="default"/>
        </w:rPr>
      </w:pPr>
      <w:r>
        <w:rPr/>
        <w:t>其他说明</w:t>
      </w:r>
      <w:r>
        <w:rPr>
          <w:rFonts w:ascii="宋体" w:hAnsi="宋体" w:cs="宋体" w:eastAsia="宋体" w:hint="default"/>
        </w:rPr>
        <w:t>:</w:t>
      </w:r>
    </w:p>
    <w:p>
      <w:pPr>
        <w:spacing w:line="240" w:lineRule="auto" w:before="10"/>
        <w:rPr>
          <w:rFonts w:ascii="宋体" w:hAnsi="宋体" w:cs="宋体" w:eastAsia="宋体" w:hint="default"/>
          <w:sz w:val="14"/>
          <w:szCs w:val="14"/>
        </w:rPr>
      </w:pPr>
    </w:p>
    <w:p>
      <w:pPr>
        <w:pStyle w:val="BodyText"/>
        <w:spacing w:line="408" w:lineRule="auto" w:before="0"/>
        <w:ind w:left="1134" w:right="1197" w:firstLine="420"/>
        <w:jc w:val="left"/>
      </w:pPr>
      <w:r>
        <w:rPr/>
        <w:t>①</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日其他货币资金</w:t>
      </w:r>
      <w:r>
        <w:rPr>
          <w:rFonts w:ascii="宋体" w:hAnsi="宋体" w:cs="宋体" w:eastAsia="宋体" w:hint="default"/>
        </w:rPr>
        <w:t>11,365,009.55</w:t>
      </w:r>
      <w:r>
        <w:rPr/>
        <w:t>元，其中银行承兑汇票保证金</w:t>
      </w:r>
      <w:r>
        <w:rPr>
          <w:rFonts w:ascii="宋体" w:hAnsi="宋体" w:cs="宋体" w:eastAsia="宋体" w:hint="default"/>
        </w:rPr>
        <w:t>2,417,729.71</w:t>
      </w:r>
      <w:r>
        <w:rPr/>
        <w:t>元，履约 保函保证金</w:t>
      </w:r>
      <w:r>
        <w:rPr>
          <w:rFonts w:ascii="宋体" w:hAnsi="宋体" w:cs="宋体" w:eastAsia="宋体" w:hint="default"/>
        </w:rPr>
        <w:t>8,947,279.84</w:t>
      </w:r>
      <w:r>
        <w:rPr/>
        <w:t>元。</w:t>
      </w:r>
    </w:p>
    <w:p>
      <w:pPr>
        <w:pStyle w:val="BodyText"/>
        <w:spacing w:line="240" w:lineRule="auto"/>
        <w:ind w:left="1554" w:right="1121"/>
        <w:jc w:val="left"/>
      </w:pPr>
      <w:r>
        <w:rPr/>
        <w:t>②</w:t>
      </w:r>
      <w:r>
        <w:rPr>
          <w:rFonts w:ascii="宋体" w:hAnsi="宋体" w:cs="宋体" w:eastAsia="宋体" w:hint="default"/>
        </w:rPr>
        <w:t>2017</w:t>
      </w:r>
      <w:r>
        <w:rPr/>
        <w:t>年末货币资金较</w:t>
      </w:r>
      <w:r>
        <w:rPr>
          <w:rFonts w:ascii="宋体" w:hAnsi="宋体" w:cs="宋体" w:eastAsia="宋体" w:hint="default"/>
        </w:rPr>
        <w:t>2016</w:t>
      </w:r>
      <w:r>
        <w:rPr/>
        <w:t>年末减少</w:t>
      </w:r>
      <w:r>
        <w:rPr>
          <w:rFonts w:ascii="宋体" w:hAnsi="宋体" w:cs="宋体" w:eastAsia="宋体" w:hint="default"/>
        </w:rPr>
        <w:t>97,715,279.44</w:t>
      </w:r>
      <w:r>
        <w:rPr/>
        <w:t>元，减少比例为</w:t>
      </w:r>
      <w:r>
        <w:rPr>
          <w:rFonts w:ascii="宋体" w:hAnsi="宋体" w:cs="宋体" w:eastAsia="宋体" w:hint="default"/>
        </w:rPr>
        <w:t>32.75%</w:t>
      </w:r>
      <w:r>
        <w:rPr/>
        <w:t>，主要系本期对外投资较</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408" w:lineRule="auto"/>
        <w:ind w:left="1133" w:right="5798"/>
        <w:jc w:val="left"/>
        <w:rPr>
          <w:b w:val="0"/>
          <w:bCs w:val="0"/>
        </w:rPr>
      </w:pPr>
      <w:r>
        <w:rPr>
          <w:rFonts w:ascii="宋体" w:hAnsi="宋体" w:cs="宋体" w:eastAsia="宋体" w:hint="default"/>
          <w:b w:val="0"/>
          <w:bCs w:val="0"/>
        </w:rPr>
        <w:t>多所致。 </w:t>
      </w:r>
      <w:bookmarkStart w:name="2、以公允价值计量且其变动计入当期损益的金融资产" w:id="226"/>
      <w:bookmarkEnd w:id="226"/>
      <w:r>
        <w:rPr>
          <w:rFonts w:ascii="宋体" w:hAnsi="宋体" w:cs="宋体" w:eastAsia="宋体" w:hint="default"/>
          <w:b w:val="0"/>
          <w:bCs w:val="0"/>
        </w:rPr>
      </w:r>
      <w:r>
        <w:rPr>
          <w:rFonts w:ascii="宋体" w:hAnsi="宋体" w:cs="宋体" w:eastAsia="宋体" w:hint="default"/>
        </w:rPr>
        <w:t>2</w:t>
      </w:r>
      <w:r>
        <w:rPr/>
        <w:t>、以公允价值计量且其变动计入当期损益的金融资产</w:t>
      </w:r>
      <w:r>
        <w:rPr>
          <w:b w:val="0"/>
          <w:bCs w:val="0"/>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衍生金融资产" w:id="227"/>
      <w:bookmarkEnd w:id="227"/>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应收票据" w:id="228"/>
      <w:bookmarkEnd w:id="228"/>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4"/>
        <w:spacing w:line="240" w:lineRule="auto" w:before="46"/>
        <w:ind w:right="1121"/>
        <w:jc w:val="left"/>
        <w:rPr>
          <w:b w:val="0"/>
          <w:bCs w:val="0"/>
        </w:rPr>
      </w:pPr>
      <w:bookmarkStart w:name="（1）应收票据分类列示" w:id="229"/>
      <w:bookmarkEnd w:id="229"/>
      <w:r>
        <w:rPr>
          <w:b w:val="0"/>
          <w:bCs w:val="0"/>
        </w:rPr>
      </w:r>
      <w:r>
        <w:rPr/>
        <w:t>（</w:t>
      </w:r>
      <w:r>
        <w:rPr>
          <w:rFonts w:ascii="宋体" w:hAnsi="宋体" w:cs="宋体" w:eastAsia="宋体" w:hint="default"/>
        </w:rPr>
        <w:t>1</w:t>
      </w:r>
      <w:r>
        <w:rPr/>
        <w:t>）应收票据分类列示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245"/>
        <w:gridCol w:w="3129"/>
        <w:gridCol w:w="3189"/>
      </w:tblGrid>
      <w:tr>
        <w:trPr>
          <w:trHeight w:val="413" w:hRule="exact"/>
        </w:trPr>
        <w:tc>
          <w:tcPr>
            <w:tcW w:w="32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1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12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40,183,047.38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43,278,599.92</w:t>
            </w:r>
          </w:p>
        </w:tc>
      </w:tr>
      <w:tr>
        <w:trPr>
          <w:trHeight w:val="408"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129" w:type="dxa"/>
            <w:tcBorders>
              <w:top w:val="single" w:sz="6" w:space="0" w:color="000000"/>
              <w:left w:val="single" w:sz="9" w:space="0" w:color="D2D2D2"/>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154,975.07</w:t>
            </w:r>
          </w:p>
        </w:tc>
      </w:tr>
      <w:tr>
        <w:trPr>
          <w:trHeight w:val="415" w:hRule="exact"/>
        </w:trPr>
        <w:tc>
          <w:tcPr>
            <w:tcW w:w="32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3129"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40,183,047.38</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43,433,574.99</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2）期末公司已质押的应收票据" w:id="230"/>
      <w:bookmarkEnd w:id="230"/>
      <w:r>
        <w:rPr>
          <w:b w:val="0"/>
          <w:bCs w:val="0"/>
        </w:rPr>
      </w:r>
      <w:r>
        <w:rPr/>
        <w:t>（</w:t>
      </w:r>
      <w:r>
        <w:rPr>
          <w:rFonts w:ascii="宋体" w:hAnsi="宋体" w:cs="宋体" w:eastAsia="宋体" w:hint="default"/>
        </w:rPr>
        <w:t>2</w:t>
      </w:r>
      <w:r>
        <w:rPr/>
        <w:t>）期末公司已质押的应收票据</w:t>
      </w:r>
      <w:r>
        <w:rPr>
          <w:b w:val="0"/>
          <w:bCs w:val="0"/>
        </w:rPr>
      </w:r>
    </w:p>
    <w:p>
      <w:pPr>
        <w:spacing w:line="240" w:lineRule="auto" w:before="4"/>
        <w:rPr>
          <w:rFonts w:ascii="宋体" w:hAnsi="宋体" w:cs="宋体" w:eastAsia="宋体" w:hint="default"/>
          <w:b/>
          <w:bCs/>
          <w:sz w:val="13"/>
          <w:szCs w:val="13"/>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125" w:type="dxa"/>
        <w:tblLayout w:type="fixed"/>
        <w:tblCellMar>
          <w:top w:w="0" w:type="dxa"/>
          <w:left w:w="0" w:type="dxa"/>
          <w:bottom w:w="0" w:type="dxa"/>
          <w:right w:w="0" w:type="dxa"/>
        </w:tblCellMar>
        <w:tblLook w:val="01E0"/>
      </w:tblPr>
      <w:tblGrid>
        <w:gridCol w:w="3245"/>
        <w:gridCol w:w="6317"/>
      </w:tblGrid>
      <w:tr>
        <w:trPr>
          <w:trHeight w:val="413" w:hRule="exact"/>
        </w:trPr>
        <w:tc>
          <w:tcPr>
            <w:tcW w:w="32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631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8"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6317"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200,000.00</w:t>
            </w:r>
          </w:p>
        </w:tc>
      </w:tr>
      <w:tr>
        <w:trPr>
          <w:trHeight w:val="415" w:hRule="exact"/>
        </w:trPr>
        <w:tc>
          <w:tcPr>
            <w:tcW w:w="32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6317"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200,000.00</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3）期末公司已背书或贴现且在资产负债表日尚未到期的应收票据" w:id="231"/>
      <w:bookmarkEnd w:id="231"/>
      <w:r>
        <w:rPr>
          <w:b w:val="0"/>
          <w:bCs w:val="0"/>
        </w:rPr>
      </w: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13"/>
          <w:szCs w:val="13"/>
        </w:rPr>
      </w:pPr>
    </w:p>
    <w:p>
      <w:pPr>
        <w:spacing w:before="44"/>
        <w:ind w:left="0" w:right="134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125" w:type="dxa"/>
        <w:tblLayout w:type="fixed"/>
        <w:tblCellMar>
          <w:top w:w="0" w:type="dxa"/>
          <w:left w:w="0" w:type="dxa"/>
          <w:bottom w:w="0" w:type="dxa"/>
          <w:right w:w="0" w:type="dxa"/>
        </w:tblCellMar>
        <w:tblLook w:val="01E0"/>
      </w:tblPr>
      <w:tblGrid>
        <w:gridCol w:w="3245"/>
        <w:gridCol w:w="3129"/>
        <w:gridCol w:w="3189"/>
      </w:tblGrid>
      <w:tr>
        <w:trPr>
          <w:trHeight w:val="413" w:hRule="exact"/>
        </w:trPr>
        <w:tc>
          <w:tcPr>
            <w:tcW w:w="32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1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8"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12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39,249,025.00</w:t>
            </w: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2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129" w:type="dxa"/>
            <w:tcBorders>
              <w:top w:val="single" w:sz="6" w:space="0" w:color="000000"/>
              <w:left w:val="single" w:sz="9" w:space="0" w:color="D2D2D2"/>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5,000,000.00</w:t>
            </w:r>
          </w:p>
        </w:tc>
      </w:tr>
      <w:tr>
        <w:trPr>
          <w:trHeight w:val="415" w:hRule="exact"/>
        </w:trPr>
        <w:tc>
          <w:tcPr>
            <w:tcW w:w="32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3129"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39,249,025.00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5,000,000.00</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4）期末公司因出票人未履约而将其转应收账款的票据" w:id="232"/>
      <w:bookmarkEnd w:id="232"/>
      <w:r>
        <w:rPr>
          <w:b w:val="0"/>
          <w:bCs w:val="0"/>
        </w:rPr>
      </w:r>
      <w:r>
        <w:rPr/>
        <w:t>（</w:t>
      </w:r>
      <w:r>
        <w:rPr>
          <w:rFonts w:ascii="宋体" w:hAnsi="宋体" w:cs="宋体" w:eastAsia="宋体"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应收账款" w:id="233"/>
      <w:bookmarkEnd w:id="233"/>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46"/>
        <w:ind w:right="1121"/>
        <w:jc w:val="left"/>
        <w:rPr>
          <w:b w:val="0"/>
          <w:bCs w:val="0"/>
        </w:rPr>
      </w:pPr>
      <w:bookmarkStart w:name="（1）应收账款分类披露" w:id="234"/>
      <w:bookmarkEnd w:id="234"/>
      <w:r>
        <w:rPr>
          <w:b w:val="0"/>
          <w:bCs w:val="0"/>
        </w:rPr>
      </w:r>
      <w:r>
        <w:rPr/>
        <w:t>（</w:t>
      </w:r>
      <w:r>
        <w:rPr>
          <w:rFonts w:ascii="宋体" w:hAnsi="宋体" w:cs="宋体" w:eastAsia="宋体" w:hint="default"/>
        </w:rPr>
        <w:t>1</w:t>
      </w:r>
      <w:r>
        <w:rPr/>
        <w:t>）应收账款分类披露</w:t>
      </w:r>
      <w:r>
        <w:rPr>
          <w:b w:val="0"/>
          <w:bCs w:val="0"/>
        </w:rPr>
      </w:r>
    </w:p>
    <w:p>
      <w:pPr>
        <w:spacing w:line="240" w:lineRule="auto" w:before="7"/>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118" w:type="dxa"/>
        <w:tblLayout w:type="fixed"/>
        <w:tblCellMar>
          <w:top w:w="0" w:type="dxa"/>
          <w:left w:w="0" w:type="dxa"/>
          <w:bottom w:w="0" w:type="dxa"/>
          <w:right w:w="0" w:type="dxa"/>
        </w:tblCellMar>
        <w:tblLook w:val="01E0"/>
      </w:tblPr>
      <w:tblGrid>
        <w:gridCol w:w="3110"/>
        <w:gridCol w:w="1569"/>
        <w:gridCol w:w="852"/>
        <w:gridCol w:w="1416"/>
        <w:gridCol w:w="993"/>
        <w:gridCol w:w="1701"/>
      </w:tblGrid>
      <w:tr>
        <w:trPr>
          <w:trHeight w:val="335" w:hRule="exact"/>
        </w:trPr>
        <w:tc>
          <w:tcPr>
            <w:tcW w:w="311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6531"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1" w:hRule="exact"/>
        </w:trPr>
        <w:tc>
          <w:tcPr>
            <w:tcW w:w="311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2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1"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49" w:hRule="exact"/>
        </w:trPr>
        <w:tc>
          <w:tcPr>
            <w:tcW w:w="3110" w:type="dxa"/>
            <w:vMerge/>
            <w:tcBorders>
              <w:left w:val="single" w:sz="12" w:space="0" w:color="000000"/>
              <w:bottom w:val="nil" w:sz="6" w:space="0" w:color="auto"/>
              <w:right w:val="single" w:sz="6" w:space="0" w:color="000000"/>
            </w:tcBorders>
            <w:shd w:val="clear" w:color="auto" w:fill="D2D2D2"/>
          </w:tcPr>
          <w:p>
            <w:pPr/>
          </w:p>
        </w:tc>
        <w:tc>
          <w:tcPr>
            <w:tcW w:w="2421" w:type="dxa"/>
            <w:gridSpan w:val="2"/>
            <w:vMerge/>
            <w:tcBorders>
              <w:left w:val="single" w:sz="6" w:space="0" w:color="000000"/>
              <w:bottom w:val="single" w:sz="6" w:space="0" w:color="000000"/>
              <w:right w:val="single" w:sz="6" w:space="0" w:color="000000"/>
            </w:tcBorders>
            <w:shd w:val="clear" w:color="auto" w:fill="D2D2D2"/>
          </w:tcPr>
          <w:p>
            <w:pPr/>
          </w:p>
        </w:tc>
        <w:tc>
          <w:tcPr>
            <w:tcW w:w="2409" w:type="dxa"/>
            <w:gridSpan w:val="2"/>
            <w:vMerge/>
            <w:tcBorders>
              <w:left w:val="single" w:sz="6" w:space="0" w:color="000000"/>
              <w:bottom w:val="single" w:sz="6" w:space="0" w:color="000000"/>
              <w:right w:val="single" w:sz="6" w:space="0" w:color="000000"/>
            </w:tcBorders>
            <w:shd w:val="clear" w:color="auto" w:fill="D2D2D2"/>
          </w:tcPr>
          <w:p>
            <w:pPr/>
          </w:p>
        </w:tc>
        <w:tc>
          <w:tcPr>
            <w:tcW w:w="1701"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3" w:hRule="exact"/>
        </w:trPr>
        <w:tc>
          <w:tcPr>
            <w:tcW w:w="3110" w:type="dxa"/>
            <w:vMerge w:val="restart"/>
            <w:tcBorders>
              <w:top w:val="nil" w:sz="6" w:space="0" w:color="auto"/>
              <w:left w:val="single" w:sz="12" w:space="0" w:color="000000"/>
              <w:right w:val="single" w:sz="6" w:space="0" w:color="000000"/>
            </w:tcBorders>
            <w:shd w:val="clear" w:color="auto" w:fill="D2D2D2"/>
          </w:tcPr>
          <w:p>
            <w:pPr/>
          </w:p>
        </w:tc>
        <w:tc>
          <w:tcPr>
            <w:tcW w:w="156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7"/>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7"/>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01" w:type="dxa"/>
            <w:vMerge/>
            <w:tcBorders>
              <w:left w:val="single" w:sz="6" w:space="0" w:color="000000"/>
              <w:bottom w:val="nil" w:sz="6" w:space="0" w:color="auto"/>
              <w:right w:val="single" w:sz="12" w:space="0" w:color="000000"/>
            </w:tcBorders>
            <w:shd w:val="clear" w:color="auto" w:fill="D2D2D2"/>
          </w:tcPr>
          <w:p>
            <w:pPr/>
          </w:p>
        </w:tc>
      </w:tr>
      <w:tr>
        <w:trPr>
          <w:trHeight w:val="170" w:hRule="exact"/>
        </w:trPr>
        <w:tc>
          <w:tcPr>
            <w:tcW w:w="3110" w:type="dxa"/>
            <w:vMerge/>
            <w:tcBorders>
              <w:left w:val="single" w:sz="12" w:space="0" w:color="000000"/>
              <w:bottom w:val="single" w:sz="6" w:space="0" w:color="000000"/>
              <w:right w:val="single" w:sz="6" w:space="0" w:color="000000"/>
            </w:tcBorders>
            <w:shd w:val="clear" w:color="auto" w:fill="D2D2D2"/>
          </w:tcPr>
          <w:p>
            <w:pPr/>
          </w:p>
        </w:tc>
        <w:tc>
          <w:tcPr>
            <w:tcW w:w="1569" w:type="dxa"/>
            <w:vMerge/>
            <w:tcBorders>
              <w:left w:val="single" w:sz="6" w:space="0" w:color="000000"/>
              <w:bottom w:val="single" w:sz="6" w:space="0" w:color="000000"/>
              <w:right w:val="single" w:sz="6" w:space="0" w:color="000000"/>
            </w:tcBorders>
            <w:shd w:val="clear" w:color="auto" w:fill="D2D2D2"/>
          </w:tcPr>
          <w:p>
            <w:pPr/>
          </w:p>
        </w:tc>
        <w:tc>
          <w:tcPr>
            <w:tcW w:w="852" w:type="dxa"/>
            <w:vMerge/>
            <w:tcBorders>
              <w:left w:val="single" w:sz="6" w:space="0" w:color="000000"/>
              <w:bottom w:val="single" w:sz="6" w:space="0" w:color="000000"/>
              <w:right w:val="single" w:sz="6" w:space="0" w:color="000000"/>
            </w:tcBorders>
            <w:shd w:val="clear" w:color="auto" w:fill="D2D2D2"/>
          </w:tcPr>
          <w:p>
            <w:pPr/>
          </w:p>
        </w:tc>
        <w:tc>
          <w:tcPr>
            <w:tcW w:w="1416" w:type="dxa"/>
            <w:vMerge/>
            <w:tcBorders>
              <w:left w:val="single" w:sz="6" w:space="0" w:color="000000"/>
              <w:bottom w:val="single" w:sz="6" w:space="0" w:color="000000"/>
              <w:right w:val="single" w:sz="6" w:space="0" w:color="000000"/>
            </w:tcBorders>
            <w:shd w:val="clear" w:color="auto" w:fill="D2D2D2"/>
          </w:tcPr>
          <w:p>
            <w:pPr/>
          </w:p>
        </w:tc>
        <w:tc>
          <w:tcPr>
            <w:tcW w:w="993" w:type="dxa"/>
            <w:vMerge/>
            <w:tcBorders>
              <w:left w:val="single" w:sz="6" w:space="0" w:color="000000"/>
              <w:bottom w:val="single" w:sz="6" w:space="0" w:color="000000"/>
              <w:right w:val="single" w:sz="6" w:space="0" w:color="000000"/>
            </w:tcBorders>
            <w:shd w:val="clear" w:color="auto" w:fill="D2D2D2"/>
          </w:tcPr>
          <w:p>
            <w:pPr/>
          </w:p>
        </w:tc>
        <w:tc>
          <w:tcPr>
            <w:tcW w:w="1701"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640" w:hRule="exact"/>
        </w:trPr>
        <w:tc>
          <w:tcPr>
            <w:tcW w:w="3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2"/>
              <w:ind w:left="13" w:right="12"/>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 收账款</w:t>
            </w:r>
          </w:p>
        </w:tc>
        <w:tc>
          <w:tcPr>
            <w:tcW w:w="1569" w:type="dxa"/>
            <w:tcBorders>
              <w:top w:val="single" w:sz="6" w:space="0" w:color="000000"/>
              <w:left w:val="single" w:sz="14" w:space="0" w:color="D2D2D2"/>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3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2"/>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 收账款</w:t>
            </w:r>
          </w:p>
        </w:tc>
        <w:tc>
          <w:tcPr>
            <w:tcW w:w="15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638,904,739.47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49,687,950.79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7.78%</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589,216,788.68</w:t>
            </w:r>
          </w:p>
        </w:tc>
      </w:tr>
      <w:tr>
        <w:trPr>
          <w:trHeight w:val="640" w:hRule="exact"/>
        </w:trPr>
        <w:tc>
          <w:tcPr>
            <w:tcW w:w="311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2"/>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 应收账款</w:t>
            </w:r>
          </w:p>
        </w:tc>
        <w:tc>
          <w:tcPr>
            <w:tcW w:w="1569" w:type="dxa"/>
            <w:tcBorders>
              <w:top w:val="single" w:sz="6" w:space="0" w:color="000000"/>
              <w:left w:val="single" w:sz="14" w:space="0" w:color="D2D2D2"/>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11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638,904,739.47</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100.00%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49,687,950.79</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7.78%</w:t>
            </w:r>
          </w:p>
        </w:tc>
        <w:tc>
          <w:tcPr>
            <w:tcW w:w="17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589,216,788.68</w:t>
            </w:r>
          </w:p>
        </w:tc>
      </w:tr>
    </w:tbl>
    <w:p>
      <w:pPr>
        <w:spacing w:line="240" w:lineRule="auto" w:before="1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3103"/>
        <w:gridCol w:w="1569"/>
        <w:gridCol w:w="852"/>
        <w:gridCol w:w="1416"/>
        <w:gridCol w:w="993"/>
        <w:gridCol w:w="1701"/>
      </w:tblGrid>
      <w:tr>
        <w:trPr>
          <w:trHeight w:val="414" w:hRule="exact"/>
        </w:trPr>
        <w:tc>
          <w:tcPr>
            <w:tcW w:w="310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6531"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2" w:hRule="exact"/>
        </w:trPr>
        <w:tc>
          <w:tcPr>
            <w:tcW w:w="310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242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1"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8" w:hRule="exact"/>
        </w:trPr>
        <w:tc>
          <w:tcPr>
            <w:tcW w:w="3103" w:type="dxa"/>
            <w:vMerge/>
            <w:tcBorders>
              <w:left w:val="single" w:sz="12" w:space="0" w:color="000000"/>
              <w:bottom w:val="nil" w:sz="6" w:space="0" w:color="auto"/>
              <w:right w:val="single" w:sz="6" w:space="0" w:color="000000"/>
            </w:tcBorders>
            <w:shd w:val="clear" w:color="auto" w:fill="D2D2D2"/>
          </w:tcPr>
          <w:p>
            <w:pPr/>
          </w:p>
        </w:tc>
        <w:tc>
          <w:tcPr>
            <w:tcW w:w="2421" w:type="dxa"/>
            <w:gridSpan w:val="2"/>
            <w:vMerge/>
            <w:tcBorders>
              <w:left w:val="single" w:sz="6" w:space="0" w:color="000000"/>
              <w:bottom w:val="single" w:sz="6" w:space="0" w:color="000000"/>
              <w:right w:val="single" w:sz="6" w:space="0" w:color="000000"/>
            </w:tcBorders>
            <w:shd w:val="clear" w:color="auto" w:fill="D2D2D2"/>
          </w:tcPr>
          <w:p>
            <w:pPr/>
          </w:p>
        </w:tc>
        <w:tc>
          <w:tcPr>
            <w:tcW w:w="2409" w:type="dxa"/>
            <w:gridSpan w:val="2"/>
            <w:vMerge/>
            <w:tcBorders>
              <w:left w:val="single" w:sz="6" w:space="0" w:color="000000"/>
              <w:bottom w:val="single" w:sz="6" w:space="0" w:color="000000"/>
              <w:right w:val="single" w:sz="6" w:space="0" w:color="000000"/>
            </w:tcBorders>
            <w:shd w:val="clear" w:color="auto" w:fill="D2D2D2"/>
          </w:tcPr>
          <w:p>
            <w:pPr/>
          </w:p>
        </w:tc>
        <w:tc>
          <w:tcPr>
            <w:tcW w:w="1701"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3" w:hRule="exact"/>
        </w:trPr>
        <w:tc>
          <w:tcPr>
            <w:tcW w:w="3103" w:type="dxa"/>
            <w:vMerge w:val="restart"/>
            <w:tcBorders>
              <w:top w:val="nil" w:sz="6" w:space="0" w:color="auto"/>
              <w:left w:val="single" w:sz="12" w:space="0" w:color="000000"/>
              <w:right w:val="single" w:sz="6" w:space="0" w:color="000000"/>
            </w:tcBorders>
            <w:shd w:val="clear" w:color="auto" w:fill="D2D2D2"/>
          </w:tcPr>
          <w:p>
            <w:pPr/>
          </w:p>
        </w:tc>
        <w:tc>
          <w:tcPr>
            <w:tcW w:w="156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8"/>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8"/>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01"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3103" w:type="dxa"/>
            <w:vMerge/>
            <w:tcBorders>
              <w:left w:val="single" w:sz="12" w:space="0" w:color="000000"/>
              <w:bottom w:val="single" w:sz="6" w:space="0" w:color="000000"/>
              <w:right w:val="single" w:sz="6" w:space="0" w:color="000000"/>
            </w:tcBorders>
            <w:shd w:val="clear" w:color="auto" w:fill="D2D2D2"/>
          </w:tcPr>
          <w:p>
            <w:pPr/>
          </w:p>
        </w:tc>
        <w:tc>
          <w:tcPr>
            <w:tcW w:w="1569" w:type="dxa"/>
            <w:vMerge/>
            <w:tcBorders>
              <w:left w:val="single" w:sz="6" w:space="0" w:color="000000"/>
              <w:bottom w:val="single" w:sz="6" w:space="0" w:color="000000"/>
              <w:right w:val="single" w:sz="6" w:space="0" w:color="000000"/>
            </w:tcBorders>
            <w:shd w:val="clear" w:color="auto" w:fill="D2D2D2"/>
          </w:tcPr>
          <w:p>
            <w:pPr/>
          </w:p>
        </w:tc>
        <w:tc>
          <w:tcPr>
            <w:tcW w:w="852" w:type="dxa"/>
            <w:vMerge/>
            <w:tcBorders>
              <w:left w:val="single" w:sz="6" w:space="0" w:color="000000"/>
              <w:bottom w:val="single" w:sz="6" w:space="0" w:color="000000"/>
              <w:right w:val="single" w:sz="6" w:space="0" w:color="000000"/>
            </w:tcBorders>
            <w:shd w:val="clear" w:color="auto" w:fill="D2D2D2"/>
          </w:tcPr>
          <w:p>
            <w:pPr/>
          </w:p>
        </w:tc>
        <w:tc>
          <w:tcPr>
            <w:tcW w:w="1416" w:type="dxa"/>
            <w:vMerge/>
            <w:tcBorders>
              <w:left w:val="single" w:sz="6" w:space="0" w:color="000000"/>
              <w:bottom w:val="single" w:sz="6" w:space="0" w:color="000000"/>
              <w:right w:val="single" w:sz="6" w:space="0" w:color="000000"/>
            </w:tcBorders>
            <w:shd w:val="clear" w:color="auto" w:fill="D2D2D2"/>
          </w:tcPr>
          <w:p>
            <w:pPr/>
          </w:p>
        </w:tc>
        <w:tc>
          <w:tcPr>
            <w:tcW w:w="993" w:type="dxa"/>
            <w:vMerge/>
            <w:tcBorders>
              <w:left w:val="single" w:sz="6" w:space="0" w:color="000000"/>
              <w:bottom w:val="single" w:sz="6" w:space="0" w:color="000000"/>
              <w:right w:val="single" w:sz="6" w:space="0" w:color="000000"/>
            </w:tcBorders>
            <w:shd w:val="clear" w:color="auto" w:fill="D2D2D2"/>
          </w:tcPr>
          <w:p>
            <w:pPr/>
          </w:p>
        </w:tc>
        <w:tc>
          <w:tcPr>
            <w:tcW w:w="1701"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19"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12"/>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 收账款</w:t>
            </w:r>
          </w:p>
        </w:tc>
        <w:tc>
          <w:tcPr>
            <w:tcW w:w="1569" w:type="dxa"/>
            <w:tcBorders>
              <w:top w:val="single" w:sz="6" w:space="0" w:color="000000"/>
              <w:left w:val="single" w:sz="14" w:space="0" w:color="D2D2D2"/>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12"/>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 收账款</w:t>
            </w:r>
          </w:p>
        </w:tc>
        <w:tc>
          <w:tcPr>
            <w:tcW w:w="15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795,243,374.07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48,797,308.13</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6.14%</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746,446,065.94</w:t>
            </w:r>
          </w:p>
        </w:tc>
      </w:tr>
      <w:tr>
        <w:trPr>
          <w:trHeight w:val="719"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3"/>
              <w:ind w:left="6" w:right="12"/>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 应收账款</w:t>
            </w:r>
          </w:p>
        </w:tc>
        <w:tc>
          <w:tcPr>
            <w:tcW w:w="1569" w:type="dxa"/>
            <w:tcBorders>
              <w:top w:val="single" w:sz="6" w:space="0" w:color="000000"/>
              <w:left w:val="single" w:sz="14" w:space="0" w:color="D2D2D2"/>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795,243,374.07</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48,797,308.13</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6.14%</w:t>
            </w:r>
          </w:p>
        </w:tc>
        <w:tc>
          <w:tcPr>
            <w:tcW w:w="17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746,446,065.94</w:t>
            </w:r>
          </w:p>
        </w:tc>
      </w:tr>
    </w:tbl>
    <w:p>
      <w:pPr>
        <w:pStyle w:val="BodyText"/>
        <w:spacing w:line="240" w:lineRule="auto" w:before="63"/>
        <w:ind w:left="1134" w:right="1121"/>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before="0"/>
        <w:ind w:left="1134" w:right="6132"/>
        <w:jc w:val="left"/>
      </w:pPr>
      <w:r>
        <w:rPr/>
        <w:t>□ 适用 √</w:t>
      </w:r>
      <w:r>
        <w:rPr>
          <w:spacing w:val="-1"/>
        </w:rPr>
        <w:t> </w:t>
      </w:r>
      <w:r>
        <w:rPr/>
        <w:t>不适用</w:t>
      </w:r>
      <w:r>
        <w:rPr/>
        <w:t> 组合中，按账龄分析法计提坏账准备的应收账款：</w:t>
      </w:r>
    </w:p>
    <w:p>
      <w:pPr>
        <w:pStyle w:val="BodyText"/>
        <w:spacing w:line="240" w:lineRule="auto"/>
        <w:ind w:left="1134" w:right="1121"/>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393"/>
        <w:gridCol w:w="2393"/>
        <w:gridCol w:w="2392"/>
        <w:gridCol w:w="2391"/>
      </w:tblGrid>
      <w:tr>
        <w:trPr>
          <w:trHeight w:val="415" w:hRule="exact"/>
        </w:trPr>
        <w:tc>
          <w:tcPr>
            <w:tcW w:w="239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393" w:type="dxa"/>
            <w:vMerge/>
            <w:tcBorders>
              <w:left w:val="single" w:sz="12" w:space="0" w:color="000000"/>
              <w:bottom w:val="single" w:sz="6" w:space="0" w:color="000000"/>
              <w:right w:val="single" w:sz="6" w:space="0" w:color="000000"/>
            </w:tcBorders>
            <w:shd w:val="clear" w:color="auto" w:fill="D2D2D2"/>
          </w:tcPr>
          <w:p>
            <w:pP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393,680,135.26</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11,810,404.06</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393,680,135.26</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11,810,404.06</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207,790,883.89</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20,779,088.39</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27,199,787.80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8,159,936.35</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10,219,532.52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8,938,521.99</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87.47%</w:t>
            </w:r>
          </w:p>
        </w:tc>
      </w:tr>
      <w:tr>
        <w:trPr>
          <w:trHeight w:val="41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2,349,654.43</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1,174,827.22</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393"/>
        <w:gridCol w:w="2393"/>
        <w:gridCol w:w="2392"/>
        <w:gridCol w:w="2391"/>
      </w:tblGrid>
      <w:tr>
        <w:trPr>
          <w:trHeight w:val="415"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353,944.39</w:t>
            </w:r>
          </w:p>
        </w:tc>
        <w:tc>
          <w:tcPr>
            <w:tcW w:w="2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247,761.07</w:t>
            </w:r>
          </w:p>
        </w:tc>
        <w:tc>
          <w:tcPr>
            <w:tcW w:w="23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7,515,933.70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7,515,933.70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638,890,339.47</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49,687,950.79</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7.78%</w:t>
            </w:r>
          </w:p>
        </w:tc>
      </w:tr>
    </w:tbl>
    <w:p>
      <w:pPr>
        <w:pStyle w:val="BodyText"/>
        <w:spacing w:line="408" w:lineRule="auto" w:before="63"/>
        <w:ind w:left="1554" w:right="1092" w:hanging="420"/>
        <w:jc w:val="left"/>
      </w:pPr>
      <w:r>
        <w:rPr/>
        <w:t>确定该组合依据的说明： 公司按照按信用风险特征组合计提坏账准备的应收账款分为按账龄分析法计提坏账准备的应收账款，</w:t>
      </w:r>
    </w:p>
    <w:p>
      <w:pPr>
        <w:pStyle w:val="BodyText"/>
        <w:spacing w:line="408" w:lineRule="auto"/>
        <w:ind w:left="1134" w:right="1121"/>
        <w:jc w:val="left"/>
      </w:pPr>
      <w:r>
        <w:rPr>
          <w:spacing w:val="-1"/>
        </w:rPr>
        <w:t>以及应收关联方不计提坏账的应收账款，截至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日应收关联方广东今程光一电力科技有限责任</w:t>
      </w:r>
      <w:r>
        <w:rPr>
          <w:spacing w:val="-80"/>
        </w:rPr>
        <w:t> </w:t>
      </w:r>
      <w:r>
        <w:rPr/>
        <w:t>公司余额为</w:t>
      </w:r>
      <w:r>
        <w:rPr>
          <w:rFonts w:ascii="宋体" w:hAnsi="宋体" w:cs="宋体" w:eastAsia="宋体" w:hint="default"/>
        </w:rPr>
        <w:t>14,400.00</w:t>
      </w:r>
      <w:r>
        <w:rPr/>
        <w:t>元。</w:t>
      </w:r>
    </w:p>
    <w:p>
      <w:pPr>
        <w:pStyle w:val="BodyText"/>
        <w:spacing w:line="240" w:lineRule="auto"/>
        <w:ind w:left="1134" w:right="1121"/>
        <w:jc w:val="left"/>
      </w:pPr>
      <w:r>
        <w:rPr/>
        <w:t>组合中，采用余额百分比法计提坏账准备的应收账款：</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2）本期计提、收回或转回的坏账准备情况" w:id="235"/>
      <w:bookmarkEnd w:id="235"/>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本期计提坏账准备金额</w:t>
      </w:r>
      <w:r>
        <w:rPr>
          <w:spacing w:val="-53"/>
        </w:rPr>
        <w:t> </w:t>
      </w:r>
      <w:r>
        <w:rPr>
          <w:rFonts w:ascii="宋体" w:hAnsi="宋体" w:cs="宋体" w:eastAsia="宋体" w:hint="default"/>
        </w:rPr>
        <w:t>890,642.66</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Heading4"/>
        <w:spacing w:line="240" w:lineRule="auto"/>
        <w:ind w:left="1133" w:right="1121"/>
        <w:jc w:val="left"/>
        <w:rPr>
          <w:b w:val="0"/>
          <w:bCs w:val="0"/>
        </w:rPr>
      </w:pPr>
      <w:bookmarkStart w:name="（3）本期实际核销的应收账款情况" w:id="236"/>
      <w:bookmarkEnd w:id="236"/>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134" w:right="5797" w:firstLine="0"/>
        <w:jc w:val="left"/>
        <w:rPr>
          <w:rFonts w:ascii="宋体" w:hAnsi="宋体" w:cs="宋体" w:eastAsia="宋体" w:hint="default"/>
          <w:sz w:val="18"/>
          <w:szCs w:val="18"/>
        </w:rPr>
      </w:pPr>
      <w:bookmarkStart w:name="（4）按欠款方归集的期末余额前五名的应收账款情况" w:id="237"/>
      <w:bookmarkEnd w:id="237"/>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公司是否需要遵守特殊行业的披露要求：</w:t>
      </w:r>
      <w:r>
        <w:rPr>
          <w:rFonts w:ascii="宋体" w:hAnsi="宋体" w:cs="宋体" w:eastAsia="宋体" w:hint="default"/>
          <w:sz w:val="18"/>
          <w:szCs w:val="18"/>
        </w:rPr>
        <w:t>否</w:t>
      </w:r>
    </w:p>
    <w:p>
      <w:pPr>
        <w:spacing w:before="3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985" w:type="dxa"/>
        <w:tblLayout w:type="fixed"/>
        <w:tblCellMar>
          <w:top w:w="0" w:type="dxa"/>
          <w:left w:w="0" w:type="dxa"/>
          <w:bottom w:w="0" w:type="dxa"/>
          <w:right w:w="0" w:type="dxa"/>
        </w:tblCellMar>
        <w:tblLook w:val="01E0"/>
      </w:tblPr>
      <w:tblGrid>
        <w:gridCol w:w="2979"/>
        <w:gridCol w:w="709"/>
        <w:gridCol w:w="1760"/>
        <w:gridCol w:w="1176"/>
        <w:gridCol w:w="1985"/>
        <w:gridCol w:w="1295"/>
      </w:tblGrid>
      <w:tr>
        <w:trPr>
          <w:trHeight w:val="646" w:hRule="exact"/>
        </w:trPr>
        <w:tc>
          <w:tcPr>
            <w:tcW w:w="297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166" w:right="167"/>
              <w:jc w:val="left"/>
              <w:rPr>
                <w:rFonts w:ascii="宋体" w:hAnsi="宋体" w:cs="宋体" w:eastAsia="宋体" w:hint="default"/>
                <w:sz w:val="18"/>
                <w:szCs w:val="18"/>
              </w:rPr>
            </w:pPr>
            <w:r>
              <w:rPr>
                <w:rFonts w:ascii="宋体" w:hAnsi="宋体" w:cs="宋体" w:eastAsia="宋体" w:hint="default"/>
                <w:sz w:val="18"/>
                <w:szCs w:val="18"/>
              </w:rPr>
              <w:t>款项 性质</w:t>
            </w:r>
          </w:p>
        </w:tc>
        <w:tc>
          <w:tcPr>
            <w:tcW w:w="17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账龄</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19" w:right="174" w:hanging="46"/>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r>
              <w:rPr>
                <w:rFonts w:ascii="宋体" w:hAnsi="宋体" w:cs="宋体" w:eastAsia="宋体" w:hint="default"/>
                <w:sz w:val="18"/>
                <w:szCs w:val="18"/>
              </w:rPr>
              <w:t>%</w:t>
            </w:r>
            <w:r>
              <w:rPr>
                <w:rFonts w:ascii="宋体" w:hAnsi="宋体" w:cs="宋体" w:eastAsia="宋体" w:hint="default"/>
                <w:sz w:val="18"/>
                <w:szCs w:val="18"/>
              </w:rPr>
              <w:t>）</w:t>
            </w:r>
          </w:p>
        </w:tc>
        <w:tc>
          <w:tcPr>
            <w:tcW w:w="1295"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10"/>
              <w:ind w:left="460" w:right="90"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1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国网山东省电力集团</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66"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53,186,408.14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8.32</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4,092,443.63</w:t>
            </w:r>
          </w:p>
        </w:tc>
      </w:tr>
      <w:tr>
        <w:trPr>
          <w:trHeight w:val="41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国网江苏省电力公司物资公司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66"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32,655,277.22</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38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5.11</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979,658.32</w:t>
            </w:r>
          </w:p>
        </w:tc>
      </w:tr>
      <w:tr>
        <w:trPr>
          <w:trHeight w:val="413"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中气电力装备有限公司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66"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24,011,076.44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38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3.76</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2,401,107.64</w:t>
            </w:r>
          </w:p>
        </w:tc>
      </w:tr>
      <w:tr>
        <w:trPr>
          <w:trHeight w:val="41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荆州市华茂置业有限公司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66"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23,940,170.94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38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3.75</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718,205.13</w:t>
            </w:r>
          </w:p>
        </w:tc>
      </w:tr>
      <w:tr>
        <w:trPr>
          <w:trHeight w:val="41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南昌市科陆智能电网科技有限公司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66"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16,157,373.59</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38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2.53</w:t>
            </w:r>
          </w:p>
        </w:tc>
        <w:tc>
          <w:tcPr>
            <w:tcW w:w="1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484,721.21</w:t>
            </w:r>
          </w:p>
        </w:tc>
      </w:tr>
      <w:tr>
        <w:trPr>
          <w:trHeight w:val="421" w:hRule="exact"/>
        </w:trPr>
        <w:tc>
          <w:tcPr>
            <w:tcW w:w="29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6" w:space="0" w:color="000000"/>
              <w:left w:val="single" w:sz="6" w:space="0" w:color="000000"/>
              <w:bottom w:val="single" w:sz="12" w:space="0" w:color="000000"/>
              <w:right w:val="single" w:sz="6" w:space="0" w:color="000000"/>
            </w:tcBorders>
          </w:tcPr>
          <w:p>
            <w:pP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149,950,306.33</w:t>
            </w:r>
          </w:p>
        </w:tc>
        <w:tc>
          <w:tcPr>
            <w:tcW w:w="1176"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23.47</w:t>
            </w:r>
          </w:p>
        </w:tc>
        <w:tc>
          <w:tcPr>
            <w:tcW w:w="12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sz w:val="18"/>
              </w:rPr>
              <w:t>8,676,135.93</w:t>
            </w:r>
          </w:p>
        </w:tc>
      </w:tr>
    </w:tbl>
    <w:p>
      <w:pPr>
        <w:spacing w:line="316" w:lineRule="auto" w:before="10"/>
        <w:ind w:left="1133" w:right="1121" w:firstLine="0"/>
        <w:jc w:val="left"/>
        <w:rPr>
          <w:rFonts w:ascii="宋体" w:hAnsi="宋体" w:cs="宋体" w:eastAsia="宋体" w:hint="default"/>
          <w:sz w:val="18"/>
          <w:szCs w:val="18"/>
        </w:rPr>
      </w:pPr>
      <w:r>
        <w:rPr>
          <w:rFonts w:ascii="宋体" w:hAnsi="宋体" w:cs="宋体" w:eastAsia="宋体" w:hint="default"/>
          <w:spacing w:val="-1"/>
          <w:sz w:val="18"/>
          <w:szCs w:val="18"/>
        </w:rPr>
        <w:t>注：</w:t>
      </w:r>
      <w:r>
        <w:rPr>
          <w:rFonts w:ascii="宋体" w:hAnsi="宋体" w:cs="宋体" w:eastAsia="宋体" w:hint="default"/>
          <w:spacing w:val="-1"/>
          <w:sz w:val="18"/>
          <w:szCs w:val="18"/>
        </w:rPr>
        <w:t>*</w:t>
      </w:r>
      <w:r>
        <w:rPr>
          <w:rFonts w:ascii="宋体" w:hAnsi="宋体" w:cs="宋体" w:eastAsia="宋体" w:hint="default"/>
          <w:spacing w:val="-1"/>
          <w:sz w:val="18"/>
          <w:szCs w:val="18"/>
        </w:rPr>
        <w:t>为</w:t>
      </w:r>
      <w:r>
        <w:rPr>
          <w:rFonts w:ascii="宋体" w:hAnsi="宋体" w:cs="宋体" w:eastAsia="宋体" w:hint="default"/>
          <w:spacing w:val="-1"/>
          <w:sz w:val="18"/>
          <w:szCs w:val="18"/>
        </w:rPr>
        <w:t>1</w:t>
      </w:r>
      <w:r>
        <w:rPr>
          <w:rFonts w:ascii="宋体" w:hAnsi="宋体" w:cs="宋体" w:eastAsia="宋体" w:hint="default"/>
          <w:spacing w:val="-1"/>
          <w:sz w:val="18"/>
          <w:szCs w:val="18"/>
        </w:rPr>
        <w:t>年以内</w:t>
      </w:r>
      <w:r>
        <w:rPr>
          <w:rFonts w:ascii="宋体" w:hAnsi="宋体" w:cs="宋体" w:eastAsia="宋体" w:hint="default"/>
          <w:spacing w:val="-1"/>
          <w:sz w:val="18"/>
          <w:szCs w:val="18"/>
        </w:rPr>
        <w:t>42,150,329.73</w:t>
      </w:r>
      <w:r>
        <w:rPr>
          <w:rFonts w:ascii="宋体" w:hAnsi="宋体" w:cs="宋体" w:eastAsia="宋体" w:hint="default"/>
          <w:spacing w:val="-1"/>
          <w:sz w:val="18"/>
          <w:szCs w:val="18"/>
        </w:rPr>
        <w:t>元，</w:t>
      </w:r>
      <w:r>
        <w:rPr>
          <w:rFonts w:ascii="宋体" w:hAnsi="宋体" w:cs="宋体" w:eastAsia="宋体" w:hint="default"/>
          <w:spacing w:val="-1"/>
          <w:sz w:val="18"/>
          <w:szCs w:val="18"/>
        </w:rPr>
        <w:t>1-2</w:t>
      </w:r>
      <w:r>
        <w:rPr>
          <w:rFonts w:ascii="宋体" w:hAnsi="宋体" w:cs="宋体" w:eastAsia="宋体" w:hint="default"/>
          <w:spacing w:val="-1"/>
          <w:sz w:val="18"/>
          <w:szCs w:val="18"/>
        </w:rPr>
        <w:t>年</w:t>
      </w:r>
      <w:r>
        <w:rPr>
          <w:rFonts w:ascii="宋体" w:hAnsi="宋体" w:cs="宋体" w:eastAsia="宋体" w:hint="default"/>
          <w:spacing w:val="-1"/>
          <w:sz w:val="18"/>
          <w:szCs w:val="18"/>
        </w:rPr>
        <w:t>8,430,506.90</w:t>
      </w:r>
      <w:r>
        <w:rPr>
          <w:rFonts w:ascii="宋体" w:hAnsi="宋体" w:cs="宋体" w:eastAsia="宋体" w:hint="default"/>
          <w:spacing w:val="-1"/>
          <w:sz w:val="18"/>
          <w:szCs w:val="18"/>
        </w:rPr>
        <w:t>元，</w:t>
      </w:r>
      <w:r>
        <w:rPr>
          <w:rFonts w:ascii="宋体" w:hAnsi="宋体" w:cs="宋体" w:eastAsia="宋体" w:hint="default"/>
          <w:spacing w:val="-1"/>
          <w:sz w:val="18"/>
          <w:szCs w:val="18"/>
        </w:rPr>
        <w:t>2-3</w:t>
      </w:r>
      <w:r>
        <w:rPr>
          <w:rFonts w:ascii="宋体" w:hAnsi="宋体" w:cs="宋体" w:eastAsia="宋体" w:hint="default"/>
          <w:spacing w:val="-1"/>
          <w:sz w:val="18"/>
          <w:szCs w:val="18"/>
        </w:rPr>
        <w:t>年</w:t>
      </w:r>
      <w:r>
        <w:rPr>
          <w:rFonts w:ascii="宋体" w:hAnsi="宋体" w:cs="宋体" w:eastAsia="宋体" w:hint="default"/>
          <w:spacing w:val="-1"/>
          <w:sz w:val="18"/>
          <w:szCs w:val="18"/>
        </w:rPr>
        <w:t>740,602.29</w:t>
      </w:r>
      <w:r>
        <w:rPr>
          <w:rFonts w:ascii="宋体" w:hAnsi="宋体" w:cs="宋体" w:eastAsia="宋体" w:hint="default"/>
          <w:spacing w:val="-1"/>
          <w:sz w:val="18"/>
          <w:szCs w:val="18"/>
        </w:rPr>
        <w:t>元，</w:t>
      </w:r>
      <w:r>
        <w:rPr>
          <w:rFonts w:ascii="宋体" w:hAnsi="宋体" w:cs="宋体" w:eastAsia="宋体" w:hint="default"/>
          <w:spacing w:val="-1"/>
          <w:sz w:val="18"/>
          <w:szCs w:val="18"/>
        </w:rPr>
        <w:t>3-4</w:t>
      </w:r>
      <w:r>
        <w:rPr>
          <w:rFonts w:ascii="宋体" w:hAnsi="宋体" w:cs="宋体" w:eastAsia="宋体" w:hint="default"/>
          <w:spacing w:val="-1"/>
          <w:sz w:val="18"/>
          <w:szCs w:val="18"/>
        </w:rPr>
        <w:t>年</w:t>
      </w:r>
      <w:r>
        <w:rPr>
          <w:rFonts w:ascii="宋体" w:hAnsi="宋体" w:cs="宋体" w:eastAsia="宋体" w:hint="default"/>
          <w:spacing w:val="-1"/>
          <w:sz w:val="18"/>
          <w:szCs w:val="18"/>
        </w:rPr>
        <w:t>5,366.43</w:t>
      </w:r>
      <w:r>
        <w:rPr>
          <w:rFonts w:ascii="宋体" w:hAnsi="宋体" w:cs="宋体" w:eastAsia="宋体" w:hint="default"/>
          <w:spacing w:val="-1"/>
          <w:sz w:val="18"/>
          <w:szCs w:val="18"/>
        </w:rPr>
        <w:t>元，</w:t>
      </w:r>
      <w:r>
        <w:rPr>
          <w:rFonts w:ascii="宋体" w:hAnsi="宋体" w:cs="宋体" w:eastAsia="宋体" w:hint="default"/>
          <w:spacing w:val="-1"/>
          <w:sz w:val="18"/>
          <w:szCs w:val="18"/>
        </w:rPr>
        <w:t>4-5</w:t>
      </w:r>
      <w:r>
        <w:rPr>
          <w:rFonts w:ascii="宋体" w:hAnsi="宋体" w:cs="宋体" w:eastAsia="宋体" w:hint="default"/>
          <w:spacing w:val="-1"/>
          <w:sz w:val="18"/>
          <w:szCs w:val="18"/>
        </w:rPr>
        <w:t>年</w:t>
      </w:r>
      <w:r>
        <w:rPr>
          <w:rFonts w:ascii="宋体" w:hAnsi="宋体" w:cs="宋体" w:eastAsia="宋体" w:hint="default"/>
          <w:spacing w:val="-1"/>
          <w:sz w:val="18"/>
          <w:szCs w:val="18"/>
        </w:rPr>
        <w:t>331,945.50</w:t>
      </w:r>
      <w:r>
        <w:rPr>
          <w:rFonts w:ascii="宋体" w:hAnsi="宋体" w:cs="宋体" w:eastAsia="宋体" w:hint="default"/>
          <w:spacing w:val="-1"/>
          <w:sz w:val="18"/>
          <w:szCs w:val="18"/>
        </w:rPr>
        <w:t>元，</w:t>
      </w:r>
      <w:r>
        <w:rPr>
          <w:rFonts w:ascii="宋体" w:hAnsi="宋体" w:cs="宋体" w:eastAsia="宋体" w:hint="default"/>
          <w:spacing w:val="-1"/>
          <w:sz w:val="18"/>
          <w:szCs w:val="18"/>
        </w:rPr>
        <w:t>5</w:t>
      </w:r>
      <w:r>
        <w:rPr>
          <w:rFonts w:ascii="宋体" w:hAnsi="宋体" w:cs="宋体" w:eastAsia="宋体" w:hint="default"/>
          <w:spacing w:val="-87"/>
          <w:sz w:val="18"/>
          <w:szCs w:val="18"/>
        </w:rPr>
        <w:t> </w:t>
      </w:r>
      <w:r>
        <w:rPr>
          <w:rFonts w:ascii="宋体" w:hAnsi="宋体" w:cs="宋体" w:eastAsia="宋体" w:hint="default"/>
          <w:sz w:val="18"/>
          <w:szCs w:val="18"/>
        </w:rPr>
        <w:t>年以上</w:t>
      </w:r>
      <w:r>
        <w:rPr>
          <w:rFonts w:ascii="宋体" w:hAnsi="宋体" w:cs="宋体" w:eastAsia="宋体" w:hint="default"/>
          <w:sz w:val="18"/>
          <w:szCs w:val="18"/>
        </w:rPr>
        <w:t>1,527,657.29</w:t>
      </w:r>
      <w:r>
        <w:rPr>
          <w:rFonts w:ascii="宋体" w:hAnsi="宋体" w:cs="宋体" w:eastAsia="宋体" w:hint="default"/>
          <w:sz w:val="18"/>
          <w:szCs w:val="18"/>
        </w:rPr>
        <w:t>元。</w:t>
      </w:r>
    </w:p>
    <w:p>
      <w:pPr>
        <w:spacing w:line="240" w:lineRule="auto" w:before="5"/>
        <w:rPr>
          <w:rFonts w:ascii="宋体" w:hAnsi="宋体" w:cs="宋体" w:eastAsia="宋体" w:hint="default"/>
          <w:sz w:val="17"/>
          <w:szCs w:val="17"/>
        </w:rPr>
      </w:pPr>
    </w:p>
    <w:p>
      <w:pPr>
        <w:pStyle w:val="Heading4"/>
        <w:spacing w:line="240" w:lineRule="auto"/>
        <w:ind w:right="1121"/>
        <w:jc w:val="left"/>
        <w:rPr>
          <w:b w:val="0"/>
          <w:bCs w:val="0"/>
        </w:rPr>
      </w:pPr>
      <w:bookmarkStart w:name="（5）因金融资产转移而终止确认的应收账款" w:id="238"/>
      <w:bookmarkEnd w:id="238"/>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6）转移应收账款且继续涉入形成的资产、负债金额" w:id="239"/>
      <w:bookmarkEnd w:id="239"/>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5"/>
        <w:rPr>
          <w:rFonts w:ascii="宋体" w:hAnsi="宋体" w:cs="宋体" w:eastAsia="宋体" w:hint="default"/>
          <w:sz w:val="25"/>
          <w:szCs w:val="25"/>
        </w:rPr>
      </w:pPr>
    </w:p>
    <w:p>
      <w:pPr>
        <w:pStyle w:val="Heading4"/>
        <w:spacing w:line="240" w:lineRule="auto" w:before="35"/>
        <w:ind w:left="1133" w:right="1121"/>
        <w:jc w:val="left"/>
        <w:rPr>
          <w:b w:val="0"/>
          <w:bCs w:val="0"/>
        </w:rPr>
      </w:pPr>
      <w:bookmarkStart w:name="6、预付款项" w:id="240"/>
      <w:bookmarkEnd w:id="240"/>
      <w:r>
        <w:rPr>
          <w:b w:val="0"/>
          <w:bCs w:val="0"/>
        </w:rPr>
      </w:r>
      <w:r>
        <w:rPr>
          <w:rFonts w:ascii="宋体" w:hAnsi="宋体" w:cs="宋体" w:eastAsia="宋体" w:hint="default"/>
        </w:rPr>
        <w:t>6</w:t>
      </w:r>
      <w:r>
        <w:rPr/>
        <w:t>、预付款项</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000" w:top="1040" w:bottom="1180" w:left="0" w:right="0"/>
        </w:sectPr>
      </w:pPr>
    </w:p>
    <w:p>
      <w:pPr>
        <w:pStyle w:val="Heading4"/>
        <w:spacing w:line="240" w:lineRule="auto" w:before="35"/>
        <w:ind w:left="1133" w:right="0"/>
        <w:jc w:val="left"/>
        <w:rPr>
          <w:b w:val="0"/>
          <w:bCs w:val="0"/>
        </w:rPr>
      </w:pPr>
      <w:bookmarkStart w:name="（1）预付款项按账龄列示" w:id="241"/>
      <w:bookmarkEnd w:id="241"/>
      <w:r>
        <w:rPr>
          <w:b w:val="0"/>
          <w:bCs w:val="0"/>
        </w:rPr>
      </w:r>
      <w:r>
        <w:rPr>
          <w:w w:val="95"/>
        </w:rPr>
        <w:t>（</w:t>
      </w:r>
      <w:r>
        <w:rPr>
          <w:rFonts w:ascii="宋体" w:hAnsi="宋体" w:cs="宋体" w:eastAsia="宋体" w:hint="default"/>
          <w:w w:val="95"/>
        </w:rPr>
        <w:t>1</w:t>
      </w:r>
      <w:r>
        <w:rPr>
          <w:w w:val="95"/>
        </w:rPr>
        <w:t>）预付款项按账龄列示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558" w:space="5362"/>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96"/>
        <w:gridCol w:w="1926"/>
        <w:gridCol w:w="1914"/>
        <w:gridCol w:w="1773"/>
        <w:gridCol w:w="2056"/>
      </w:tblGrid>
      <w:tr>
        <w:trPr>
          <w:trHeight w:val="218" w:hRule="exact"/>
        </w:trPr>
        <w:tc>
          <w:tcPr>
            <w:tcW w:w="189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4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9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6" w:space="0" w:color="000000"/>
              <w:bottom w:val="single" w:sz="6" w:space="0" w:color="000000"/>
              <w:right w:val="single" w:sz="6" w:space="0" w:color="000000"/>
            </w:tcBorders>
            <w:shd w:val="clear" w:color="auto" w:fill="D2D2D2"/>
          </w:tcPr>
          <w:p>
            <w:pPr/>
          </w:p>
        </w:tc>
        <w:tc>
          <w:tcPr>
            <w:tcW w:w="3829"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896" w:type="dxa"/>
            <w:vMerge/>
            <w:tcBorders>
              <w:left w:val="single" w:sz="12" w:space="0" w:color="000000"/>
              <w:bottom w:val="nil" w:sz="6" w:space="0" w:color="auto"/>
              <w:right w:val="single" w:sz="6" w:space="0" w:color="000000"/>
            </w:tcBorders>
            <w:shd w:val="clear" w:color="auto" w:fill="D2D2D2"/>
          </w:tcPr>
          <w:p>
            <w:pPr/>
          </w:p>
        </w:tc>
        <w:tc>
          <w:tcPr>
            <w:tcW w:w="19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7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5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0" w:hRule="exact"/>
        </w:trPr>
        <w:tc>
          <w:tcPr>
            <w:tcW w:w="18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26"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773" w:type="dxa"/>
            <w:vMerge/>
            <w:tcBorders>
              <w:left w:val="single" w:sz="6" w:space="0" w:color="000000"/>
              <w:bottom w:val="single" w:sz="6" w:space="0" w:color="000000"/>
              <w:right w:val="single" w:sz="6" w:space="0" w:color="000000"/>
            </w:tcBorders>
            <w:shd w:val="clear" w:color="auto" w:fill="D2D2D2"/>
          </w:tcPr>
          <w:p>
            <w:pPr/>
          </w:p>
        </w:tc>
        <w:tc>
          <w:tcPr>
            <w:tcW w:w="2056"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21,476,449.09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93.30%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11,673,995.45</w:t>
            </w:r>
          </w:p>
        </w:tc>
        <w:tc>
          <w:tcPr>
            <w:tcW w:w="20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95.15%</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1,448,401.92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6.29%</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595,180.60</w:t>
            </w:r>
          </w:p>
        </w:tc>
        <w:tc>
          <w:tcPr>
            <w:tcW w:w="20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4.85%</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94,743.38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0.41%</w:t>
            </w:r>
          </w:p>
        </w:tc>
        <w:tc>
          <w:tcPr>
            <w:tcW w:w="1773" w:type="dxa"/>
            <w:tcBorders>
              <w:top w:val="single" w:sz="6" w:space="0" w:color="000000"/>
              <w:left w:val="single" w:sz="6" w:space="0" w:color="000000"/>
              <w:bottom w:val="single" w:sz="6" w:space="0" w:color="000000"/>
              <w:right w:val="single" w:sz="6" w:space="0" w:color="000000"/>
            </w:tcBorders>
          </w:tcPr>
          <w:p>
            <w:pPr/>
          </w:p>
        </w:tc>
        <w:tc>
          <w:tcPr>
            <w:tcW w:w="205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26"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773" w:type="dxa"/>
            <w:tcBorders>
              <w:top w:val="single" w:sz="6" w:space="0" w:color="000000"/>
              <w:left w:val="single" w:sz="6" w:space="0" w:color="000000"/>
              <w:bottom w:val="single" w:sz="6" w:space="0" w:color="000000"/>
              <w:right w:val="single" w:sz="6" w:space="0" w:color="000000"/>
            </w:tcBorders>
          </w:tcPr>
          <w:p>
            <w:pPr/>
          </w:p>
        </w:tc>
        <w:tc>
          <w:tcPr>
            <w:tcW w:w="205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6" w:space="0" w:color="000000"/>
              <w:left w:val="single" w:sz="14" w:space="0" w:color="D2D2D2"/>
              <w:bottom w:val="single" w:sz="12" w:space="0" w:color="000000"/>
              <w:right w:val="single" w:sz="14"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23,019,594.39</w:t>
            </w:r>
          </w:p>
        </w:tc>
        <w:tc>
          <w:tcPr>
            <w:tcW w:w="191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773" w:type="dxa"/>
            <w:tcBorders>
              <w:top w:val="single" w:sz="6" w:space="0" w:color="000000"/>
              <w:left w:val="single" w:sz="14" w:space="0" w:color="D2D2D2"/>
              <w:bottom w:val="single" w:sz="12" w:space="0" w:color="000000"/>
              <w:right w:val="single" w:sz="8" w:space="0" w:color="D2D2D2"/>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12,269,176.05</w:t>
            </w:r>
          </w:p>
        </w:tc>
        <w:tc>
          <w:tcPr>
            <w:tcW w:w="205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0"/>
        <w:jc w:val="left"/>
        <w:rPr>
          <w:b w:val="0"/>
          <w:bCs w:val="0"/>
        </w:rPr>
      </w:pPr>
      <w:bookmarkStart w:name="（2）按预付对象归集的期末余额前五名的预付款情况" w:id="242"/>
      <w:bookmarkEnd w:id="242"/>
      <w:r>
        <w:rPr>
          <w:b w:val="0"/>
          <w:bCs w:val="0"/>
        </w:rPr>
      </w:r>
      <w:r>
        <w:rPr>
          <w:w w:val="95"/>
        </w:rPr>
        <w:t>（</w:t>
      </w:r>
      <w:r>
        <w:rPr>
          <w:rFonts w:ascii="宋体" w:hAnsi="宋体" w:cs="宋体" w:eastAsia="宋体" w:hint="default"/>
          <w:w w:val="95"/>
        </w:rPr>
        <w:t>2</w:t>
      </w:r>
      <w:r>
        <w:rPr>
          <w:w w:val="95"/>
        </w:rPr>
        <w:t>）按预付对象归集的期末余额前五名的预付款情况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6086" w:space="2833"/>
            <w:col w:w="2991"/>
          </w:cols>
        </w:sectPr>
      </w:pPr>
    </w:p>
    <w:p>
      <w:pPr>
        <w:spacing w:line="240" w:lineRule="auto" w:before="1"/>
        <w:rPr>
          <w:rFonts w:ascii="宋体" w:hAnsi="宋体" w:cs="宋体" w:eastAsia="宋体" w:hint="default"/>
          <w:sz w:val="8"/>
          <w:szCs w:val="8"/>
        </w:rPr>
      </w:pPr>
    </w:p>
    <w:tbl>
      <w:tblPr>
        <w:tblW w:w="0" w:type="auto"/>
        <w:jc w:val="left"/>
        <w:tblInd w:w="1134" w:type="dxa"/>
        <w:tblLayout w:type="fixed"/>
        <w:tblCellMar>
          <w:top w:w="0" w:type="dxa"/>
          <w:left w:w="0" w:type="dxa"/>
          <w:bottom w:w="0" w:type="dxa"/>
          <w:right w:w="0" w:type="dxa"/>
        </w:tblCellMar>
        <w:tblLook w:val="01E0"/>
      </w:tblPr>
      <w:tblGrid>
        <w:gridCol w:w="2711"/>
        <w:gridCol w:w="1418"/>
        <w:gridCol w:w="1700"/>
        <w:gridCol w:w="1670"/>
        <w:gridCol w:w="2109"/>
      </w:tblGrid>
      <w:tr>
        <w:trPr>
          <w:trHeight w:val="419" w:hRule="exact"/>
        </w:trPr>
        <w:tc>
          <w:tcPr>
            <w:tcW w:w="27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4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21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12"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南通市达欣工程股份有限公司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2,990,000.00</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412"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淮安苏华科技咨询中心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1,870,000.00</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年研发项目预付款</w:t>
            </w:r>
          </w:p>
        </w:tc>
      </w:tr>
      <w:tr>
        <w:trPr>
          <w:trHeight w:val="413"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深圳市昊景科技有限公司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1,532,928.00</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412"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93" w:right="0"/>
              <w:jc w:val="left"/>
              <w:rPr>
                <w:rFonts w:ascii="宋体" w:hAnsi="宋体" w:cs="宋体" w:eastAsia="宋体" w:hint="default"/>
                <w:sz w:val="18"/>
                <w:szCs w:val="18"/>
              </w:rPr>
            </w:pPr>
            <w:r>
              <w:rPr>
                <w:rFonts w:ascii="宋体" w:hAnsi="宋体" w:cs="宋体" w:eastAsia="宋体" w:hint="default"/>
                <w:sz w:val="18"/>
                <w:szCs w:val="18"/>
              </w:rPr>
              <w:t>南京创乾科技有限公司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06" w:right="0"/>
              <w:jc w:val="left"/>
              <w:rPr>
                <w:rFonts w:ascii="宋体" w:hAnsi="宋体" w:cs="宋体" w:eastAsia="宋体" w:hint="default"/>
                <w:sz w:val="18"/>
                <w:szCs w:val="18"/>
              </w:rPr>
            </w:pPr>
            <w:r>
              <w:rPr>
                <w:rFonts w:ascii="宋体"/>
                <w:sz w:val="18"/>
              </w:rPr>
              <w:t>1,351,695.00</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412"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昆山市英孚特仪器仪表厂</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1,261,260.00</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依据协议结算</w:t>
            </w:r>
          </w:p>
        </w:tc>
      </w:tr>
      <w:tr>
        <w:trPr>
          <w:trHeight w:val="421" w:hRule="exact"/>
        </w:trPr>
        <w:tc>
          <w:tcPr>
            <w:tcW w:w="27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506" w:right="0"/>
              <w:jc w:val="left"/>
              <w:rPr>
                <w:rFonts w:ascii="宋体" w:hAnsi="宋体" w:cs="宋体" w:eastAsia="宋体" w:hint="default"/>
                <w:sz w:val="18"/>
                <w:szCs w:val="18"/>
              </w:rPr>
            </w:pPr>
            <w:r>
              <w:rPr>
                <w:rFonts w:ascii="宋体"/>
                <w:sz w:val="18"/>
              </w:rPr>
              <w:t>9,005,883.00</w:t>
            </w:r>
          </w:p>
        </w:tc>
        <w:tc>
          <w:tcPr>
            <w:tcW w:w="1670" w:type="dxa"/>
            <w:tcBorders>
              <w:top w:val="single" w:sz="6" w:space="0" w:color="000000"/>
              <w:left w:val="single" w:sz="6" w:space="0" w:color="000000"/>
              <w:bottom w:val="single" w:sz="12" w:space="0" w:color="000000"/>
              <w:right w:val="single" w:sz="6" w:space="0" w:color="000000"/>
            </w:tcBorders>
          </w:tcPr>
          <w:p>
            <w:pPr/>
          </w:p>
        </w:tc>
        <w:tc>
          <w:tcPr>
            <w:tcW w:w="2109"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left="1134" w:right="1121" w:firstLine="420"/>
        <w:jc w:val="left"/>
      </w:pPr>
      <w:r>
        <w:rPr>
          <w:rFonts w:ascii="宋体" w:hAnsi="宋体" w:cs="宋体" w:eastAsia="宋体" w:hint="default"/>
        </w:rPr>
        <w:t>2017</w:t>
      </w:r>
      <w:r>
        <w:rPr/>
        <w:t>年期末预付款项较期初增加</w:t>
      </w:r>
      <w:r>
        <w:rPr>
          <w:rFonts w:ascii="宋体" w:hAnsi="宋体" w:cs="宋体" w:eastAsia="宋体" w:hint="default"/>
        </w:rPr>
        <w:t>10,750,418.34</w:t>
      </w:r>
      <w:r>
        <w:rPr/>
        <w:t>，增加比例为</w:t>
      </w:r>
      <w:r>
        <w:rPr>
          <w:rFonts w:ascii="宋体" w:hAnsi="宋体" w:cs="宋体" w:eastAsia="宋体" w:hint="default"/>
        </w:rPr>
        <w:t>87.62%</w:t>
      </w:r>
      <w:r>
        <w:rPr/>
        <w:t>，主要原因系因为货款及项目预 付款增加所致。</w:t>
      </w:r>
    </w:p>
    <w:p>
      <w:pPr>
        <w:spacing w:line="240" w:lineRule="auto" w:before="6"/>
        <w:rPr>
          <w:rFonts w:ascii="宋体" w:hAnsi="宋体" w:cs="宋体" w:eastAsia="宋体" w:hint="default"/>
          <w:sz w:val="15"/>
          <w:szCs w:val="15"/>
        </w:rPr>
      </w:pPr>
    </w:p>
    <w:p>
      <w:pPr>
        <w:pStyle w:val="Heading4"/>
        <w:spacing w:line="240" w:lineRule="auto"/>
        <w:ind w:right="1121"/>
        <w:jc w:val="left"/>
        <w:rPr>
          <w:b w:val="0"/>
          <w:bCs w:val="0"/>
        </w:rPr>
      </w:pPr>
      <w:bookmarkStart w:name="7、应收利息" w:id="243"/>
      <w:bookmarkEnd w:id="243"/>
      <w:r>
        <w:rPr>
          <w:b w:val="0"/>
          <w:bCs w:val="0"/>
        </w:rPr>
      </w:r>
      <w:r>
        <w:rPr>
          <w:rFonts w:ascii="宋体" w:hAnsi="宋体" w:cs="宋体" w:eastAsia="宋体" w:hint="default"/>
        </w:rPr>
        <w:t>7</w:t>
      </w:r>
      <w:r>
        <w:rPr/>
        <w:t>、应收利息</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1"/>
        <w:jc w:val="left"/>
        <w:rPr>
          <w:b w:val="0"/>
          <w:bCs w:val="0"/>
        </w:rPr>
      </w:pPr>
      <w:bookmarkStart w:name="（1）应收利息分类" w:id="244"/>
      <w:bookmarkEnd w:id="244"/>
      <w:r>
        <w:rPr>
          <w:b w:val="0"/>
          <w:bCs w:val="0"/>
        </w:rPr>
      </w:r>
      <w:r>
        <w:rPr/>
        <w:t>（</w:t>
      </w:r>
      <w:r>
        <w:rPr>
          <w:rFonts w:ascii="宋体" w:hAnsi="宋体" w:cs="宋体" w:eastAsia="宋体" w:hint="default"/>
        </w:rPr>
        <w:t>1</w:t>
      </w:r>
      <w:r>
        <w:rPr/>
        <w:t>）应收利息分类</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174"/>
        <w:gridCol w:w="3201"/>
        <w:gridCol w:w="3188"/>
      </w:tblGrid>
      <w:tr>
        <w:trPr>
          <w:trHeight w:val="415" w:hRule="exact"/>
        </w:trPr>
        <w:tc>
          <w:tcPr>
            <w:tcW w:w="317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3,283.52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323,371.63</w:t>
            </w:r>
          </w:p>
        </w:tc>
      </w:tr>
      <w:tr>
        <w:trPr>
          <w:trHeight w:val="407"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01" w:type="dxa"/>
            <w:tcBorders>
              <w:top w:val="single" w:sz="6" w:space="0" w:color="000000"/>
              <w:left w:val="single" w:sz="14"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201" w:type="dxa"/>
            <w:tcBorders>
              <w:top w:val="single" w:sz="6" w:space="0" w:color="000000"/>
              <w:left w:val="single" w:sz="14"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3,283.52</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323,371.63</w:t>
            </w:r>
          </w:p>
        </w:tc>
      </w:tr>
    </w:tbl>
    <w:p>
      <w:pPr>
        <w:spacing w:after="0" w:line="240" w:lineRule="auto"/>
        <w:jc w:val="right"/>
        <w:rPr>
          <w:rFonts w:ascii="宋体" w:hAnsi="宋体" w:cs="宋体" w:eastAsia="宋体" w:hint="default"/>
          <w:sz w:val="18"/>
          <w:szCs w:val="18"/>
        </w:rPr>
        <w:sectPr>
          <w:type w:val="continuous"/>
          <w:pgSz w:w="11910" w:h="16840"/>
          <w:pgMar w:top="1040" w:bottom="1180" w:left="0" w:right="0"/>
        </w:sectPr>
      </w:pPr>
    </w:p>
    <w:p>
      <w:pPr>
        <w:spacing w:line="240" w:lineRule="auto" w:before="5"/>
        <w:rPr>
          <w:rFonts w:ascii="宋体" w:hAnsi="宋体" w:cs="宋体" w:eastAsia="宋体" w:hint="default"/>
          <w:sz w:val="25"/>
          <w:szCs w:val="25"/>
        </w:rPr>
      </w:pPr>
    </w:p>
    <w:p>
      <w:pPr>
        <w:pStyle w:val="Heading4"/>
        <w:spacing w:line="240" w:lineRule="auto" w:before="35"/>
        <w:ind w:left="1133" w:right="1121"/>
        <w:jc w:val="left"/>
        <w:rPr>
          <w:b w:val="0"/>
          <w:bCs w:val="0"/>
        </w:rPr>
      </w:pPr>
      <w:bookmarkStart w:name="（2）重要逾期利息" w:id="245"/>
      <w:bookmarkEnd w:id="245"/>
      <w:r>
        <w:rPr>
          <w:b w:val="0"/>
          <w:bCs w:val="0"/>
        </w:rPr>
      </w:r>
      <w:r>
        <w:rPr/>
        <w:t>（</w:t>
      </w:r>
      <w:r>
        <w:rPr>
          <w:rFonts w:ascii="宋体" w:hAnsi="宋体" w:cs="宋体" w:eastAsia="宋体" w:hint="default"/>
        </w:rPr>
        <w:t>2</w:t>
      </w:r>
      <w:r>
        <w:rPr/>
        <w:t>）重要逾期利息</w:t>
      </w:r>
      <w:r>
        <w:rPr>
          <w:b w:val="0"/>
          <w:bCs w:val="0"/>
        </w:rPr>
      </w:r>
    </w:p>
    <w:p>
      <w:pPr>
        <w:pStyle w:val="BodyText"/>
        <w:spacing w:line="376" w:lineRule="auto" w:before="115"/>
        <w:ind w:left="1134" w:right="8968"/>
        <w:jc w:val="left"/>
      </w:pPr>
      <w:r>
        <w:rPr/>
        <w:t>□ 适用 √</w:t>
      </w:r>
      <w:r>
        <w:rPr>
          <w:spacing w:val="-1"/>
        </w:rPr>
        <w:t> </w:t>
      </w:r>
      <w:r>
        <w:rPr/>
        <w:t>不适用</w:t>
      </w:r>
      <w:r>
        <w:rPr/>
        <w:t> 其他说明：</w:t>
      </w:r>
    </w:p>
    <w:p>
      <w:pPr>
        <w:pStyle w:val="BodyText"/>
        <w:spacing w:line="232" w:lineRule="exact" w:before="0"/>
        <w:ind w:left="1554" w:right="0"/>
        <w:jc w:val="left"/>
      </w:pPr>
      <w:r>
        <w:rPr>
          <w:rFonts w:ascii="宋体" w:hAnsi="宋体" w:cs="宋体" w:eastAsia="宋体" w:hint="default"/>
        </w:rPr>
        <w:t>2017</w:t>
      </w:r>
      <w:r>
        <w:rPr/>
        <w:t>年期末应收利息较期初减少</w:t>
      </w:r>
      <w:r>
        <w:rPr>
          <w:rFonts w:ascii="宋体" w:hAnsi="宋体" w:cs="宋体" w:eastAsia="宋体" w:hint="default"/>
        </w:rPr>
        <w:t>320,088.11</w:t>
      </w:r>
      <w:r>
        <w:rPr/>
        <w:t>元，减少比例为</w:t>
      </w:r>
      <w:r>
        <w:rPr>
          <w:rFonts w:ascii="宋体" w:hAnsi="宋体" w:cs="宋体" w:eastAsia="宋体" w:hint="default"/>
        </w:rPr>
        <w:t>98.98%</w:t>
      </w:r>
      <w:r>
        <w:rPr/>
        <w:t>，主要是因为定期存款减少导致应</w:t>
      </w:r>
    </w:p>
    <w:p>
      <w:pPr>
        <w:spacing w:line="340" w:lineRule="auto" w:before="37"/>
        <w:ind w:left="1133" w:right="8863" w:firstLine="0"/>
        <w:jc w:val="left"/>
        <w:rPr>
          <w:rFonts w:ascii="宋体" w:hAnsi="宋体" w:cs="宋体" w:eastAsia="宋体" w:hint="default"/>
          <w:sz w:val="21"/>
          <w:szCs w:val="21"/>
        </w:rPr>
      </w:pPr>
      <w:r>
        <w:rPr>
          <w:rFonts w:ascii="宋体" w:hAnsi="宋体" w:cs="宋体" w:eastAsia="宋体" w:hint="default"/>
          <w:sz w:val="21"/>
          <w:szCs w:val="21"/>
        </w:rPr>
        <w:t>计提利息收入减少。 </w:t>
      </w:r>
      <w:bookmarkStart w:name="8、应收股利" w:id="246"/>
      <w:bookmarkEnd w:id="246"/>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pStyle w:val="Heading4"/>
        <w:spacing w:line="240" w:lineRule="auto" w:before="105"/>
        <w:ind w:left="1133" w:right="1121"/>
        <w:jc w:val="left"/>
        <w:rPr>
          <w:b w:val="0"/>
          <w:bCs w:val="0"/>
        </w:rPr>
      </w:pPr>
      <w:bookmarkStart w:name="（1）应收股利" w:id="247"/>
      <w:bookmarkEnd w:id="247"/>
      <w:r>
        <w:rPr>
          <w:b w:val="0"/>
          <w:bCs w:val="0"/>
        </w:rPr>
      </w:r>
      <w:r>
        <w:rPr/>
        <w:t>（</w:t>
      </w:r>
      <w:r>
        <w:rPr>
          <w:rFonts w:ascii="宋体" w:hAnsi="宋体" w:cs="宋体" w:eastAsia="宋体" w:hint="default"/>
        </w:rPr>
        <w:t>1</w:t>
      </w:r>
      <w:r>
        <w:rPr/>
        <w:t>）应收股利</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2）重要的账龄超过1年的应收股利" w:id="248"/>
      <w:bookmarkEnd w:id="248"/>
      <w:r>
        <w:rPr>
          <w:b w:val="0"/>
          <w:bCs w:val="0"/>
        </w:rPr>
      </w:r>
      <w:r>
        <w:rPr/>
        <w:t>（</w:t>
      </w:r>
      <w:r>
        <w:rPr>
          <w:rFonts w:ascii="宋体" w:hAnsi="宋体" w:cs="宋体" w:eastAsia="宋体" w:hint="default"/>
        </w:rPr>
        <w:t>2</w:t>
      </w:r>
      <w:r>
        <w:rPr/>
        <w:t>）重要的账龄超过</w:t>
      </w:r>
      <w:r>
        <w:rPr>
          <w:spacing w:val="-54"/>
        </w:rPr>
        <w:t> </w:t>
      </w:r>
      <w:r>
        <w:rPr>
          <w:rFonts w:ascii="宋体" w:hAnsi="宋体" w:cs="宋体" w:eastAsia="宋体" w:hint="default"/>
        </w:rPr>
        <w:t>1</w:t>
      </w:r>
      <w:r>
        <w:rPr>
          <w:rFonts w:ascii="宋体" w:hAnsi="宋体" w:cs="宋体" w:eastAsia="宋体" w:hint="default"/>
          <w:spacing w:val="-55"/>
        </w:rPr>
        <w:t> </w:t>
      </w:r>
      <w:r>
        <w:rPr/>
        <w:t>年的应收股利</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9、其他应收款" w:id="249"/>
      <w:bookmarkEnd w:id="249"/>
      <w:r>
        <w:rPr>
          <w:rFonts w:ascii="宋体" w:hAnsi="宋体" w:cs="宋体" w:eastAsia="宋体" w:hint="default"/>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4"/>
        <w:spacing w:line="240" w:lineRule="auto" w:before="46"/>
        <w:ind w:right="1121"/>
        <w:jc w:val="left"/>
        <w:rPr>
          <w:b w:val="0"/>
          <w:bCs w:val="0"/>
        </w:rPr>
      </w:pPr>
      <w:bookmarkStart w:name="（1）其他应收款分类披露" w:id="250"/>
      <w:bookmarkEnd w:id="250"/>
      <w:r>
        <w:rPr>
          <w:b w:val="0"/>
          <w:bCs w:val="0"/>
        </w:rPr>
      </w:r>
      <w:r>
        <w:rPr/>
        <w:t>（</w:t>
      </w:r>
      <w:r>
        <w:rPr>
          <w:rFonts w:ascii="宋体" w:hAnsi="宋体" w:cs="宋体" w:eastAsia="宋体" w:hint="default"/>
        </w:rPr>
        <w:t>1</w:t>
      </w:r>
      <w:r>
        <w:rPr/>
        <w:t>）其他应收款分类披露</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4102"/>
        <w:gridCol w:w="1286"/>
        <w:gridCol w:w="851"/>
        <w:gridCol w:w="1276"/>
        <w:gridCol w:w="851"/>
        <w:gridCol w:w="1275"/>
      </w:tblGrid>
      <w:tr>
        <w:trPr>
          <w:trHeight w:val="415" w:hRule="exact"/>
        </w:trPr>
        <w:tc>
          <w:tcPr>
            <w:tcW w:w="410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539"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1" w:hRule="exact"/>
        </w:trPr>
        <w:tc>
          <w:tcPr>
            <w:tcW w:w="410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8" w:hRule="exact"/>
        </w:trPr>
        <w:tc>
          <w:tcPr>
            <w:tcW w:w="4102" w:type="dxa"/>
            <w:vMerge/>
            <w:tcBorders>
              <w:left w:val="single" w:sz="12" w:space="0" w:color="000000"/>
              <w:bottom w:val="nil" w:sz="6" w:space="0" w:color="auto"/>
              <w:right w:val="single" w:sz="6" w:space="0" w:color="000000"/>
            </w:tcBorders>
            <w:shd w:val="clear" w:color="auto" w:fill="D2D2D2"/>
          </w:tcPr>
          <w:p>
            <w:pPr/>
          </w:p>
        </w:tc>
        <w:tc>
          <w:tcPr>
            <w:tcW w:w="2137" w:type="dxa"/>
            <w:gridSpan w:val="2"/>
            <w:vMerge/>
            <w:tcBorders>
              <w:left w:val="single" w:sz="6" w:space="0" w:color="000000"/>
              <w:bottom w:val="single" w:sz="6" w:space="0" w:color="000000"/>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6" w:space="0" w:color="000000"/>
            </w:tcBorders>
            <w:shd w:val="clear" w:color="auto" w:fill="D2D2D2"/>
          </w:tcPr>
          <w:p>
            <w:pPr/>
          </w:p>
        </w:tc>
        <w:tc>
          <w:tcPr>
            <w:tcW w:w="127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4102" w:type="dxa"/>
            <w:vMerge w:val="restart"/>
            <w:tcBorders>
              <w:top w:val="nil" w:sz="6" w:space="0" w:color="auto"/>
              <w:left w:val="single" w:sz="12" w:space="0" w:color="000000"/>
              <w:right w:val="single" w:sz="6" w:space="0" w:color="000000"/>
            </w:tcBorders>
            <w:shd w:val="clear" w:color="auto" w:fill="D2D2D2"/>
          </w:tcPr>
          <w:p>
            <w:pPr/>
          </w:p>
        </w:tc>
        <w:tc>
          <w:tcPr>
            <w:tcW w:w="12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4102" w:type="dxa"/>
            <w:vMerge/>
            <w:tcBorders>
              <w:left w:val="single" w:sz="12" w:space="0" w:color="000000"/>
              <w:bottom w:val="single" w:sz="6"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275"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25,050,079.14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3,082,193.02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12.30%</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6" w:right="0"/>
              <w:jc w:val="center"/>
              <w:rPr>
                <w:rFonts w:ascii="宋体" w:hAnsi="宋体" w:cs="宋体" w:eastAsia="宋体" w:hint="default"/>
                <w:sz w:val="18"/>
                <w:szCs w:val="18"/>
              </w:rPr>
            </w:pPr>
            <w:r>
              <w:rPr>
                <w:rFonts w:ascii="宋体"/>
                <w:sz w:val="18"/>
              </w:rPr>
              <w:t>21,967,886.12</w:t>
            </w:r>
          </w:p>
        </w:tc>
      </w:tr>
      <w:tr>
        <w:trPr>
          <w:trHeight w:val="407"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10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25,050,079.14</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3,082,193.02</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12.30%</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56" w:right="0"/>
              <w:jc w:val="center"/>
              <w:rPr>
                <w:rFonts w:ascii="宋体" w:hAnsi="宋体" w:cs="宋体" w:eastAsia="宋体" w:hint="default"/>
                <w:sz w:val="18"/>
                <w:szCs w:val="18"/>
              </w:rPr>
            </w:pPr>
            <w:r>
              <w:rPr>
                <w:rFonts w:ascii="宋体"/>
                <w:sz w:val="18"/>
              </w:rPr>
              <w:t>21,967,886.12</w:t>
            </w:r>
          </w:p>
        </w:tc>
      </w:tr>
    </w:tbl>
    <w:p>
      <w:pPr>
        <w:spacing w:line="240" w:lineRule="auto" w:before="1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4095"/>
        <w:gridCol w:w="1286"/>
        <w:gridCol w:w="851"/>
        <w:gridCol w:w="1276"/>
        <w:gridCol w:w="851"/>
        <w:gridCol w:w="1275"/>
      </w:tblGrid>
      <w:tr>
        <w:trPr>
          <w:trHeight w:val="414" w:hRule="exact"/>
        </w:trPr>
        <w:tc>
          <w:tcPr>
            <w:tcW w:w="409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539"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1" w:hRule="exact"/>
        </w:trPr>
        <w:tc>
          <w:tcPr>
            <w:tcW w:w="409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21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8" w:hRule="exact"/>
        </w:trPr>
        <w:tc>
          <w:tcPr>
            <w:tcW w:w="4095" w:type="dxa"/>
            <w:vMerge/>
            <w:tcBorders>
              <w:left w:val="single" w:sz="12" w:space="0" w:color="000000"/>
              <w:bottom w:val="nil" w:sz="6" w:space="0" w:color="auto"/>
              <w:right w:val="single" w:sz="6" w:space="0" w:color="000000"/>
            </w:tcBorders>
            <w:shd w:val="clear" w:color="auto" w:fill="D2D2D2"/>
          </w:tcPr>
          <w:p>
            <w:pPr/>
          </w:p>
        </w:tc>
        <w:tc>
          <w:tcPr>
            <w:tcW w:w="2137" w:type="dxa"/>
            <w:gridSpan w:val="2"/>
            <w:vMerge/>
            <w:tcBorders>
              <w:left w:val="single" w:sz="6" w:space="0" w:color="000000"/>
              <w:bottom w:val="single" w:sz="6" w:space="0" w:color="000000"/>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6" w:space="0" w:color="000000"/>
            </w:tcBorders>
            <w:shd w:val="clear" w:color="auto" w:fill="D2D2D2"/>
          </w:tcPr>
          <w:p>
            <w:pPr/>
          </w:p>
        </w:tc>
        <w:tc>
          <w:tcPr>
            <w:tcW w:w="127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4095" w:type="dxa"/>
            <w:vMerge w:val="restart"/>
            <w:tcBorders>
              <w:top w:val="nil" w:sz="6" w:space="0" w:color="auto"/>
              <w:left w:val="single" w:sz="12" w:space="0" w:color="000000"/>
              <w:right w:val="single" w:sz="6" w:space="0" w:color="000000"/>
            </w:tcBorders>
            <w:shd w:val="clear" w:color="auto" w:fill="D2D2D2"/>
          </w:tcPr>
          <w:p>
            <w:pPr/>
          </w:p>
        </w:tc>
        <w:tc>
          <w:tcPr>
            <w:tcW w:w="12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212" w:hRule="exact"/>
        </w:trPr>
        <w:tc>
          <w:tcPr>
            <w:tcW w:w="4095" w:type="dxa"/>
            <w:vMerge/>
            <w:tcBorders>
              <w:left w:val="single" w:sz="12" w:space="0" w:color="000000"/>
              <w:bottom w:val="single" w:sz="6"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275"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40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0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19,182,636.74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2,134,264.43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11.13%</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56" w:right="0"/>
              <w:jc w:val="center"/>
              <w:rPr>
                <w:rFonts w:ascii="宋体" w:hAnsi="宋体" w:cs="宋体" w:eastAsia="宋体" w:hint="default"/>
                <w:sz w:val="18"/>
                <w:szCs w:val="18"/>
              </w:rPr>
            </w:pPr>
            <w:r>
              <w:rPr>
                <w:rFonts w:ascii="宋体"/>
                <w:sz w:val="18"/>
              </w:rPr>
              <w:t>17,048,372.31</w:t>
            </w:r>
          </w:p>
        </w:tc>
      </w:tr>
      <w:tr>
        <w:trPr>
          <w:trHeight w:val="407" w:hRule="exact"/>
        </w:trPr>
        <w:tc>
          <w:tcPr>
            <w:tcW w:w="40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0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19,182,636.74</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2,134,264.43</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11.13%</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6" w:right="0"/>
              <w:jc w:val="center"/>
              <w:rPr>
                <w:rFonts w:ascii="宋体" w:hAnsi="宋体" w:cs="宋体" w:eastAsia="宋体" w:hint="default"/>
                <w:sz w:val="18"/>
                <w:szCs w:val="18"/>
              </w:rPr>
            </w:pPr>
            <w:r>
              <w:rPr>
                <w:rFonts w:ascii="宋体"/>
                <w:sz w:val="18"/>
              </w:rPr>
              <w:t>17,048,372.31</w:t>
            </w:r>
          </w:p>
        </w:tc>
      </w:tr>
    </w:tbl>
    <w:p>
      <w:pPr>
        <w:pStyle w:val="BodyText"/>
        <w:spacing w:line="240" w:lineRule="auto" w:before="63"/>
        <w:ind w:left="1134" w:right="1121"/>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408" w:lineRule="auto" w:before="0"/>
        <w:ind w:left="1134" w:right="5922"/>
        <w:jc w:val="left"/>
      </w:pPr>
      <w:r>
        <w:rPr/>
        <w:t>□ 适用 √</w:t>
      </w:r>
      <w:r>
        <w:rPr>
          <w:spacing w:val="-1"/>
        </w:rPr>
        <w:t> </w:t>
      </w:r>
      <w:r>
        <w:rPr/>
        <w:t>不适用</w:t>
      </w:r>
      <w:r>
        <w:rPr/>
        <w:t> 组合中，按账龄分析法计提坏账准备的其他应收款：</w:t>
      </w:r>
    </w:p>
    <w:p>
      <w:pPr>
        <w:pStyle w:val="BodyText"/>
        <w:spacing w:line="240" w:lineRule="auto"/>
        <w:ind w:left="1134" w:right="1121"/>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118" w:type="dxa"/>
        <w:tblLayout w:type="fixed"/>
        <w:tblCellMar>
          <w:top w:w="0" w:type="dxa"/>
          <w:left w:w="0" w:type="dxa"/>
          <w:bottom w:w="0" w:type="dxa"/>
          <w:right w:w="0" w:type="dxa"/>
        </w:tblCellMar>
        <w:tblLook w:val="01E0"/>
      </w:tblPr>
      <w:tblGrid>
        <w:gridCol w:w="2393"/>
        <w:gridCol w:w="2393"/>
        <w:gridCol w:w="2392"/>
        <w:gridCol w:w="2391"/>
      </w:tblGrid>
      <w:tr>
        <w:trPr>
          <w:trHeight w:val="415" w:hRule="exact"/>
        </w:trPr>
        <w:tc>
          <w:tcPr>
            <w:tcW w:w="239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393" w:type="dxa"/>
            <w:vMerge/>
            <w:tcBorders>
              <w:left w:val="single" w:sz="12" w:space="0" w:color="000000"/>
              <w:bottom w:val="single" w:sz="6" w:space="0" w:color="000000"/>
              <w:right w:val="single" w:sz="6" w:space="0" w:color="000000"/>
            </w:tcBorders>
            <w:shd w:val="clear" w:color="auto" w:fill="D2D2D2"/>
          </w:tcPr>
          <w:p>
            <w:pP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17,946,595.57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538,397.85</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17,946,595.57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538,397.85</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1,801,998.69</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180,199.88</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3,796,885.98</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1,139,065.79</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1,503,398.90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1,224,529.50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81.45%</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549,070.00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274,535.00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14,448.00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10,113.60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939,880.90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939,880.90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1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25,048,879.14</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3,082,193.02</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12.30%</w:t>
            </w:r>
          </w:p>
        </w:tc>
      </w:tr>
    </w:tbl>
    <w:p>
      <w:pPr>
        <w:pStyle w:val="BodyText"/>
        <w:spacing w:line="408" w:lineRule="auto" w:before="63"/>
        <w:ind w:left="1134" w:right="5502"/>
        <w:jc w:val="left"/>
      </w:pPr>
      <w:r>
        <w:rPr/>
        <w:t>确定该组合依据的说明： 组合中，采用余额百分比法计提坏账准备的其他应收款：</w:t>
      </w:r>
    </w:p>
    <w:p>
      <w:pPr>
        <w:pStyle w:val="BodyText"/>
        <w:spacing w:line="408" w:lineRule="auto"/>
        <w:ind w:left="1134" w:right="5922"/>
        <w:jc w:val="left"/>
      </w:pPr>
      <w:r>
        <w:rPr/>
        <w:t>□ 适用 √</w:t>
      </w:r>
      <w:r>
        <w:rPr>
          <w:spacing w:val="-1"/>
        </w:rPr>
        <w:t> </w:t>
      </w:r>
      <w:r>
        <w:rPr/>
        <w:t>不适用</w:t>
      </w:r>
      <w:r>
        <w:rPr/>
        <w:t> 组合中，采用其他方法计提坏账准备的其他应收款：</w:t>
      </w:r>
    </w:p>
    <w:p>
      <w:pPr>
        <w:pStyle w:val="BodyText"/>
        <w:spacing w:line="240" w:lineRule="auto"/>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2）本期计提、收回或转回的坏账准备情况" w:id="251"/>
      <w:bookmarkEnd w:id="251"/>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本期计提坏账准备金额</w:t>
      </w:r>
      <w:r>
        <w:rPr>
          <w:spacing w:val="-53"/>
        </w:rPr>
        <w:t> </w:t>
      </w:r>
      <w:r>
        <w:rPr>
          <w:rFonts w:ascii="宋体" w:hAnsi="宋体" w:cs="宋体" w:eastAsia="宋体" w:hint="default"/>
        </w:rPr>
        <w:t>947,928.59</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本期实际核销的其他应收款情况" w:id="252"/>
      <w:bookmarkEnd w:id="252"/>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其他应收款按款项性质分类情况" w:id="253"/>
      <w:bookmarkEnd w:id="253"/>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88"/>
        <w:gridCol w:w="3191"/>
        <w:gridCol w:w="3191"/>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股权与债权转让款</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1,500,000.00</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13,534,741.60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11,535,462.90</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3,826,131.59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3,014,125.62</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2,735,177.57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1,106,225.84</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35,396.00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453,781.00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3,418,632.38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3,073,041.38</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25,050,079.14</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19,182,636.74</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1000" w:top="1040" w:bottom="1180" w:left="0" w:right="0"/>
        </w:sectPr>
      </w:pPr>
    </w:p>
    <w:p>
      <w:pPr>
        <w:pStyle w:val="Heading4"/>
        <w:spacing w:line="240" w:lineRule="auto" w:before="35"/>
        <w:ind w:left="1133" w:right="0"/>
        <w:jc w:val="left"/>
        <w:rPr>
          <w:b w:val="0"/>
          <w:bCs w:val="0"/>
        </w:rPr>
      </w:pPr>
      <w:bookmarkStart w:name="（5）按欠款方归集的期末余额前五名的其他应收款情况" w:id="254"/>
      <w:bookmarkEnd w:id="254"/>
      <w:r>
        <w:rPr>
          <w:b w:val="0"/>
          <w:bCs w:val="0"/>
        </w:rPr>
      </w:r>
      <w:r>
        <w:rPr>
          <w:w w:val="95"/>
        </w:rPr>
        <w:t>（</w:t>
      </w:r>
      <w:r>
        <w:rPr>
          <w:rFonts w:ascii="宋体" w:hAnsi="宋体" w:cs="宋体" w:eastAsia="宋体" w:hint="default"/>
          <w:w w:val="95"/>
        </w:rPr>
        <w:t>5</w:t>
      </w:r>
      <w:r>
        <w:rPr>
          <w:w w:val="95"/>
        </w:rPr>
        <w:t>）按欠款方归集的期末余额前五名的其他应收款情况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6297" w:space="2622"/>
            <w:col w:w="2991"/>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411"/>
        <w:gridCol w:w="1134"/>
        <w:gridCol w:w="1239"/>
        <w:gridCol w:w="1594"/>
        <w:gridCol w:w="1596"/>
        <w:gridCol w:w="1594"/>
      </w:tblGrid>
      <w:tr>
        <w:trPr>
          <w:trHeight w:val="646" w:hRule="exact"/>
        </w:trPr>
        <w:tc>
          <w:tcPr>
            <w:tcW w:w="24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70"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39" w:hRule="exact"/>
        </w:trPr>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江苏天源招标有限公司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center"/>
              <w:rPr>
                <w:rFonts w:ascii="宋体" w:hAnsi="宋体" w:cs="宋体" w:eastAsia="宋体" w:hint="default"/>
                <w:sz w:val="18"/>
                <w:szCs w:val="18"/>
              </w:rPr>
            </w:pPr>
            <w:r>
              <w:rPr>
                <w:rFonts w:ascii="宋体"/>
                <w:sz w:val="18"/>
              </w:rPr>
              <w:t>2,390,000.00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 w:right="-16"/>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169</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9.54%</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120,700.00</w:t>
            </w:r>
          </w:p>
        </w:tc>
      </w:tr>
      <w:tr>
        <w:trPr>
          <w:trHeight w:val="412" w:hRule="exact"/>
        </w:trPr>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18"/>
                <w:szCs w:val="18"/>
              </w:rPr>
            </w:pPr>
            <w:r>
              <w:rPr>
                <w:rFonts w:ascii="宋体"/>
                <w:sz w:val="18"/>
              </w:rPr>
              <w:t>2,000,000.00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7.98%</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60,000.00</w:t>
            </w:r>
          </w:p>
        </w:tc>
      </w:tr>
      <w:tr>
        <w:trPr>
          <w:trHeight w:val="413" w:hRule="exact"/>
        </w:trPr>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深圳市泰川宏业科技有限公司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18"/>
                <w:szCs w:val="18"/>
              </w:rPr>
            </w:pPr>
            <w:r>
              <w:rPr>
                <w:rFonts w:ascii="宋体"/>
                <w:sz w:val="18"/>
              </w:rPr>
              <w:t>1,830,767.68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7.31%</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549,230.30</w:t>
            </w:r>
          </w:p>
        </w:tc>
      </w:tr>
      <w:tr>
        <w:trPr>
          <w:trHeight w:val="412" w:hRule="exact"/>
        </w:trPr>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四川倍施特科技股份有限公司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股权交易款</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18"/>
                <w:szCs w:val="18"/>
              </w:rPr>
            </w:pPr>
            <w:r>
              <w:rPr>
                <w:rFonts w:ascii="宋体"/>
                <w:sz w:val="18"/>
              </w:rPr>
              <w:t>1,500,000.00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5.99%</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45,000.00</w:t>
            </w:r>
          </w:p>
        </w:tc>
      </w:tr>
      <w:tr>
        <w:trPr>
          <w:trHeight w:val="412" w:hRule="exact"/>
        </w:trPr>
        <w:tc>
          <w:tcPr>
            <w:tcW w:w="2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18"/>
                <w:szCs w:val="18"/>
              </w:rPr>
            </w:pPr>
            <w:r>
              <w:rPr>
                <w:rFonts w:ascii="宋体"/>
                <w:sz w:val="18"/>
              </w:rPr>
              <w:t>1,084,500.00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4.33%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32,535.00</w:t>
            </w:r>
          </w:p>
        </w:tc>
      </w:tr>
      <w:tr>
        <w:trPr>
          <w:trHeight w:val="421" w:hRule="exact"/>
        </w:trPr>
        <w:tc>
          <w:tcPr>
            <w:tcW w:w="24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sz w:val="18"/>
              </w:rPr>
              <w:t>--</w:t>
            </w:r>
          </w:p>
        </w:tc>
        <w:tc>
          <w:tcPr>
            <w:tcW w:w="12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18"/>
                <w:szCs w:val="18"/>
              </w:rPr>
            </w:pPr>
            <w:r>
              <w:rPr>
                <w:rFonts w:ascii="宋体"/>
                <w:sz w:val="18"/>
              </w:rPr>
              <w:t>8,805,267.68</w:t>
            </w:r>
          </w:p>
        </w:tc>
        <w:tc>
          <w:tcPr>
            <w:tcW w:w="15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35.15%</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807,465.30</w:t>
            </w:r>
          </w:p>
        </w:tc>
      </w:tr>
    </w:tbl>
    <w:p>
      <w:pPr>
        <w:pStyle w:val="Heading4"/>
        <w:spacing w:line="240" w:lineRule="auto" w:before="63"/>
        <w:ind w:right="1121"/>
        <w:jc w:val="left"/>
        <w:rPr>
          <w:b w:val="0"/>
          <w:bCs w:val="0"/>
        </w:rPr>
      </w:pPr>
      <w:bookmarkStart w:name="（6）涉及政府补助的应收款项" w:id="255"/>
      <w:bookmarkEnd w:id="255"/>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7）因金融资产转移而终止确认的其他应收款" w:id="256"/>
      <w:bookmarkEnd w:id="256"/>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8）转移其他应收款且继续涉入形成的资产、负债金额" w:id="257"/>
      <w:bookmarkEnd w:id="257"/>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0、存货" w:id="258"/>
      <w:bookmarkEnd w:id="258"/>
      <w:r>
        <w:rPr>
          <w:rFonts w:ascii="宋体" w:hAnsi="宋体" w:cs="宋体" w:eastAsia="宋体" w:hint="default"/>
          <w:sz w:val="21"/>
          <w:szCs w:val="21"/>
        </w:rPr>
      </w:r>
      <w:r>
        <w:rPr>
          <w:rFonts w:ascii="宋体" w:hAnsi="宋体" w:cs="宋体" w:eastAsia="宋体"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40" w:lineRule="auto"/>
        <w:ind w:left="1134" w:right="1121"/>
        <w:jc w:val="left"/>
      </w:pPr>
      <w:r>
        <w:rPr/>
        <w:t>公司是否需要遵守房地产行业的披露要求：否</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1）存货分类" w:id="259"/>
      <w:bookmarkEnd w:id="259"/>
      <w:r>
        <w:rPr>
          <w:b w:val="0"/>
          <w:bCs w:val="0"/>
        </w:rPr>
      </w:r>
      <w:r>
        <w:rPr/>
        <w:t>（</w:t>
      </w:r>
      <w:r>
        <w:rPr>
          <w:rFonts w:ascii="宋体" w:hAnsi="宋体" w:cs="宋体" w:eastAsia="宋体" w:hint="default"/>
        </w:rPr>
        <w:t>1</w:t>
      </w:r>
      <w:r>
        <w:rPr/>
        <w:t>）存货分类</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411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6" w:space="0" w:color="000000"/>
              <w:bottom w:val="single" w:sz="6" w:space="0" w:color="000000"/>
              <w:right w:val="single" w:sz="6" w:space="0" w:color="000000"/>
            </w:tcBorders>
            <w:shd w:val="clear" w:color="auto" w:fill="D2D2D2"/>
          </w:tcPr>
          <w:p>
            <w:pPr/>
          </w:p>
        </w:tc>
        <w:tc>
          <w:tcPr>
            <w:tcW w:w="4101" w:type="dxa"/>
            <w:gridSpan w:val="3"/>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36,201,507.91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946,027.17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35,255,480.74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55,173,122.82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865,519.54</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54,307,603.28</w:t>
            </w: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29,103,750.49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839,958.24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28,263,792.25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26,460,552.95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1,043,509.16</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25,417,043.79</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44,579,825.50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1,058,902.37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43,520,923.13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18,226,539.82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1,298,999.79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16,927,540.03</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365,303.53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365,303.53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365,303.53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365,303.53</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8" w:type="dxa"/>
            <w:tcBorders>
              <w:top w:val="single" w:sz="6" w:space="0" w:color="000000"/>
              <w:left w:val="single" w:sz="14" w:space="0" w:color="D2D2D2"/>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61"/>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8" w:type="dxa"/>
            <w:tcBorders>
              <w:top w:val="single" w:sz="6" w:space="0" w:color="000000"/>
              <w:left w:val="single" w:sz="14" w:space="0" w:color="D2D2D2"/>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110,250,387.43</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2,844,887.78</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107,405,499.65</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100,225,519.12</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3,208,028.49</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97,017,490.63</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0"/>
        <w:jc w:val="left"/>
        <w:rPr>
          <w:b w:val="0"/>
          <w:bCs w:val="0"/>
        </w:rPr>
      </w:pPr>
      <w:bookmarkStart w:name="（2）存货跌价准备" w:id="260"/>
      <w:bookmarkEnd w:id="260"/>
      <w:r>
        <w:rPr>
          <w:b w:val="0"/>
          <w:bCs w:val="0"/>
        </w:rPr>
      </w:r>
      <w:r>
        <w:rPr>
          <w:w w:val="95"/>
        </w:rPr>
        <w:t>（</w:t>
      </w:r>
      <w:r>
        <w:rPr>
          <w:rFonts w:ascii="宋体" w:hAnsi="宋体" w:cs="宋体" w:eastAsia="宋体" w:hint="default"/>
          <w:w w:val="95"/>
        </w:rPr>
        <w:t>2</w:t>
      </w:r>
      <w:r>
        <w:rPr>
          <w:w w:val="95"/>
        </w:rPr>
        <w:t>）存货跌价准备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927" w:space="5993"/>
            <w:col w:w="2990"/>
          </w:cols>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2819"/>
        <w:gridCol w:w="1287"/>
        <w:gridCol w:w="1134"/>
        <w:gridCol w:w="709"/>
        <w:gridCol w:w="1418"/>
        <w:gridCol w:w="833"/>
        <w:gridCol w:w="1366"/>
      </w:tblGrid>
      <w:tr>
        <w:trPr>
          <w:trHeight w:val="219" w:hRule="exact"/>
        </w:trPr>
        <w:tc>
          <w:tcPr>
            <w:tcW w:w="2819"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287" w:type="dxa"/>
            <w:tcBorders>
              <w:top w:val="single" w:sz="12" w:space="0" w:color="000000"/>
              <w:left w:val="single" w:sz="6" w:space="0" w:color="000000"/>
              <w:bottom w:val="nil" w:sz="6" w:space="0" w:color="auto"/>
              <w:right w:val="single" w:sz="6" w:space="0" w:color="000000"/>
            </w:tcBorders>
            <w:shd w:val="clear" w:color="auto" w:fill="D2D2D2"/>
          </w:tcPr>
          <w:p>
            <w:pPr/>
          </w:p>
        </w:tc>
        <w:tc>
          <w:tcPr>
            <w:tcW w:w="1843"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25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6"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2819"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gridSpan w:val="2"/>
            <w:vMerge/>
            <w:tcBorders>
              <w:left w:val="single" w:sz="6" w:space="0" w:color="000000"/>
              <w:bottom w:val="single" w:sz="6" w:space="0" w:color="000000"/>
              <w:right w:val="single" w:sz="6" w:space="0" w:color="000000"/>
            </w:tcBorders>
            <w:shd w:val="clear" w:color="auto" w:fill="D2D2D2"/>
          </w:tcPr>
          <w:p>
            <w:pPr/>
          </w:p>
        </w:tc>
        <w:tc>
          <w:tcPr>
            <w:tcW w:w="2250" w:type="dxa"/>
            <w:gridSpan w:val="2"/>
            <w:vMerge/>
            <w:tcBorders>
              <w:left w:val="single" w:sz="6" w:space="0" w:color="000000"/>
              <w:bottom w:val="single" w:sz="6" w:space="0" w:color="000000"/>
              <w:right w:val="single" w:sz="6" w:space="0" w:color="000000"/>
            </w:tcBorders>
            <w:shd w:val="clear" w:color="auto" w:fill="D2D2D2"/>
          </w:tcPr>
          <w:p>
            <w:pPr/>
          </w:p>
        </w:tc>
        <w:tc>
          <w:tcPr>
            <w:tcW w:w="136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2819" w:type="dxa"/>
            <w:vMerge/>
            <w:tcBorders>
              <w:left w:val="single" w:sz="12" w:space="0" w:color="000000"/>
              <w:bottom w:val="nil" w:sz="6" w:space="0" w:color="auto"/>
              <w:right w:val="single" w:sz="6" w:space="0" w:color="000000"/>
            </w:tcBorders>
            <w:shd w:val="clear" w:color="auto" w:fill="D2D2D2"/>
          </w:tcPr>
          <w:p>
            <w:pPr/>
          </w:p>
        </w:tc>
        <w:tc>
          <w:tcPr>
            <w:tcW w:w="1287" w:type="dxa"/>
            <w:vMerge/>
            <w:tcBorders>
              <w:left w:val="single" w:sz="6" w:space="0" w:color="000000"/>
              <w:bottom w:val="nil" w:sz="6" w:space="0" w:color="auto"/>
              <w:right w:val="single" w:sz="6" w:space="0" w:color="000000"/>
            </w:tcBorders>
            <w:shd w:val="clear" w:color="auto" w:fill="D2D2D2"/>
          </w:tcPr>
          <w:p>
            <w:pPr/>
          </w:p>
        </w:tc>
        <w:tc>
          <w:tcPr>
            <w:tcW w:w="113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7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83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2819" w:type="dxa"/>
            <w:tcBorders>
              <w:top w:val="nil" w:sz="6" w:space="0" w:color="auto"/>
              <w:left w:val="single" w:sz="12" w:space="0" w:color="000000"/>
              <w:bottom w:val="single" w:sz="6" w:space="0" w:color="000000"/>
              <w:right w:val="single" w:sz="6" w:space="0" w:color="000000"/>
            </w:tcBorders>
            <w:shd w:val="clear" w:color="auto" w:fill="D2D2D2"/>
          </w:tcPr>
          <w:p>
            <w:pPr/>
          </w:p>
        </w:tc>
        <w:tc>
          <w:tcPr>
            <w:tcW w:w="12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709"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833"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8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865,519.54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374,842.49</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294,334.86</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946,027.17</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8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1,043,509.16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52,951.16</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256,502.08</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839,958.24</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8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1,298,999.79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75,093.36</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315,190.78</w:t>
            </w: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1,058,902.37</w:t>
            </w: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287" w:type="dxa"/>
            <w:tcBorders>
              <w:top w:val="single" w:sz="6" w:space="0" w:color="000000"/>
              <w:left w:val="single" w:sz="9" w:space="0" w:color="D2D2D2"/>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287" w:type="dxa"/>
            <w:tcBorders>
              <w:top w:val="single" w:sz="6" w:space="0" w:color="000000"/>
              <w:left w:val="single" w:sz="9" w:space="0" w:color="D2D2D2"/>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8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1287" w:type="dxa"/>
            <w:tcBorders>
              <w:top w:val="single" w:sz="6" w:space="0" w:color="000000"/>
              <w:left w:val="single" w:sz="9" w:space="0" w:color="D2D2D2"/>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8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3,208,028.49</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502,887.01</w:t>
            </w:r>
          </w:p>
        </w:tc>
        <w:tc>
          <w:tcPr>
            <w:tcW w:w="709"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866,027.72</w:t>
            </w:r>
          </w:p>
        </w:tc>
        <w:tc>
          <w:tcPr>
            <w:tcW w:w="833"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2,844,887.78</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3）存货期末余额含有借款费用资本化金额的说明" w:id="261"/>
      <w:bookmarkEnd w:id="261"/>
      <w:r>
        <w:rPr>
          <w:b w:val="0"/>
          <w:bCs w:val="0"/>
        </w:rPr>
      </w:r>
      <w:r>
        <w:rPr/>
        <w:t>（</w:t>
      </w:r>
      <w:r>
        <w:rPr>
          <w:rFonts w:ascii="宋体" w:hAnsi="宋体" w:cs="宋体" w:eastAsia="宋体"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期末建造合同形成的已完工未结算资产情况" w:id="262"/>
      <w:bookmarkEnd w:id="262"/>
      <w:r>
        <w:rPr>
          <w:b w:val="0"/>
          <w:bCs w:val="0"/>
        </w:rPr>
      </w:r>
      <w:r>
        <w:rPr/>
        <w:t>（</w:t>
      </w:r>
      <w:r>
        <w:rPr>
          <w:rFonts w:ascii="宋体" w:hAnsi="宋体" w:cs="宋体" w:eastAsia="宋体"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85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1、持有待售的资产" w:id="263"/>
      <w:bookmarkEnd w:id="263"/>
      <w:r>
        <w:rPr>
          <w:rFonts w:ascii="宋体" w:hAnsi="宋体" w:cs="宋体" w:eastAsia="宋体" w:hint="default"/>
          <w:sz w:val="21"/>
          <w:szCs w:val="21"/>
        </w:rPr>
      </w:r>
      <w:r>
        <w:rPr>
          <w:rFonts w:ascii="宋体" w:hAnsi="宋体" w:cs="宋体" w:eastAsia="宋体" w:hint="default"/>
          <w:b/>
          <w:bCs/>
          <w:sz w:val="21"/>
          <w:szCs w:val="21"/>
        </w:rPr>
        <w:t>11</w:t>
      </w:r>
      <w:r>
        <w:rPr>
          <w:rFonts w:ascii="宋体" w:hAnsi="宋体" w:cs="宋体" w:eastAsia="宋体" w:hint="default"/>
          <w:b/>
          <w:bCs/>
          <w:sz w:val="21"/>
          <w:szCs w:val="21"/>
        </w:rPr>
        <w:t>、持有待售的资产</w:t>
      </w:r>
      <w:r>
        <w:rPr>
          <w:rFonts w:ascii="宋体" w:hAnsi="宋体" w:cs="宋体" w:eastAsia="宋体" w:hint="default"/>
          <w:sz w:val="21"/>
          <w:szCs w:val="21"/>
        </w:rPr>
      </w:r>
    </w:p>
    <w:p>
      <w:pPr>
        <w:spacing w:line="408" w:lineRule="auto" w:before="46"/>
        <w:ind w:left="1134" w:right="801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2、一年内到期的非流动资产" w:id="264"/>
      <w:bookmarkEnd w:id="264"/>
      <w:r>
        <w:rPr>
          <w:rFonts w:ascii="宋体" w:hAnsi="宋体" w:cs="宋体" w:eastAsia="宋体" w:hint="default"/>
          <w:sz w:val="21"/>
          <w:szCs w:val="21"/>
        </w:rPr>
      </w:r>
      <w:r>
        <w:rPr>
          <w:rFonts w:ascii="宋体" w:hAnsi="宋体" w:cs="宋体" w:eastAsia="宋体"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3、其他流动资产" w:id="265"/>
      <w:bookmarkEnd w:id="265"/>
      <w:r>
        <w:rPr>
          <w:rFonts w:ascii="宋体" w:hAnsi="宋体" w:cs="宋体" w:eastAsia="宋体" w:hint="default"/>
          <w:sz w:val="21"/>
          <w:szCs w:val="21"/>
        </w:rPr>
      </w:r>
      <w:r>
        <w:rPr>
          <w:rFonts w:ascii="宋体" w:hAnsi="宋体" w:cs="宋体" w:eastAsia="宋体"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1"/>
        <w:gridCol w:w="3191"/>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5,377,463.58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5,634,233.75</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预交的企业所得税</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3,764,223.71</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1,529,670.54</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3,363,402.18</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25,000,000.00</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12,505,089.47</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32,163,904.29</w:t>
            </w:r>
          </w:p>
        </w:tc>
      </w:tr>
    </w:tbl>
    <w:p>
      <w:pPr>
        <w:spacing w:line="446" w:lineRule="auto" w:before="63"/>
        <w:ind w:left="1133" w:right="3823" w:firstLine="0"/>
        <w:jc w:val="left"/>
        <w:rPr>
          <w:rFonts w:ascii="宋体" w:hAnsi="宋体" w:cs="宋体" w:eastAsia="宋体" w:hint="default"/>
          <w:sz w:val="21"/>
          <w:szCs w:val="21"/>
        </w:rPr>
      </w:pPr>
      <w:r>
        <w:rPr>
          <w:rFonts w:ascii="宋体" w:hAnsi="宋体" w:cs="宋体" w:eastAsia="宋体" w:hint="default"/>
          <w:sz w:val="21"/>
          <w:szCs w:val="21"/>
        </w:rPr>
        <w:t>其他说明：期末其他项为预交的城建税及附加税以及房产处置预交的税费。 </w:t>
      </w:r>
      <w:bookmarkStart w:name="14、可供出售金融资产" w:id="266"/>
      <w:bookmarkEnd w:id="266"/>
      <w:r>
        <w:rPr>
          <w:rFonts w:ascii="宋体" w:hAnsi="宋体" w:cs="宋体" w:eastAsia="宋体" w:hint="default"/>
          <w:sz w:val="21"/>
          <w:szCs w:val="21"/>
        </w:rPr>
      </w:r>
      <w:r>
        <w:rPr>
          <w:rFonts w:ascii="宋体" w:hAnsi="宋体" w:cs="宋体" w:eastAsia="宋体"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after="0" w:line="446" w:lineRule="auto"/>
        <w:jc w:val="left"/>
        <w:rPr>
          <w:rFonts w:ascii="宋体" w:hAnsi="宋体" w:cs="宋体" w:eastAsia="宋体" w:hint="default"/>
          <w:sz w:val="21"/>
          <w:szCs w:val="21"/>
        </w:rPr>
        <w:sectPr>
          <w:pgSz w:w="11910" w:h="16840"/>
          <w:pgMar w:header="747" w:footer="1000" w:top="1040" w:bottom="1180" w:left="0" w:right="0"/>
        </w:sectPr>
      </w:pPr>
    </w:p>
    <w:p>
      <w:pPr>
        <w:pStyle w:val="Heading4"/>
        <w:spacing w:line="251" w:lineRule="exact"/>
        <w:ind w:left="1133" w:right="0"/>
        <w:jc w:val="left"/>
        <w:rPr>
          <w:b w:val="0"/>
          <w:bCs w:val="0"/>
        </w:rPr>
      </w:pPr>
      <w:bookmarkStart w:name="（1）可供出售金融资产情况" w:id="267"/>
      <w:bookmarkEnd w:id="267"/>
      <w:r>
        <w:rPr>
          <w:b w:val="0"/>
          <w:bCs w:val="0"/>
        </w:rPr>
      </w:r>
      <w:r>
        <w:rPr>
          <w:w w:val="95"/>
        </w:rPr>
        <w:t>（</w:t>
      </w:r>
      <w:r>
        <w:rPr>
          <w:rFonts w:ascii="宋体" w:hAnsi="宋体" w:cs="宋体" w:eastAsia="宋体" w:hint="default"/>
          <w:w w:val="95"/>
        </w:rPr>
        <w:t>1</w:t>
      </w:r>
      <w:r>
        <w:rPr>
          <w:w w:val="95"/>
        </w:rPr>
        <w:t>）可供出售金融资产情况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19"/>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769" w:space="5151"/>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995"/>
        <w:gridCol w:w="1402"/>
        <w:gridCol w:w="989"/>
        <w:gridCol w:w="1421"/>
        <w:gridCol w:w="1277"/>
        <w:gridCol w:w="1114"/>
        <w:gridCol w:w="1366"/>
      </w:tblGrid>
      <w:tr>
        <w:trPr>
          <w:trHeight w:val="218" w:hRule="exact"/>
        </w:trPr>
        <w:tc>
          <w:tcPr>
            <w:tcW w:w="199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1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7"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99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2" w:type="dxa"/>
            <w:gridSpan w:val="3"/>
            <w:vMerge/>
            <w:tcBorders>
              <w:left w:val="single" w:sz="6" w:space="0" w:color="000000"/>
              <w:bottom w:val="single" w:sz="6" w:space="0" w:color="000000"/>
              <w:right w:val="single" w:sz="6" w:space="0" w:color="000000"/>
            </w:tcBorders>
            <w:shd w:val="clear" w:color="auto" w:fill="D2D2D2"/>
          </w:tcPr>
          <w:p>
            <w:pPr/>
          </w:p>
        </w:tc>
        <w:tc>
          <w:tcPr>
            <w:tcW w:w="3757" w:type="dxa"/>
            <w:gridSpan w:val="3"/>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995" w:type="dxa"/>
            <w:vMerge/>
            <w:tcBorders>
              <w:left w:val="single" w:sz="12" w:space="0" w:color="000000"/>
              <w:bottom w:val="nil" w:sz="6" w:space="0" w:color="auto"/>
              <w:right w:val="single" w:sz="6" w:space="0" w:color="000000"/>
            </w:tcBorders>
            <w:shd w:val="clear" w:color="auto" w:fill="D2D2D2"/>
          </w:tcPr>
          <w:p>
            <w:pPr/>
          </w:p>
        </w:tc>
        <w:tc>
          <w:tcPr>
            <w:tcW w:w="14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199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02" w:type="dxa"/>
            <w:vMerge/>
            <w:tcBorders>
              <w:left w:val="single" w:sz="6" w:space="0" w:color="000000"/>
              <w:bottom w:val="single" w:sz="6" w:space="0" w:color="000000"/>
              <w:right w:val="single" w:sz="6" w:space="0" w:color="000000"/>
            </w:tcBorders>
            <w:shd w:val="clear" w:color="auto" w:fill="D2D2D2"/>
          </w:tcPr>
          <w:p>
            <w:pPr/>
          </w:p>
        </w:tc>
        <w:tc>
          <w:tcPr>
            <w:tcW w:w="989" w:type="dxa"/>
            <w:vMerge/>
            <w:tcBorders>
              <w:left w:val="single" w:sz="6" w:space="0" w:color="000000"/>
              <w:bottom w:val="single" w:sz="6" w:space="0" w:color="000000"/>
              <w:right w:val="single" w:sz="6" w:space="0" w:color="000000"/>
            </w:tcBorders>
            <w:shd w:val="clear" w:color="auto" w:fill="D2D2D2"/>
          </w:tcPr>
          <w:p>
            <w:pPr/>
          </w:p>
        </w:tc>
        <w:tc>
          <w:tcPr>
            <w:tcW w:w="1421"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114"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402" w:type="dxa"/>
            <w:tcBorders>
              <w:top w:val="single" w:sz="6" w:space="0" w:color="000000"/>
              <w:left w:val="single" w:sz="9" w:space="0" w:color="D2D2D2"/>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9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sz w:val="18"/>
              </w:rPr>
              <w:t>81,300,000.00</w:t>
            </w:r>
          </w:p>
        </w:tc>
        <w:tc>
          <w:tcPr>
            <w:tcW w:w="989" w:type="dxa"/>
            <w:tcBorders>
              <w:top w:val="single" w:sz="6" w:space="0" w:color="000000"/>
              <w:left w:val="single" w:sz="6" w:space="0" w:color="000000"/>
              <w:bottom w:val="single" w:sz="12" w:space="0" w:color="000000"/>
              <w:right w:val="single" w:sz="6" w:space="0" w:color="000000"/>
            </w:tcBorders>
          </w:tcPr>
          <w:p>
            <w:pP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7" w:right="0"/>
              <w:jc w:val="left"/>
              <w:rPr>
                <w:rFonts w:ascii="宋体" w:hAnsi="宋体" w:cs="宋体" w:eastAsia="宋体" w:hint="default"/>
                <w:sz w:val="18"/>
                <w:szCs w:val="18"/>
              </w:rPr>
            </w:pPr>
            <w:r>
              <w:rPr>
                <w:rFonts w:ascii="宋体"/>
                <w:sz w:val="18"/>
              </w:rPr>
              <w:t>81,300,000.00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22,300,000.00</w:t>
            </w:r>
          </w:p>
        </w:tc>
        <w:tc>
          <w:tcPr>
            <w:tcW w:w="1114"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61" w:right="0"/>
              <w:jc w:val="left"/>
              <w:rPr>
                <w:rFonts w:ascii="宋体" w:hAnsi="宋体" w:cs="宋体" w:eastAsia="宋体" w:hint="default"/>
                <w:sz w:val="18"/>
                <w:szCs w:val="18"/>
              </w:rPr>
            </w:pPr>
            <w:r>
              <w:rPr>
                <w:rFonts w:ascii="宋体"/>
                <w:sz w:val="18"/>
              </w:rPr>
              <w:t>22,300,000.00</w:t>
            </w:r>
          </w:p>
        </w:tc>
      </w:tr>
    </w:tbl>
    <w:p>
      <w:pPr>
        <w:spacing w:after="0" w:line="240" w:lineRule="auto"/>
        <w:jc w:val="left"/>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001"/>
        <w:gridCol w:w="1402"/>
        <w:gridCol w:w="989"/>
        <w:gridCol w:w="1421"/>
        <w:gridCol w:w="1277"/>
        <w:gridCol w:w="1114"/>
        <w:gridCol w:w="1366"/>
      </w:tblGrid>
      <w:tr>
        <w:trPr>
          <w:trHeight w:val="219" w:hRule="exact"/>
        </w:trPr>
        <w:tc>
          <w:tcPr>
            <w:tcW w:w="2001"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1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7"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12" w:type="dxa"/>
            <w:gridSpan w:val="3"/>
            <w:vMerge/>
            <w:tcBorders>
              <w:left w:val="single" w:sz="6" w:space="0" w:color="000000"/>
              <w:bottom w:val="single" w:sz="6" w:space="0" w:color="000000"/>
              <w:right w:val="single" w:sz="6" w:space="0" w:color="000000"/>
            </w:tcBorders>
            <w:shd w:val="clear" w:color="auto" w:fill="D2D2D2"/>
          </w:tcPr>
          <w:p>
            <w:pPr/>
          </w:p>
        </w:tc>
        <w:tc>
          <w:tcPr>
            <w:tcW w:w="3757" w:type="dxa"/>
            <w:gridSpan w:val="3"/>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2001" w:type="dxa"/>
            <w:vMerge/>
            <w:tcBorders>
              <w:left w:val="single" w:sz="12" w:space="0" w:color="000000"/>
              <w:bottom w:val="nil" w:sz="6" w:space="0" w:color="auto"/>
              <w:right w:val="single" w:sz="6" w:space="0" w:color="000000"/>
            </w:tcBorders>
            <w:shd w:val="clear" w:color="auto" w:fill="D2D2D2"/>
          </w:tcPr>
          <w:p>
            <w:pPr/>
          </w:p>
        </w:tc>
        <w:tc>
          <w:tcPr>
            <w:tcW w:w="14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200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02" w:type="dxa"/>
            <w:vMerge/>
            <w:tcBorders>
              <w:left w:val="single" w:sz="6" w:space="0" w:color="000000"/>
              <w:bottom w:val="single" w:sz="6" w:space="0" w:color="000000"/>
              <w:right w:val="single" w:sz="6" w:space="0" w:color="000000"/>
            </w:tcBorders>
            <w:shd w:val="clear" w:color="auto" w:fill="D2D2D2"/>
          </w:tcPr>
          <w:p>
            <w:pPr/>
          </w:p>
        </w:tc>
        <w:tc>
          <w:tcPr>
            <w:tcW w:w="989" w:type="dxa"/>
            <w:vMerge/>
            <w:tcBorders>
              <w:left w:val="single" w:sz="6" w:space="0" w:color="000000"/>
              <w:bottom w:val="single" w:sz="6" w:space="0" w:color="000000"/>
              <w:right w:val="single" w:sz="6" w:space="0" w:color="000000"/>
            </w:tcBorders>
            <w:shd w:val="clear" w:color="auto" w:fill="D2D2D2"/>
          </w:tcPr>
          <w:p>
            <w:pPr/>
          </w:p>
        </w:tc>
        <w:tc>
          <w:tcPr>
            <w:tcW w:w="1421"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114"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0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402" w:type="dxa"/>
            <w:tcBorders>
              <w:top w:val="single" w:sz="6" w:space="0" w:color="000000"/>
              <w:left w:val="single" w:sz="9" w:space="0" w:color="D2D2D2"/>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0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81,300,000.00</w:t>
            </w:r>
          </w:p>
        </w:tc>
        <w:tc>
          <w:tcPr>
            <w:tcW w:w="989"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81,300,000.00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22,300,000.00</w:t>
            </w: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22,300,000.00</w:t>
            </w:r>
          </w:p>
        </w:tc>
      </w:tr>
      <w:tr>
        <w:trPr>
          <w:trHeight w:val="415" w:hRule="exact"/>
        </w:trPr>
        <w:tc>
          <w:tcPr>
            <w:tcW w:w="200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81,300,000.00</w:t>
            </w:r>
          </w:p>
        </w:tc>
        <w:tc>
          <w:tcPr>
            <w:tcW w:w="989" w:type="dxa"/>
            <w:tcBorders>
              <w:top w:val="single" w:sz="6" w:space="0" w:color="000000"/>
              <w:left w:val="single" w:sz="6" w:space="0" w:color="000000"/>
              <w:bottom w:val="single" w:sz="12" w:space="0" w:color="000000"/>
              <w:right w:val="single" w:sz="6" w:space="0" w:color="000000"/>
            </w:tcBorders>
          </w:tcPr>
          <w:p>
            <w:pP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81,300,000.00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22,300,000.00</w:t>
            </w:r>
          </w:p>
        </w:tc>
        <w:tc>
          <w:tcPr>
            <w:tcW w:w="1114"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22,300,000.00</w:t>
            </w:r>
          </w:p>
        </w:tc>
      </w:tr>
    </w:tbl>
    <w:p>
      <w:pPr>
        <w:pStyle w:val="Heading4"/>
        <w:spacing w:line="240" w:lineRule="auto" w:before="63"/>
        <w:ind w:right="1121"/>
        <w:jc w:val="left"/>
        <w:rPr>
          <w:b w:val="0"/>
          <w:bCs w:val="0"/>
        </w:rPr>
      </w:pPr>
      <w:bookmarkStart w:name="（2）期末按公允价值计量的可供出售金融资产" w:id="268"/>
      <w:bookmarkEnd w:id="268"/>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期末按成本计量的可供出售金融资产" w:id="269"/>
      <w:bookmarkEnd w:id="269"/>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135"/>
        <w:gridCol w:w="1276"/>
        <w:gridCol w:w="1277"/>
        <w:gridCol w:w="567"/>
        <w:gridCol w:w="1277"/>
        <w:gridCol w:w="566"/>
        <w:gridCol w:w="568"/>
        <w:gridCol w:w="567"/>
        <w:gridCol w:w="593"/>
        <w:gridCol w:w="870"/>
        <w:gridCol w:w="869"/>
      </w:tblGrid>
      <w:tr>
        <w:trPr>
          <w:trHeight w:val="334" w:hRule="exact"/>
        </w:trPr>
        <w:tc>
          <w:tcPr>
            <w:tcW w:w="113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396"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4"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17"/>
              <w:ind w:left="68" w:right="6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69"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48" w:right="56"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38" w:hRule="exact"/>
        </w:trPr>
        <w:tc>
          <w:tcPr>
            <w:tcW w:w="1135" w:type="dxa"/>
            <w:vMerge/>
            <w:tcBorders>
              <w:left w:val="single" w:sz="12"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96" w:right="9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95" w:right="95"/>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95" w:right="94"/>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6" w:space="0" w:color="000000"/>
              <w:bottom w:val="single" w:sz="6" w:space="0" w:color="000000"/>
              <w:right w:val="single" w:sz="6" w:space="0" w:color="000000"/>
            </w:tcBorders>
            <w:shd w:val="clear" w:color="auto" w:fill="D2D2D2"/>
          </w:tcPr>
          <w:p>
            <w:pPr/>
          </w:p>
        </w:tc>
        <w:tc>
          <w:tcPr>
            <w:tcW w:w="869" w:type="dxa"/>
            <w:vMerge/>
            <w:tcBorders>
              <w:left w:val="single" w:sz="6" w:space="0" w:color="000000"/>
              <w:bottom w:val="single" w:sz="6" w:space="0" w:color="000000"/>
              <w:right w:val="single" w:sz="12" w:space="0" w:color="000000"/>
            </w:tcBorders>
            <w:shd w:val="clear" w:color="auto" w:fill="D2D2D2"/>
          </w:tcPr>
          <w:p>
            <w:pPr/>
          </w:p>
        </w:tc>
      </w:tr>
      <w:tr>
        <w:trPr>
          <w:trHeight w:val="64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97"/>
              <w:jc w:val="left"/>
              <w:rPr>
                <w:rFonts w:ascii="宋体" w:hAnsi="宋体" w:cs="宋体" w:eastAsia="宋体" w:hint="default"/>
                <w:sz w:val="18"/>
                <w:szCs w:val="18"/>
              </w:rPr>
            </w:pPr>
            <w:r>
              <w:rPr>
                <w:rFonts w:ascii="宋体" w:hAnsi="宋体" w:cs="宋体" w:eastAsia="宋体" w:hint="default"/>
                <w:sz w:val="18"/>
                <w:szCs w:val="18"/>
              </w:rPr>
              <w:t>贵州贵银投 资有限公司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700,000.00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5" w:right="0"/>
              <w:jc w:val="left"/>
              <w:rPr>
                <w:rFonts w:ascii="宋体" w:hAnsi="宋体" w:cs="宋体" w:eastAsia="宋体" w:hint="default"/>
                <w:sz w:val="18"/>
                <w:szCs w:val="18"/>
              </w:rPr>
            </w:pPr>
            <w:r>
              <w:rPr>
                <w:rFonts w:ascii="宋体"/>
                <w:sz w:val="18"/>
              </w:rPr>
              <w:t>7.00%</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97"/>
              <w:jc w:val="both"/>
              <w:rPr>
                <w:rFonts w:ascii="宋体" w:hAnsi="宋体" w:cs="宋体" w:eastAsia="宋体" w:hint="default"/>
                <w:sz w:val="18"/>
                <w:szCs w:val="18"/>
              </w:rPr>
            </w:pPr>
            <w:r>
              <w:rPr>
                <w:rFonts w:ascii="宋体" w:hAnsi="宋体" w:cs="宋体" w:eastAsia="宋体" w:hint="default"/>
                <w:sz w:val="18"/>
                <w:szCs w:val="18"/>
              </w:rPr>
              <w:t>广东九联科 技股份有限 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21,600,000.00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21,600,000.00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85" w:right="0"/>
              <w:jc w:val="left"/>
              <w:rPr>
                <w:rFonts w:ascii="宋体" w:hAnsi="宋体" w:cs="宋体" w:eastAsia="宋体" w:hint="default"/>
                <w:sz w:val="18"/>
                <w:szCs w:val="18"/>
              </w:rPr>
            </w:pPr>
            <w:r>
              <w:rPr>
                <w:rFonts w:ascii="宋体"/>
                <w:sz w:val="18"/>
              </w:rPr>
              <w:t>4.00%</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1576"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11"/>
              <w:ind w:left="13" w:right="197"/>
              <w:jc w:val="both"/>
              <w:rPr>
                <w:rFonts w:ascii="宋体" w:hAnsi="宋体" w:cs="宋体" w:eastAsia="宋体" w:hint="default"/>
                <w:sz w:val="18"/>
                <w:szCs w:val="18"/>
              </w:rPr>
            </w:pPr>
            <w:r>
              <w:rPr>
                <w:rFonts w:ascii="宋体" w:hAnsi="宋体" w:cs="宋体" w:eastAsia="宋体" w:hint="default"/>
                <w:sz w:val="18"/>
                <w:szCs w:val="18"/>
              </w:rPr>
              <w:t>南京光一文 化产业投资 发展合伙企 业（有限合 伙）</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56,000,000.00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56,000,000.00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5" w:right="0"/>
              <w:jc w:val="left"/>
              <w:rPr>
                <w:rFonts w:ascii="宋体" w:hAnsi="宋体" w:cs="宋体" w:eastAsia="宋体" w:hint="default"/>
                <w:sz w:val="18"/>
                <w:szCs w:val="18"/>
              </w:rPr>
            </w:pPr>
            <w:r>
              <w:rPr>
                <w:rFonts w:ascii="宋体"/>
                <w:sz w:val="18"/>
              </w:rPr>
              <w:t>0.35%</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1262"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97"/>
              <w:jc w:val="both"/>
              <w:rPr>
                <w:rFonts w:ascii="宋体" w:hAnsi="宋体" w:cs="宋体" w:eastAsia="宋体" w:hint="default"/>
                <w:sz w:val="18"/>
                <w:szCs w:val="18"/>
              </w:rPr>
            </w:pPr>
            <w:r>
              <w:rPr>
                <w:rFonts w:ascii="宋体" w:hAnsi="宋体" w:cs="宋体" w:eastAsia="宋体" w:hint="default"/>
                <w:sz w:val="18"/>
                <w:szCs w:val="18"/>
              </w:rPr>
              <w:t>南京捷尼瑞 科技产业投 资合伙企业</w:t>
            </w:r>
          </w:p>
          <w:p>
            <w:pPr>
              <w:pStyle w:val="TableParagraph"/>
              <w:spacing w:line="240" w:lineRule="auto" w:before="19"/>
              <w:ind w:left="13"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85" w:right="0"/>
              <w:jc w:val="left"/>
              <w:rPr>
                <w:rFonts w:ascii="宋体" w:hAnsi="宋体" w:cs="宋体" w:eastAsia="宋体" w:hint="default"/>
                <w:sz w:val="18"/>
                <w:szCs w:val="18"/>
              </w:rPr>
            </w:pPr>
            <w:r>
              <w:rPr>
                <w:rFonts w:ascii="宋体"/>
                <w:sz w:val="18"/>
              </w:rPr>
              <w:t>0.93%</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11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22,300,000.00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59,000,000.00</w:t>
            </w:r>
          </w:p>
        </w:tc>
        <w:tc>
          <w:tcPr>
            <w:tcW w:w="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71" w:right="0"/>
              <w:jc w:val="left"/>
              <w:rPr>
                <w:rFonts w:ascii="宋体" w:hAnsi="宋体" w:cs="宋体" w:eastAsia="宋体" w:hint="default"/>
                <w:sz w:val="18"/>
                <w:szCs w:val="18"/>
              </w:rPr>
            </w:pPr>
            <w:r>
              <w:rPr>
                <w:rFonts w:ascii="宋体"/>
                <w:sz w:val="18"/>
              </w:rPr>
              <w:t>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81,300,000.00</w:t>
            </w:r>
          </w:p>
        </w:tc>
        <w:tc>
          <w:tcPr>
            <w:tcW w:w="566"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593" w:type="dxa"/>
            <w:tcBorders>
              <w:top w:val="single" w:sz="6" w:space="0" w:color="000000"/>
              <w:left w:val="single" w:sz="6" w:space="0" w:color="000000"/>
              <w:bottom w:val="single" w:sz="12" w:space="0" w:color="000000"/>
              <w:right w:val="single" w:sz="9" w:space="0" w:color="D2D2D2"/>
            </w:tcBorders>
          </w:tcPr>
          <w:p>
            <w:pPr/>
          </w:p>
        </w:tc>
        <w:tc>
          <w:tcPr>
            <w:tcW w:w="87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1"/>
              <w:ind w:left="338" w:right="0"/>
              <w:jc w:val="left"/>
              <w:rPr>
                <w:rFonts w:ascii="宋体" w:hAnsi="宋体" w:cs="宋体" w:eastAsia="宋体" w:hint="default"/>
                <w:sz w:val="18"/>
                <w:szCs w:val="18"/>
              </w:rPr>
            </w:pPr>
            <w:r>
              <w:rPr>
                <w:rFonts w:ascii="宋体"/>
                <w:sz w:val="18"/>
              </w:rPr>
              <w:t>--</w:t>
            </w:r>
          </w:p>
        </w:tc>
        <w:tc>
          <w:tcPr>
            <w:tcW w:w="869"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1"/>
        <w:jc w:val="left"/>
        <w:rPr>
          <w:b w:val="0"/>
          <w:bCs w:val="0"/>
        </w:rPr>
      </w:pPr>
      <w:bookmarkStart w:name="（4）报告期内可供出售金融资产减值的变动情况" w:id="270"/>
      <w:bookmarkEnd w:id="270"/>
      <w:r>
        <w:rPr>
          <w:b w:val="0"/>
          <w:bCs w:val="0"/>
        </w:rPr>
      </w:r>
      <w:r>
        <w:rPr/>
        <w:t>（</w:t>
      </w:r>
      <w:r>
        <w:rPr>
          <w:rFonts w:ascii="宋体" w:hAnsi="宋体" w:cs="宋体" w:eastAsia="宋体"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5）可供出售权益工具期末公允价值严重下跌或非暂时性下跌但未计提减值准备的相关说" w:id="271"/>
      <w:bookmarkEnd w:id="271"/>
      <w:r>
        <w:rPr>
          <w:b w:val="0"/>
          <w:bCs w:val="0"/>
        </w:rPr>
      </w:r>
      <w:r>
        <w:rPr/>
        <w:t>（</w:t>
      </w:r>
      <w:r>
        <w:rPr>
          <w:rFonts w:ascii="宋体" w:hAnsi="宋体" w:cs="宋体" w:eastAsia="宋体"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85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5、持有至到期投资" w:id="272"/>
      <w:bookmarkEnd w:id="272"/>
      <w:r>
        <w:rPr>
          <w:rFonts w:ascii="宋体" w:hAnsi="宋体" w:cs="宋体" w:eastAsia="宋体" w:hint="default"/>
          <w:sz w:val="21"/>
          <w:szCs w:val="21"/>
        </w:rPr>
      </w:r>
      <w:r>
        <w:rPr>
          <w:rFonts w:ascii="宋体" w:hAnsi="宋体" w:cs="宋体" w:eastAsia="宋体"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pStyle w:val="Heading4"/>
        <w:spacing w:line="240" w:lineRule="auto" w:before="46"/>
        <w:ind w:left="1133" w:right="1121"/>
        <w:jc w:val="left"/>
        <w:rPr>
          <w:b w:val="0"/>
          <w:bCs w:val="0"/>
        </w:rPr>
      </w:pPr>
      <w:bookmarkStart w:name="（1）持有至到期投资情况" w:id="273"/>
      <w:bookmarkEnd w:id="273"/>
      <w:r>
        <w:rPr>
          <w:b w:val="0"/>
          <w:bCs w:val="0"/>
        </w:rPr>
      </w:r>
      <w:r>
        <w:rPr/>
        <w:t>（</w:t>
      </w:r>
      <w:r>
        <w:rPr>
          <w:rFonts w:ascii="宋体" w:hAnsi="宋体" w:cs="宋体" w:eastAsia="宋体" w:hint="default"/>
        </w:rPr>
        <w:t>1</w:t>
      </w:r>
      <w:r>
        <w:rPr/>
        <w:t>）持有至到期投资情况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2）期末重要的持有至到期投资" w:id="274"/>
      <w:bookmarkEnd w:id="274"/>
      <w:r>
        <w:rPr>
          <w:b w:val="0"/>
          <w:bCs w:val="0"/>
        </w:rPr>
      </w:r>
      <w:r>
        <w:rPr/>
        <w:t>（</w:t>
      </w:r>
      <w:r>
        <w:rPr>
          <w:rFonts w:ascii="宋体" w:hAnsi="宋体" w:cs="宋体" w:eastAsia="宋体" w:hint="default"/>
        </w:rPr>
        <w:t>2</w:t>
      </w:r>
      <w:r>
        <w:rPr/>
        <w:t>）期末重要的持有至到期投资</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3）本期重分类的持有至到期投资" w:id="275"/>
      <w:bookmarkEnd w:id="275"/>
      <w:r>
        <w:rPr>
          <w:b w:val="0"/>
          <w:bCs w:val="0"/>
        </w:rPr>
      </w:r>
      <w:r>
        <w:rPr/>
        <w:t>（</w:t>
      </w:r>
      <w:r>
        <w:rPr>
          <w:rFonts w:ascii="宋体" w:hAnsi="宋体" w:cs="宋体" w:eastAsia="宋体" w:hint="default"/>
        </w:rPr>
        <w:t>3</w:t>
      </w:r>
      <w:r>
        <w:rPr/>
        <w:t>）本期重分类的持有至到期投资</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6、长期应收款" w:id="276"/>
      <w:bookmarkEnd w:id="276"/>
      <w:r>
        <w:rPr>
          <w:rFonts w:ascii="宋体" w:hAnsi="宋体" w:cs="宋体" w:eastAsia="宋体" w:hint="default"/>
          <w:sz w:val="21"/>
          <w:szCs w:val="21"/>
        </w:rPr>
      </w:r>
      <w:r>
        <w:rPr>
          <w:rFonts w:ascii="宋体" w:hAnsi="宋体" w:cs="宋体" w:eastAsia="宋体"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Heading4"/>
        <w:spacing w:line="240" w:lineRule="auto" w:before="46"/>
        <w:ind w:right="1121"/>
        <w:jc w:val="left"/>
        <w:rPr>
          <w:b w:val="0"/>
          <w:bCs w:val="0"/>
        </w:rPr>
      </w:pPr>
      <w:bookmarkStart w:name="（1）长期应收款情况" w:id="277"/>
      <w:bookmarkEnd w:id="277"/>
      <w:r>
        <w:rPr>
          <w:b w:val="0"/>
          <w:bCs w:val="0"/>
        </w:rPr>
      </w:r>
      <w:r>
        <w:rPr/>
        <w:t>（</w:t>
      </w:r>
      <w:r>
        <w:rPr>
          <w:rFonts w:ascii="宋体" w:hAnsi="宋体" w:cs="宋体" w:eastAsia="宋体" w:hint="default"/>
        </w:rPr>
        <w:t>1</w:t>
      </w:r>
      <w:r>
        <w:rPr/>
        <w:t>）长期应收款情况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2）因金融资产转移而终止确认的长期应收款" w:id="278"/>
      <w:bookmarkEnd w:id="278"/>
      <w:r>
        <w:rPr>
          <w:b w:val="0"/>
          <w:bCs w:val="0"/>
        </w:rPr>
      </w:r>
      <w:r>
        <w:rPr/>
        <w:t>（</w:t>
      </w:r>
      <w:r>
        <w:rPr>
          <w:rFonts w:ascii="宋体" w:hAnsi="宋体" w:cs="宋体" w:eastAsia="宋体"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转移长期应收款且继续涉入形成的资产、负债金额" w:id="279"/>
      <w:bookmarkEnd w:id="279"/>
      <w:r>
        <w:rPr>
          <w:b w:val="0"/>
          <w:bCs w:val="0"/>
        </w:rPr>
      </w:r>
      <w:r>
        <w:rPr/>
        <w:t>（</w:t>
      </w:r>
      <w:r>
        <w:rPr>
          <w:rFonts w:ascii="宋体" w:hAnsi="宋体" w:cs="宋体" w:eastAsia="宋体" w:hint="default"/>
        </w:rPr>
        <w:t>3</w:t>
      </w:r>
      <w:r>
        <w:rPr/>
        <w:t>）转移长期应收款且继续涉入形成的资产、负债金额</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7、长期股权投资" w:id="280"/>
      <w:bookmarkEnd w:id="280"/>
      <w:r>
        <w:rPr>
          <w:rFonts w:ascii="宋体" w:hAnsi="宋体" w:cs="宋体" w:eastAsia="宋体" w:hint="default"/>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692" w:type="dxa"/>
        <w:tblLayout w:type="fixed"/>
        <w:tblCellMar>
          <w:top w:w="0" w:type="dxa"/>
          <w:left w:w="0" w:type="dxa"/>
          <w:bottom w:w="0" w:type="dxa"/>
          <w:right w:w="0" w:type="dxa"/>
        </w:tblCellMar>
        <w:tblLook w:val="01E0"/>
      </w:tblPr>
      <w:tblGrid>
        <w:gridCol w:w="995"/>
        <w:gridCol w:w="1276"/>
        <w:gridCol w:w="1276"/>
        <w:gridCol w:w="283"/>
        <w:gridCol w:w="1276"/>
        <w:gridCol w:w="426"/>
        <w:gridCol w:w="1276"/>
        <w:gridCol w:w="710"/>
        <w:gridCol w:w="425"/>
        <w:gridCol w:w="463"/>
        <w:gridCol w:w="1380"/>
        <w:gridCol w:w="566"/>
      </w:tblGrid>
      <w:tr>
        <w:trPr>
          <w:trHeight w:val="413" w:hRule="exact"/>
        </w:trPr>
        <w:tc>
          <w:tcPr>
            <w:tcW w:w="9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4" w:type="dxa"/>
            <w:gridSpan w:val="8"/>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8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66"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95" w:right="8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43" w:hRule="exact"/>
        </w:trPr>
        <w:tc>
          <w:tcPr>
            <w:tcW w:w="995" w:type="dxa"/>
            <w:vMerge/>
            <w:tcBorders>
              <w:left w:val="single" w:sz="12"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2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80" w:right="89"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25" w:right="24"/>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76" w:right="76"/>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vMerge/>
            <w:tcBorders>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0350"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7" w:hRule="exact"/>
        </w:trPr>
        <w:tc>
          <w:tcPr>
            <w:tcW w:w="10350"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57"/>
              <w:jc w:val="both"/>
              <w:rPr>
                <w:rFonts w:ascii="宋体" w:hAnsi="宋体" w:cs="宋体" w:eastAsia="宋体" w:hint="default"/>
                <w:sz w:val="18"/>
                <w:szCs w:val="18"/>
              </w:rPr>
            </w:pPr>
            <w:r>
              <w:rPr>
                <w:rFonts w:ascii="宋体" w:hAnsi="宋体" w:cs="宋体" w:eastAsia="宋体" w:hint="default"/>
                <w:sz w:val="18"/>
                <w:szCs w:val="18"/>
              </w:rPr>
              <w:t>中云文化大 数据科技有 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30,372,767.05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38,000,000.00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-6,312,373.13</w:t>
            </w: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 w:right="0"/>
              <w:jc w:val="left"/>
              <w:rPr>
                <w:rFonts w:ascii="宋体" w:hAnsi="宋体" w:cs="宋体" w:eastAsia="宋体" w:hint="default"/>
                <w:sz w:val="18"/>
                <w:szCs w:val="18"/>
              </w:rPr>
            </w:pPr>
            <w:r>
              <w:rPr>
                <w:rFonts w:ascii="宋体"/>
                <w:sz w:val="18"/>
              </w:rPr>
              <w:t>18,586,577.69</w:t>
            </w: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80,646,971.61</w:t>
            </w:r>
          </w:p>
        </w:tc>
        <w:tc>
          <w:tcPr>
            <w:tcW w:w="566"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57"/>
              <w:jc w:val="both"/>
              <w:rPr>
                <w:rFonts w:ascii="宋体" w:hAnsi="宋体" w:cs="宋体" w:eastAsia="宋体" w:hint="default"/>
                <w:sz w:val="18"/>
                <w:szCs w:val="18"/>
              </w:rPr>
            </w:pPr>
            <w:r>
              <w:rPr>
                <w:rFonts w:ascii="宋体" w:hAnsi="宋体" w:cs="宋体" w:eastAsia="宋体" w:hint="default"/>
                <w:sz w:val="18"/>
                <w:szCs w:val="18"/>
              </w:rPr>
              <w:t>北京中广格 兰信息科技 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9,012,192.63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3,000,000.00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-614,376.31</w:t>
            </w: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11,397,816.32</w:t>
            </w:r>
          </w:p>
        </w:tc>
        <w:tc>
          <w:tcPr>
            <w:tcW w:w="566"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57"/>
              <w:jc w:val="both"/>
              <w:rPr>
                <w:rFonts w:ascii="宋体" w:hAnsi="宋体" w:cs="宋体" w:eastAsia="宋体" w:hint="default"/>
                <w:sz w:val="18"/>
                <w:szCs w:val="18"/>
              </w:rPr>
            </w:pPr>
            <w:r>
              <w:rPr>
                <w:rFonts w:ascii="宋体" w:hAnsi="宋体" w:cs="宋体" w:eastAsia="宋体" w:hint="default"/>
                <w:sz w:val="18"/>
                <w:szCs w:val="18"/>
              </w:rPr>
              <w:t>广东今程光 一电力科技 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2,980,087.18</w:t>
            </w:r>
          </w:p>
        </w:tc>
        <w:tc>
          <w:tcPr>
            <w:tcW w:w="127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50,134.21</w:t>
            </w: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3,030,221.39</w:t>
            </w:r>
          </w:p>
        </w:tc>
        <w:tc>
          <w:tcPr>
            <w:tcW w:w="566"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57"/>
              <w:jc w:val="both"/>
              <w:rPr>
                <w:rFonts w:ascii="宋体" w:hAnsi="宋体" w:cs="宋体" w:eastAsia="宋体" w:hint="default"/>
                <w:sz w:val="18"/>
                <w:szCs w:val="18"/>
              </w:rPr>
            </w:pPr>
            <w:r>
              <w:rPr>
                <w:rFonts w:ascii="宋体" w:hAnsi="宋体" w:cs="宋体" w:eastAsia="宋体" w:hint="default"/>
                <w:sz w:val="18"/>
                <w:szCs w:val="18"/>
              </w:rPr>
              <w:t>江苏其厚智 能电气设备 有限公司</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29,166,666.00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3,996,518.31</w:t>
            </w: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33,163,184.31</w:t>
            </w:r>
          </w:p>
        </w:tc>
        <w:tc>
          <w:tcPr>
            <w:tcW w:w="566"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9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3" w:right="57"/>
              <w:jc w:val="both"/>
              <w:rPr>
                <w:rFonts w:ascii="宋体" w:hAnsi="宋体" w:cs="宋体" w:eastAsia="宋体" w:hint="default"/>
                <w:sz w:val="18"/>
                <w:szCs w:val="18"/>
              </w:rPr>
            </w:pPr>
            <w:r>
              <w:rPr>
                <w:rFonts w:ascii="宋体" w:hAnsi="宋体" w:cs="宋体" w:eastAsia="宋体" w:hint="default"/>
                <w:sz w:val="18"/>
                <w:szCs w:val="18"/>
              </w:rPr>
              <w:t>北京大数有 容科技有限 公司</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5,000,000.00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-129,667.94</w:t>
            </w: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4,870,332.06</w:t>
            </w:r>
          </w:p>
        </w:tc>
        <w:tc>
          <w:tcPr>
            <w:tcW w:w="5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42,365,046.86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75,166,666.00</w:t>
            </w:r>
          </w:p>
        </w:tc>
        <w:tc>
          <w:tcPr>
            <w:tcW w:w="2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-3,009,764.86</w:t>
            </w:r>
          </w:p>
        </w:tc>
        <w:tc>
          <w:tcPr>
            <w:tcW w:w="42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18,586,577.69</w:t>
            </w:r>
          </w:p>
        </w:tc>
        <w:tc>
          <w:tcPr>
            <w:tcW w:w="71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63"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133,108,525.69</w:t>
            </w:r>
          </w:p>
        </w:tc>
        <w:tc>
          <w:tcPr>
            <w:tcW w:w="56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9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42,365,046.86</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75,166,666.00</w:t>
            </w:r>
          </w:p>
        </w:tc>
        <w:tc>
          <w:tcPr>
            <w:tcW w:w="283"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-3,009,764.86</w:t>
            </w:r>
          </w:p>
        </w:tc>
        <w:tc>
          <w:tcPr>
            <w:tcW w:w="42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18,586,577.69</w:t>
            </w:r>
          </w:p>
        </w:tc>
        <w:tc>
          <w:tcPr>
            <w:tcW w:w="710"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463"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133,108,525.69</w:t>
            </w:r>
          </w:p>
        </w:tc>
        <w:tc>
          <w:tcPr>
            <w:tcW w:w="56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其他说明</w:t>
      </w:r>
    </w:p>
    <w:p>
      <w:pPr>
        <w:spacing w:line="240" w:lineRule="auto" w:before="10"/>
        <w:rPr>
          <w:rFonts w:ascii="宋体" w:hAnsi="宋体" w:cs="宋体" w:eastAsia="宋体" w:hint="default"/>
          <w:sz w:val="14"/>
          <w:szCs w:val="14"/>
        </w:rPr>
      </w:pPr>
    </w:p>
    <w:p>
      <w:pPr>
        <w:pStyle w:val="BodyText"/>
        <w:spacing w:line="240" w:lineRule="auto" w:before="0"/>
        <w:ind w:left="0" w:right="1131"/>
        <w:jc w:val="right"/>
      </w:pPr>
      <w:r>
        <w:rPr>
          <w:rFonts w:ascii="宋体" w:hAnsi="宋体" w:cs="宋体" w:eastAsia="宋体" w:hint="default"/>
        </w:rPr>
        <w:t>2017</w:t>
      </w:r>
      <w:r>
        <w:rPr/>
        <w:t>年光一科技股份有限公司完成对中云文化大数据有限公司的增资</w:t>
      </w:r>
      <w:r>
        <w:rPr>
          <w:rFonts w:ascii="宋体" w:hAnsi="宋体" w:cs="宋体" w:eastAsia="宋体" w:hint="default"/>
        </w:rPr>
        <w:t>3,000</w:t>
      </w:r>
      <w:r>
        <w:rPr/>
        <w:t>万，并完成前期资本投资</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rFonts w:ascii="宋体" w:hAnsi="宋体" w:cs="宋体" w:eastAsia="宋体" w:hint="default"/>
          <w:spacing w:val="3"/>
        </w:rPr>
        <w:t>800</w:t>
      </w:r>
      <w:r>
        <w:rPr>
          <w:spacing w:val="3"/>
        </w:rPr>
        <w:t>万，持股比例又原来的</w:t>
      </w:r>
      <w:r>
        <w:rPr>
          <w:rFonts w:ascii="宋体" w:hAnsi="宋体" w:cs="宋体" w:eastAsia="宋体" w:hint="default"/>
          <w:spacing w:val="3"/>
        </w:rPr>
        <w:t>30%</w:t>
      </w:r>
      <w:r>
        <w:rPr>
          <w:spacing w:val="3"/>
        </w:rPr>
        <w:t>变为</w:t>
      </w:r>
      <w:r>
        <w:rPr>
          <w:rFonts w:ascii="宋体" w:hAnsi="宋体" w:cs="宋体" w:eastAsia="宋体" w:hint="default"/>
          <w:spacing w:val="3"/>
        </w:rPr>
        <w:t>11.54%</w:t>
      </w:r>
      <w:r>
        <w:rPr>
          <w:spacing w:val="3"/>
        </w:rPr>
        <w:t>；完成对江苏其厚智能电气设备有限公司的增资，增资金额为</w:t>
      </w:r>
    </w:p>
    <w:p>
      <w:pPr>
        <w:spacing w:line="240" w:lineRule="auto" w:before="10"/>
        <w:rPr>
          <w:rFonts w:ascii="宋体" w:hAnsi="宋体" w:cs="宋体" w:eastAsia="宋体" w:hint="default"/>
          <w:sz w:val="14"/>
          <w:szCs w:val="14"/>
        </w:rPr>
      </w:pPr>
    </w:p>
    <w:p>
      <w:pPr>
        <w:pStyle w:val="BodyText"/>
        <w:spacing w:line="408" w:lineRule="auto" w:before="0"/>
        <w:ind w:right="1121"/>
        <w:jc w:val="left"/>
      </w:pPr>
      <w:r>
        <w:rPr>
          <w:rFonts w:ascii="宋体" w:hAnsi="宋体" w:cs="宋体" w:eastAsia="宋体" w:hint="default"/>
        </w:rPr>
        <w:t>2,916.6666</w:t>
      </w:r>
      <w:r>
        <w:rPr/>
        <w:t>万元</w:t>
      </w:r>
      <w:r>
        <w:rPr>
          <w:rFonts w:ascii="宋体" w:hAnsi="宋体" w:cs="宋体" w:eastAsia="宋体" w:hint="default"/>
        </w:rPr>
        <w:t>,</w:t>
      </w:r>
      <w:r>
        <w:rPr/>
        <w:t>持股比例为</w:t>
      </w:r>
      <w:r>
        <w:rPr>
          <w:rFonts w:ascii="宋体" w:hAnsi="宋体" w:cs="宋体" w:eastAsia="宋体" w:hint="default"/>
        </w:rPr>
        <w:t>28%</w:t>
      </w:r>
      <w:r>
        <w:rPr/>
        <w:t>；投资北京大数有容科技有限公司</w:t>
      </w:r>
      <w:r>
        <w:rPr>
          <w:rFonts w:ascii="宋体" w:hAnsi="宋体" w:cs="宋体" w:eastAsia="宋体" w:hint="default"/>
        </w:rPr>
        <w:t>500</w:t>
      </w:r>
      <w:r>
        <w:rPr/>
        <w:t>万，完成对北京大数有容科技有限</w:t>
      </w:r>
      <w:r>
        <w:rPr>
          <w:spacing w:val="-31"/>
        </w:rPr>
        <w:t> </w:t>
      </w:r>
      <w:r>
        <w:rPr>
          <w:spacing w:val="-31"/>
        </w:rPr>
      </w:r>
      <w:r>
        <w:rPr/>
        <w:t>公司的增资，持股比例为</w:t>
      </w:r>
      <w:r>
        <w:rPr>
          <w:rFonts w:ascii="宋体" w:hAnsi="宋体" w:cs="宋体" w:eastAsia="宋体" w:hint="default"/>
        </w:rPr>
        <w:t>40%</w:t>
      </w:r>
      <w:r>
        <w:rPr/>
        <w:t>。</w:t>
      </w:r>
    </w:p>
    <w:p>
      <w:pPr>
        <w:pStyle w:val="Heading4"/>
        <w:spacing w:line="240" w:lineRule="auto" w:before="46"/>
        <w:ind w:left="1133" w:right="1121"/>
        <w:jc w:val="left"/>
        <w:rPr>
          <w:b w:val="0"/>
          <w:bCs w:val="0"/>
        </w:rPr>
      </w:pPr>
      <w:bookmarkStart w:name="18、投资性房地产" w:id="281"/>
      <w:bookmarkEnd w:id="281"/>
      <w:r>
        <w:rPr>
          <w:b w:val="0"/>
          <w:bCs w:val="0"/>
        </w:rPr>
      </w:r>
      <w:r>
        <w:rPr>
          <w:rFonts w:ascii="宋体" w:hAnsi="宋体" w:cs="宋体" w:eastAsia="宋体" w:hint="default"/>
        </w:rPr>
        <w:t>18</w:t>
      </w:r>
      <w:r>
        <w:rPr/>
        <w:t>、投资性房地产</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133" w:right="1121"/>
        <w:jc w:val="left"/>
        <w:rPr>
          <w:b w:val="0"/>
          <w:bCs w:val="0"/>
        </w:rPr>
      </w:pPr>
      <w:bookmarkStart w:name="（1）采用成本计量模式的投资性房地产" w:id="282"/>
      <w:bookmarkEnd w:id="282"/>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2111"/>
        <w:gridCol w:w="1871"/>
        <w:gridCol w:w="1860"/>
        <w:gridCol w:w="1862"/>
        <w:gridCol w:w="1861"/>
      </w:tblGrid>
      <w:tr>
        <w:trPr>
          <w:trHeight w:val="415" w:hRule="exact"/>
        </w:trPr>
        <w:tc>
          <w:tcPr>
            <w:tcW w:w="21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15,921,853.07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15,921,853.07</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1,615,382.53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1,615,382.53</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1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固定资产</w:t>
            </w:r>
            <w:r>
              <w:rPr>
                <w:rFonts w:ascii="宋体" w:hAnsi="宋体" w:cs="宋体" w:eastAsia="宋体" w:hint="default"/>
                <w:sz w:val="18"/>
                <w:szCs w:val="18"/>
              </w:rPr>
              <w:t>\ </w:t>
            </w:r>
            <w:r>
              <w:rPr>
                <w:rFonts w:ascii="宋体" w:hAnsi="宋体" w:cs="宋体" w:eastAsia="宋体" w:hint="default"/>
                <w:sz w:val="18"/>
                <w:szCs w:val="18"/>
              </w:rPr>
              <w:t>在建工程转入</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1,615,382.53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1,615,382.53</w:t>
            </w:r>
          </w:p>
        </w:tc>
      </w:tr>
      <w:tr>
        <w:trPr>
          <w:trHeight w:val="408"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10,488,934.61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10,488,934.61</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10,427,703.40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10,427,703.40</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61,231.21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61,231.21</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7,048,300.99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7,048,300.99</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6,392,236.76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6,392,236.76</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886,162.95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886,162.95</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609,636.28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609,636.28</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）其他转入</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276,526.67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276,526.67</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4,825,401.02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4,825,401.02</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4,808,098.39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4,808,098.39</w:t>
            </w:r>
          </w:p>
        </w:tc>
      </w:tr>
      <w:tr>
        <w:trPr>
          <w:trHeight w:val="408"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17,302.63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17,302.63</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2,452,998.69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2,452,998.69</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71"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71"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1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71" w:type="dxa"/>
            <w:tcBorders>
              <w:top w:val="single" w:sz="6" w:space="0" w:color="000000"/>
              <w:left w:val="single" w:sz="6" w:space="0" w:color="000000"/>
              <w:bottom w:val="single" w:sz="12" w:space="0" w:color="000000"/>
              <w:right w:val="single" w:sz="6" w:space="0" w:color="000000"/>
            </w:tcBorders>
          </w:tcPr>
          <w:p>
            <w:pPr/>
          </w:p>
        </w:tc>
        <w:tc>
          <w:tcPr>
            <w:tcW w:w="1860" w:type="dxa"/>
            <w:tcBorders>
              <w:top w:val="single" w:sz="6" w:space="0" w:color="000000"/>
              <w:left w:val="single" w:sz="6" w:space="0" w:color="000000"/>
              <w:bottom w:val="single" w:sz="12" w:space="0" w:color="000000"/>
              <w:right w:val="single" w:sz="6" w:space="0" w:color="000000"/>
            </w:tcBorders>
          </w:tcPr>
          <w:p>
            <w:pPr/>
          </w:p>
        </w:tc>
        <w:tc>
          <w:tcPr>
            <w:tcW w:w="1862" w:type="dxa"/>
            <w:tcBorders>
              <w:top w:val="single" w:sz="6" w:space="0" w:color="000000"/>
              <w:left w:val="single" w:sz="6" w:space="0" w:color="000000"/>
              <w:bottom w:val="single" w:sz="12" w:space="0" w:color="000000"/>
              <w:right w:val="single" w:sz="6" w:space="0" w:color="000000"/>
            </w:tcBorders>
          </w:tcPr>
          <w:p>
            <w:pPr/>
          </w:p>
        </w:tc>
        <w:tc>
          <w:tcPr>
            <w:tcW w:w="186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2111"/>
        <w:gridCol w:w="1871"/>
        <w:gridCol w:w="1860"/>
        <w:gridCol w:w="1862"/>
        <w:gridCol w:w="1861"/>
      </w:tblGrid>
      <w:tr>
        <w:trPr>
          <w:trHeight w:val="415" w:hRule="exact"/>
        </w:trPr>
        <w:tc>
          <w:tcPr>
            <w:tcW w:w="21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71"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87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4,595,302.30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46" w:right="0"/>
              <w:jc w:val="left"/>
              <w:rPr>
                <w:rFonts w:ascii="宋体" w:hAnsi="宋体" w:cs="宋体" w:eastAsia="宋体" w:hint="default"/>
                <w:sz w:val="18"/>
                <w:szCs w:val="18"/>
              </w:rPr>
            </w:pPr>
            <w:r>
              <w:rPr>
                <w:rFonts w:ascii="宋体"/>
                <w:sz w:val="18"/>
              </w:rPr>
              <w:t>4,595,302.30</w:t>
            </w:r>
          </w:p>
        </w:tc>
      </w:tr>
      <w:tr>
        <w:trPr>
          <w:trHeight w:val="415" w:hRule="exact"/>
        </w:trPr>
        <w:tc>
          <w:tcPr>
            <w:tcW w:w="21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87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9,529,616.31</w:t>
            </w:r>
          </w:p>
        </w:tc>
        <w:tc>
          <w:tcPr>
            <w:tcW w:w="1860" w:type="dxa"/>
            <w:tcBorders>
              <w:top w:val="single" w:sz="6" w:space="0" w:color="000000"/>
              <w:left w:val="single" w:sz="6" w:space="0" w:color="000000"/>
              <w:bottom w:val="single" w:sz="12" w:space="0" w:color="000000"/>
              <w:right w:val="single" w:sz="6" w:space="0" w:color="000000"/>
            </w:tcBorders>
          </w:tcPr>
          <w:p>
            <w:pPr/>
          </w:p>
        </w:tc>
        <w:tc>
          <w:tcPr>
            <w:tcW w:w="1862" w:type="dxa"/>
            <w:tcBorders>
              <w:top w:val="single" w:sz="6" w:space="0" w:color="000000"/>
              <w:left w:val="single" w:sz="6" w:space="0" w:color="000000"/>
              <w:bottom w:val="single" w:sz="12" w:space="0" w:color="000000"/>
              <w:right w:val="single" w:sz="6" w:space="0" w:color="000000"/>
            </w:tcBorders>
          </w:tcPr>
          <w:p>
            <w:pPr/>
          </w:p>
        </w:tc>
        <w:tc>
          <w:tcPr>
            <w:tcW w:w="18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46" w:right="0"/>
              <w:jc w:val="left"/>
              <w:rPr>
                <w:rFonts w:ascii="宋体" w:hAnsi="宋体" w:cs="宋体" w:eastAsia="宋体" w:hint="default"/>
                <w:sz w:val="18"/>
                <w:szCs w:val="18"/>
              </w:rPr>
            </w:pPr>
            <w:r>
              <w:rPr>
                <w:rFonts w:ascii="宋体"/>
                <w:sz w:val="18"/>
              </w:rPr>
              <w:t>9,529,616.31</w:t>
            </w:r>
          </w:p>
        </w:tc>
      </w:tr>
    </w:tbl>
    <w:p>
      <w:pPr>
        <w:pStyle w:val="Heading4"/>
        <w:spacing w:line="240" w:lineRule="auto" w:before="63"/>
        <w:ind w:right="1121"/>
        <w:jc w:val="left"/>
        <w:rPr>
          <w:b w:val="0"/>
          <w:bCs w:val="0"/>
        </w:rPr>
      </w:pPr>
      <w:bookmarkStart w:name="（2）采用公允价值计量模式的投资性房地产" w:id="283"/>
      <w:bookmarkEnd w:id="283"/>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3"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97" w:right="0"/>
              <w:jc w:val="left"/>
              <w:rPr>
                <w:rFonts w:ascii="宋体" w:hAnsi="宋体" w:cs="宋体" w:eastAsia="宋体" w:hint="default"/>
                <w:sz w:val="18"/>
                <w:szCs w:val="18"/>
              </w:rPr>
            </w:pPr>
            <w:r>
              <w:rPr>
                <w:rFonts w:ascii="宋体"/>
                <w:sz w:val="18"/>
              </w:rPr>
              <w:t>9,529,616.31</w:t>
            </w: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154" w:firstLine="72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27" w:type="dxa"/>
            <w:tcBorders>
              <w:top w:val="single" w:sz="6" w:space="0" w:color="000000"/>
              <w:left w:val="single" w:sz="14" w:space="0" w:color="D2D2D2"/>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97" w:right="0"/>
              <w:jc w:val="left"/>
              <w:rPr>
                <w:rFonts w:ascii="宋体" w:hAnsi="宋体" w:cs="宋体" w:eastAsia="宋体" w:hint="default"/>
                <w:sz w:val="18"/>
                <w:szCs w:val="18"/>
              </w:rPr>
            </w:pPr>
            <w:r>
              <w:rPr>
                <w:rFonts w:ascii="宋体"/>
                <w:sz w:val="18"/>
              </w:rPr>
              <w:t>4,595,302.30</w:t>
            </w:r>
          </w:p>
        </w:tc>
      </w:tr>
    </w:tbl>
    <w:p>
      <w:pPr>
        <w:pStyle w:val="Heading4"/>
        <w:spacing w:line="240" w:lineRule="auto" w:before="63"/>
        <w:ind w:right="1121"/>
        <w:jc w:val="left"/>
        <w:rPr>
          <w:b w:val="0"/>
          <w:bCs w:val="0"/>
        </w:rPr>
      </w:pPr>
      <w:bookmarkStart w:name="（3）未办妥产权证书的投资性房地产情况" w:id="284"/>
      <w:bookmarkEnd w:id="284"/>
      <w:r>
        <w:rPr>
          <w:b w:val="0"/>
          <w:bCs w:val="0"/>
        </w:rPr>
      </w:r>
      <w:r>
        <w:rPr/>
        <w:t>（</w:t>
      </w:r>
      <w:r>
        <w:rPr>
          <w:rFonts w:ascii="宋体" w:hAnsi="宋体" w:cs="宋体" w:eastAsia="宋体" w:hint="default"/>
        </w:rPr>
        <w:t>3</w:t>
      </w:r>
      <w:r>
        <w:rPr/>
        <w:t>）未办妥产权证书的投资性房地产情况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4" w:right="8968"/>
        <w:jc w:val="left"/>
      </w:pPr>
      <w:r>
        <w:rPr/>
        <w:t>□ 适用 √</w:t>
      </w:r>
      <w:r>
        <w:rPr>
          <w:spacing w:val="-1"/>
        </w:rPr>
        <w:t> </w:t>
      </w:r>
      <w:r>
        <w:rPr/>
        <w:t>不适用</w:t>
      </w:r>
      <w:r>
        <w:rPr/>
        <w:t> 其他说明</w:t>
      </w:r>
    </w:p>
    <w:p>
      <w:pPr>
        <w:pStyle w:val="BodyText"/>
        <w:spacing w:line="408" w:lineRule="auto"/>
        <w:ind w:right="1121" w:firstLine="420"/>
        <w:jc w:val="left"/>
        <w:rPr>
          <w:rFonts w:ascii="MS Gothic" w:hAnsi="MS Gothic" w:cs="MS Gothic" w:eastAsia="MS Gothic" w:hint="default"/>
        </w:rPr>
      </w:pPr>
      <w:r>
        <w:rPr>
          <w:spacing w:val="-1"/>
        </w:rPr>
        <w:t>投资性房地产较期初较少</w:t>
      </w:r>
      <w:r>
        <w:rPr>
          <w:rFonts w:ascii="宋体" w:hAnsi="宋体" w:cs="宋体" w:eastAsia="宋体" w:hint="default"/>
          <w:spacing w:val="-1"/>
        </w:rPr>
        <w:t>4,934,314.01</w:t>
      </w:r>
      <w:r>
        <w:rPr>
          <w:spacing w:val="-1"/>
        </w:rPr>
        <w:t>元，下降比例为</w:t>
      </w:r>
      <w:r>
        <w:rPr>
          <w:rFonts w:ascii="宋体" w:hAnsi="宋体" w:cs="宋体" w:eastAsia="宋体" w:hint="default"/>
          <w:spacing w:val="-1"/>
        </w:rPr>
        <w:t>51.78%</w:t>
      </w:r>
      <w:r>
        <w:rPr>
          <w:spacing w:val="-1"/>
        </w:rPr>
        <w:t>，主要原因是光一处置位于苜蓿园大街</w:t>
      </w:r>
      <w:r>
        <w:rPr/>
        <w:t> </w:t>
      </w:r>
      <w:r>
        <w:rPr>
          <w:rFonts w:ascii="宋体" w:hAnsi="宋体" w:cs="宋体" w:eastAsia="宋体" w:hint="default"/>
        </w:rPr>
        <w:t>77</w:t>
      </w:r>
      <w:r>
        <w:rPr/>
        <w:t>号</w:t>
      </w:r>
      <w:r>
        <w:rPr>
          <w:rFonts w:ascii="宋体" w:hAnsi="宋体" w:cs="宋体" w:eastAsia="宋体" w:hint="default"/>
        </w:rPr>
        <w:t>2</w:t>
      </w:r>
      <w:r>
        <w:rPr/>
        <w:t>幢的房产所致</w:t>
      </w:r>
      <w:r>
        <w:rPr>
          <w:rFonts w:ascii="MS Gothic" w:hAnsi="MS Gothic" w:cs="MS Gothic" w:eastAsia="MS Gothic" w:hint="default"/>
        </w:rPr>
        <w:t>｡</w:t>
      </w:r>
    </w:p>
    <w:p>
      <w:pPr>
        <w:pStyle w:val="Heading4"/>
        <w:spacing w:line="240" w:lineRule="auto" w:before="46"/>
        <w:ind w:right="1121"/>
        <w:jc w:val="left"/>
        <w:rPr>
          <w:b w:val="0"/>
          <w:bCs w:val="0"/>
        </w:rPr>
      </w:pPr>
      <w:bookmarkStart w:name="19、固定资产" w:id="285"/>
      <w:bookmarkEnd w:id="285"/>
      <w:r>
        <w:rPr>
          <w:b w:val="0"/>
          <w:bCs w:val="0"/>
        </w:rPr>
      </w:r>
      <w:r>
        <w:rPr>
          <w:rFonts w:ascii="宋体" w:hAnsi="宋体" w:cs="宋体" w:eastAsia="宋体" w:hint="default"/>
        </w:rPr>
        <w:t>19</w:t>
      </w:r>
      <w:r>
        <w:rPr/>
        <w:t>、固定资产</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1"/>
        <w:jc w:val="left"/>
        <w:rPr>
          <w:b w:val="0"/>
          <w:bCs w:val="0"/>
        </w:rPr>
      </w:pPr>
      <w:bookmarkStart w:name="（1）固定资产情况" w:id="286"/>
      <w:bookmarkEnd w:id="286"/>
      <w:r>
        <w:rPr>
          <w:b w:val="0"/>
          <w:bCs w:val="0"/>
        </w:rPr>
      </w:r>
      <w:r>
        <w:rPr/>
        <w:t>（</w:t>
      </w:r>
      <w:r>
        <w:rPr>
          <w:rFonts w:ascii="宋体" w:hAnsi="宋体" w:cs="宋体" w:eastAsia="宋体" w:hint="default"/>
        </w:rPr>
        <w:t>1</w:t>
      </w:r>
      <w:r>
        <w:rPr/>
        <w:t>）固定资产情况</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939" w:type="dxa"/>
        <w:tblLayout w:type="fixed"/>
        <w:tblCellMar>
          <w:top w:w="0" w:type="dxa"/>
          <w:left w:w="0" w:type="dxa"/>
          <w:bottom w:w="0" w:type="dxa"/>
          <w:right w:w="0" w:type="dxa"/>
        </w:tblCellMar>
        <w:tblLook w:val="01E0"/>
      </w:tblPr>
      <w:tblGrid>
        <w:gridCol w:w="1794"/>
        <w:gridCol w:w="1367"/>
        <w:gridCol w:w="1367"/>
        <w:gridCol w:w="1368"/>
        <w:gridCol w:w="1367"/>
        <w:gridCol w:w="1367"/>
        <w:gridCol w:w="1366"/>
      </w:tblGrid>
      <w:tr>
        <w:trPr>
          <w:trHeight w:val="415" w:hRule="exact"/>
        </w:trPr>
        <w:tc>
          <w:tcPr>
            <w:tcW w:w="17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12" w:space="0" w:color="000000"/>
              <w:left w:val="single" w:sz="6" w:space="0" w:color="000000"/>
              <w:bottom w:val="single" w:sz="6" w:space="0" w:color="000000"/>
              <w:right w:val="single" w:sz="6" w:space="0" w:color="000000"/>
            </w:tcBorders>
            <w:shd w:val="clear" w:color="auto" w:fill="E0FFFF"/>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7" w:type="dxa"/>
            <w:tcBorders>
              <w:top w:val="single" w:sz="12" w:space="0" w:color="000000"/>
              <w:left w:val="single" w:sz="6" w:space="0" w:color="000000"/>
              <w:bottom w:val="single" w:sz="6" w:space="0" w:color="000000"/>
              <w:right w:val="single" w:sz="6" w:space="0" w:color="000000"/>
            </w:tcBorders>
            <w:shd w:val="clear" w:color="auto" w:fill="E0FFFF"/>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368" w:type="dxa"/>
            <w:tcBorders>
              <w:top w:val="single" w:sz="12" w:space="0" w:color="000000"/>
              <w:left w:val="single" w:sz="6" w:space="0" w:color="000000"/>
              <w:bottom w:val="single" w:sz="6" w:space="0" w:color="000000"/>
              <w:right w:val="single" w:sz="6" w:space="0" w:color="000000"/>
            </w:tcBorders>
            <w:shd w:val="clear" w:color="auto" w:fill="E0FFFF"/>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12" w:space="0" w:color="000000"/>
              <w:left w:val="single" w:sz="6" w:space="0" w:color="000000"/>
              <w:bottom w:val="single" w:sz="6" w:space="0" w:color="000000"/>
              <w:right w:val="single" w:sz="6" w:space="0" w:color="000000"/>
            </w:tcBorders>
            <w:shd w:val="clear" w:color="auto" w:fill="E0FFFF"/>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12" w:space="0" w:color="000000"/>
              <w:left w:val="single" w:sz="6" w:space="0" w:color="000000"/>
              <w:bottom w:val="single" w:sz="6" w:space="0" w:color="000000"/>
              <w:right w:val="single" w:sz="8" w:space="0" w:color="D2D2D2"/>
            </w:tcBorders>
            <w:shd w:val="clear" w:color="auto" w:fill="E0FFFF"/>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148,820,334.88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24,135,883.45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85,024,134.47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21,817,307.24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24,032,070.72</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303,829,730.76</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250,447,140.35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8,629,192.29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8,205.12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1,234,399.03</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260,318,936.79</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7,018,583.13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8,205.12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1,213,876.47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8,240,664.72</w:t>
            </w:r>
          </w:p>
        </w:tc>
      </w:tr>
      <w:tr>
        <w:trPr>
          <w:trHeight w:val="719"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250,385,909.14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1,610,609.16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20,522.56</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252,017,040.86</w:t>
            </w:r>
          </w:p>
        </w:tc>
      </w:tr>
      <w:tr>
        <w:trPr>
          <w:trHeight w:val="720"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61,231.21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61,231.21</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9,501,560.35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2,415,779.00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694,286.27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2,213,071.18</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14,824,696.80</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2,415,779.00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694,286.27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2,213,071.18</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5,323,136.45</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9,501,560.35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9,501,560.35</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389,765,914.88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24,135,883.45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91,237,547.76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21,131,226.09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23,053,398.57</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549,323,970.75</w:t>
            </w:r>
          </w:p>
        </w:tc>
      </w:tr>
      <w:tr>
        <w:trPr>
          <w:trHeight w:val="408"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13,566,716.14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10,028,758.00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41,741,108.42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12,068,737.43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16,085,680.52</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93,491,000.51</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4,794,284.28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2,288,081.76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7,983,800.14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2,085,626.86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2,837,341.09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19,989,134.13</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4,776,981.65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2,288,081.76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7,983,800.14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2,085,626.86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2,837,341.09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19,971,831.50</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17,302.63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17,302.63</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276,526.67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1,357,814.94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656,838.43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2,063,043.39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4,354,223.43</w:t>
            </w:r>
          </w:p>
        </w:tc>
      </w:tr>
      <w:tr>
        <w:trPr>
          <w:trHeight w:val="408"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1,357,814.94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656,838.43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2,063,043.39</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4,077,696.76</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276,526.67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276,526.67</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18,084,473.75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12,316,839.76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48,367,093.62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13,497,525.86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16,859,978.22</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109,125,911.21</w:t>
            </w: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7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371,681,441.13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11,819,043.69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42,870,454.14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7,633,700.23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6,193,420.35</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440,198,059.54</w:t>
            </w:r>
          </w:p>
        </w:tc>
      </w:tr>
      <w:tr>
        <w:trPr>
          <w:trHeight w:val="416" w:hRule="exact"/>
        </w:trPr>
        <w:tc>
          <w:tcPr>
            <w:tcW w:w="17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135,253,618.74</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14,107,125.45</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43,283,026.05</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9,748,569.81</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7,946,390.20</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210,338,730.25</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Heading4"/>
        <w:spacing w:line="240" w:lineRule="auto" w:before="35"/>
        <w:ind w:left="1133" w:right="1121"/>
        <w:jc w:val="left"/>
        <w:rPr>
          <w:b w:val="0"/>
          <w:bCs w:val="0"/>
        </w:rPr>
      </w:pPr>
      <w:bookmarkStart w:name="（2）暂时闲置的固定资产情况" w:id="287"/>
      <w:bookmarkEnd w:id="287"/>
      <w:r>
        <w:rPr>
          <w:b w:val="0"/>
          <w:bCs w:val="0"/>
        </w:rPr>
      </w:r>
      <w:r>
        <w:rPr/>
        <w:t>（</w:t>
      </w:r>
      <w:r>
        <w:rPr>
          <w:rFonts w:ascii="宋体" w:hAnsi="宋体" w:cs="宋体" w:eastAsia="宋体" w:hint="default"/>
        </w:rPr>
        <w:t>2</w:t>
      </w:r>
      <w:r>
        <w:rPr/>
        <w:t>）暂时闲置的固定资产情况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通过融资租赁租入的固定资产情况" w:id="288"/>
      <w:bookmarkEnd w:id="288"/>
      <w:r>
        <w:rPr>
          <w:b w:val="0"/>
          <w:bCs w:val="0"/>
        </w:rPr>
      </w:r>
      <w:r>
        <w:rPr/>
        <w:t>（</w:t>
      </w:r>
      <w:r>
        <w:rPr>
          <w:rFonts w:ascii="宋体" w:hAnsi="宋体" w:cs="宋体" w:eastAsia="宋体" w:hint="default"/>
        </w:rPr>
        <w:t>3</w:t>
      </w:r>
      <w:r>
        <w:rPr/>
        <w:t>）通过融资租赁租入的固定资产情况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通过经营租赁租出的固定资产" w:id="289"/>
      <w:bookmarkEnd w:id="289"/>
      <w:r>
        <w:rPr>
          <w:b w:val="0"/>
          <w:bCs w:val="0"/>
        </w:rPr>
      </w:r>
      <w:r>
        <w:rPr/>
        <w:t>（</w:t>
      </w:r>
      <w:r>
        <w:rPr>
          <w:rFonts w:ascii="宋体" w:hAnsi="宋体" w:cs="宋体" w:eastAsia="宋体" w:hint="default"/>
        </w:rPr>
        <w:t>4</w:t>
      </w:r>
      <w:r>
        <w:rPr/>
        <w:t>）通过经营租赁租出的固定资产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5）未办妥产权证书的固定资产情况" w:id="290"/>
      <w:bookmarkEnd w:id="290"/>
      <w:r>
        <w:rPr>
          <w:b w:val="0"/>
          <w:bCs w:val="0"/>
        </w:rPr>
      </w:r>
      <w:r>
        <w:rPr/>
        <w:t>（</w:t>
      </w:r>
      <w:r>
        <w:rPr>
          <w:rFonts w:ascii="宋体" w:hAnsi="宋体" w:cs="宋体" w:eastAsia="宋体" w:hint="default"/>
        </w:rPr>
        <w:t>5</w:t>
      </w:r>
      <w:r>
        <w:rPr/>
        <w:t>）未办妥产权证书的固定资产情况</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生产与中试基地</w:t>
            </w:r>
            <w:r>
              <w:rPr>
                <w:rFonts w:ascii="宋体" w:hAnsi="宋体" w:cs="宋体" w:eastAsia="宋体" w:hint="default"/>
                <w:sz w:val="18"/>
                <w:szCs w:val="18"/>
              </w:rPr>
              <w:t>-</w:t>
            </w:r>
            <w:r>
              <w:rPr>
                <w:rFonts w:ascii="宋体" w:hAnsi="宋体" w:cs="宋体" w:eastAsia="宋体" w:hint="default"/>
                <w:sz w:val="18"/>
                <w:szCs w:val="18"/>
              </w:rPr>
              <w:t>综合楼</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200,792,069.10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生产与中试基地</w:t>
            </w:r>
            <w:r>
              <w:rPr>
                <w:rFonts w:ascii="宋体" w:hAnsi="宋体" w:cs="宋体" w:eastAsia="宋体" w:hint="default"/>
                <w:sz w:val="18"/>
                <w:szCs w:val="18"/>
              </w:rPr>
              <w:t>-</w:t>
            </w:r>
            <w:r>
              <w:rPr>
                <w:rFonts w:ascii="宋体" w:hAnsi="宋体" w:cs="宋体" w:eastAsia="宋体" w:hint="default"/>
                <w:sz w:val="18"/>
                <w:szCs w:val="18"/>
              </w:rPr>
              <w:t>检测大楼</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27,312,313.46</w:t>
            </w:r>
          </w:p>
        </w:tc>
        <w:tc>
          <w:tcPr>
            <w:tcW w:w="3188"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093" w:firstLine="420"/>
        <w:jc w:val="left"/>
        <w:rPr>
          <w:rFonts w:ascii="宋体" w:hAnsi="宋体" w:cs="宋体" w:eastAsia="宋体" w:hint="default"/>
        </w:rPr>
      </w:pPr>
      <w:r>
        <w:rPr>
          <w:rFonts w:ascii="宋体" w:hAnsi="宋体" w:cs="宋体" w:eastAsia="宋体" w:hint="default"/>
        </w:rPr>
        <w:t>2017</w:t>
      </w:r>
      <w:r>
        <w:rPr/>
        <w:t>年末较</w:t>
      </w:r>
      <w:r>
        <w:rPr>
          <w:rFonts w:ascii="宋体" w:hAnsi="宋体" w:cs="宋体" w:eastAsia="宋体" w:hint="default"/>
        </w:rPr>
        <w:t>2016</w:t>
      </w:r>
      <w:r>
        <w:rPr/>
        <w:t>年末固定资产增加</w:t>
      </w:r>
      <w:r>
        <w:rPr>
          <w:rFonts w:ascii="宋体" w:hAnsi="宋体" w:cs="宋体" w:eastAsia="宋体" w:hint="default"/>
        </w:rPr>
        <w:t>229,859,329.29</w:t>
      </w:r>
      <w:r>
        <w:rPr/>
        <w:t>元，增加比例为</w:t>
      </w:r>
      <w:r>
        <w:rPr>
          <w:rFonts w:ascii="宋体" w:hAnsi="宋体" w:cs="宋体" w:eastAsia="宋体" w:hint="default"/>
        </w:rPr>
        <w:t>109.28%</w:t>
      </w:r>
      <w:r>
        <w:rPr/>
        <w:t>，主要系</w:t>
      </w:r>
      <w:r>
        <w:rPr>
          <w:rFonts w:ascii="宋体" w:hAnsi="宋体" w:cs="宋体" w:eastAsia="宋体" w:hint="default"/>
        </w:rPr>
        <w:t>2017</w:t>
      </w:r>
      <w:r>
        <w:rPr/>
        <w:t>年度光一科 技生产与中试基地综合楼、检测大楼、山源科技公司二期工程达到预定可使用状态，转为固定资产核算。 </w:t>
      </w:r>
      <w:bookmarkStart w:name="20、在建工程" w:id="291"/>
      <w:bookmarkEnd w:id="291"/>
      <w:r>
        <w:rPr/>
      </w:r>
      <w:r>
        <w:rPr>
          <w:rFonts w:ascii="宋体" w:hAnsi="宋体" w:cs="宋体" w:eastAsia="宋体" w:hint="default"/>
          <w:b/>
          <w:bCs/>
        </w:rPr>
        <w:t>20</w:t>
      </w:r>
      <w:r>
        <w:rPr>
          <w:rFonts w:ascii="宋体" w:hAnsi="宋体" w:cs="宋体" w:eastAsia="宋体" w:hint="default"/>
          <w:b/>
          <w:bCs/>
        </w:rPr>
        <w:t>、在建工程</w:t>
      </w:r>
      <w:r>
        <w:rPr>
          <w:rFonts w:ascii="宋体" w:hAnsi="宋体" w:cs="宋体" w:eastAsia="宋体" w:hint="default"/>
        </w:rPr>
      </w:r>
    </w:p>
    <w:p>
      <w:pPr>
        <w:pStyle w:val="Heading4"/>
        <w:spacing w:line="240" w:lineRule="auto" w:before="46"/>
        <w:ind w:right="1121"/>
        <w:jc w:val="left"/>
        <w:rPr>
          <w:b w:val="0"/>
          <w:bCs w:val="0"/>
        </w:rPr>
      </w:pPr>
      <w:bookmarkStart w:name="（1）在建工程情况" w:id="292"/>
      <w:bookmarkEnd w:id="292"/>
      <w:r>
        <w:rPr>
          <w:b w:val="0"/>
          <w:bCs w:val="0"/>
        </w:rPr>
      </w:r>
      <w:r>
        <w:rPr/>
        <w:t>（</w:t>
      </w:r>
      <w:r>
        <w:rPr>
          <w:rFonts w:ascii="宋体" w:hAnsi="宋体" w:cs="宋体" w:eastAsia="宋体" w:hint="default"/>
        </w:rPr>
        <w:t>1</w:t>
      </w:r>
      <w:r>
        <w:rPr/>
        <w:t>）在建工程情况</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986"/>
        <w:gridCol w:w="1417"/>
        <w:gridCol w:w="851"/>
        <w:gridCol w:w="1559"/>
        <w:gridCol w:w="1419"/>
        <w:gridCol w:w="974"/>
        <w:gridCol w:w="1366"/>
      </w:tblGrid>
      <w:tr>
        <w:trPr>
          <w:trHeight w:val="415" w:hRule="exact"/>
        </w:trPr>
        <w:tc>
          <w:tcPr>
            <w:tcW w:w="1986"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9"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986" w:type="dxa"/>
            <w:vMerge/>
            <w:tcBorders>
              <w:left w:val="single" w:sz="12" w:space="0" w:color="000000"/>
              <w:bottom w:val="single" w:sz="6" w:space="0" w:color="000000"/>
              <w:right w:val="single" w:sz="6" w:space="0" w:color="000000"/>
            </w:tcBorders>
            <w:shd w:val="clear" w:color="auto" w:fill="D2D2D2"/>
          </w:tcPr>
          <w:p>
            <w:pPr/>
          </w:p>
        </w:tc>
        <w:tc>
          <w:tcPr>
            <w:tcW w:w="14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生产与中试基地工程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23,353,317.40</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23,353,317.40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171,223,289.21</w:t>
            </w: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171,223,289.21</w:t>
            </w: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分布式能源与微电网</w:t>
            </w:r>
          </w:p>
        </w:tc>
        <w:tc>
          <w:tcPr>
            <w:tcW w:w="1417"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1,431,121.98</w:t>
            </w: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1,431,121.98</w:t>
            </w:r>
          </w:p>
        </w:tc>
      </w:tr>
      <w:tr>
        <w:trPr>
          <w:trHeight w:val="408"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山源科技公司二期工程</w:t>
            </w:r>
          </w:p>
        </w:tc>
        <w:tc>
          <w:tcPr>
            <w:tcW w:w="1417"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5,392,637.78</w:t>
            </w: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5,392,637.78</w:t>
            </w: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睿博公司一期工程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55,968,087.89</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55,968,087.89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50,479,921.97</w:t>
            </w: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50,479,921.97</w:t>
            </w: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282,070.00</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282,070.00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482,079.74</w:t>
            </w: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482,079.74</w:t>
            </w:r>
          </w:p>
        </w:tc>
      </w:tr>
      <w:tr>
        <w:trPr>
          <w:trHeight w:val="719"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03"/>
              <w:jc w:val="left"/>
              <w:rPr>
                <w:rFonts w:ascii="宋体" w:hAnsi="宋体" w:cs="宋体" w:eastAsia="宋体" w:hint="default"/>
                <w:sz w:val="18"/>
                <w:szCs w:val="18"/>
              </w:rPr>
            </w:pPr>
            <w:r>
              <w:rPr>
                <w:rFonts w:ascii="宋体" w:hAnsi="宋体" w:cs="宋体" w:eastAsia="宋体" w:hint="default"/>
                <w:sz w:val="18"/>
                <w:szCs w:val="18"/>
              </w:rPr>
              <w:t>办公自动化项目（</w:t>
            </w:r>
            <w:r>
              <w:rPr>
                <w:rFonts w:ascii="宋体" w:hAnsi="宋体" w:cs="宋体" w:eastAsia="宋体" w:hint="default"/>
                <w:sz w:val="18"/>
                <w:szCs w:val="18"/>
              </w:rPr>
              <w:t>OA</w:t>
            </w:r>
            <w:r>
              <w:rPr>
                <w:rFonts w:ascii="宋体" w:hAnsi="宋体" w:cs="宋体" w:eastAsia="宋体" w:hint="default"/>
                <w:spacing w:val="-46"/>
                <w:sz w:val="18"/>
                <w:szCs w:val="18"/>
              </w:rPr>
              <w:t> </w:t>
            </w:r>
            <w:r>
              <w:rPr>
                <w:rFonts w:ascii="宋体" w:hAnsi="宋体" w:cs="宋体" w:eastAsia="宋体" w:hint="default"/>
                <w:sz w:val="18"/>
                <w:szCs w:val="18"/>
              </w:rPr>
              <w:t>软 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290,920.83</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290,920.83</w:t>
            </w:r>
          </w:p>
        </w:tc>
        <w:tc>
          <w:tcPr>
            <w:tcW w:w="1419"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园林景观改造工程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1,147,572.82</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1,147,572.82</w:t>
            </w:r>
          </w:p>
        </w:tc>
        <w:tc>
          <w:tcPr>
            <w:tcW w:w="1419"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9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81,041,968.94</w:t>
            </w:r>
          </w:p>
        </w:tc>
        <w:tc>
          <w:tcPr>
            <w:tcW w:w="851"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81,041,968.94</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229,009,050.68</w:t>
            </w:r>
          </w:p>
        </w:tc>
        <w:tc>
          <w:tcPr>
            <w:tcW w:w="974"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229,009,050.68</w:t>
            </w:r>
          </w:p>
        </w:tc>
      </w:tr>
    </w:tbl>
    <w:p>
      <w:pPr>
        <w:spacing w:line="240" w:lineRule="auto" w:before="3"/>
        <w:rPr>
          <w:rFonts w:ascii="宋体" w:hAnsi="宋体" w:cs="宋体" w:eastAsia="宋体" w:hint="default"/>
          <w:sz w:val="19"/>
          <w:szCs w:val="19"/>
        </w:rPr>
      </w:pPr>
    </w:p>
    <w:p>
      <w:pPr>
        <w:pStyle w:val="Heading4"/>
        <w:spacing w:line="240" w:lineRule="auto" w:before="35"/>
        <w:ind w:right="1121"/>
        <w:jc w:val="left"/>
        <w:rPr>
          <w:b w:val="0"/>
          <w:bCs w:val="0"/>
        </w:rPr>
      </w:pPr>
      <w:bookmarkStart w:name="（2）重要在建工程项目本期变动情况" w:id="293"/>
      <w:bookmarkEnd w:id="293"/>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298" w:type="dxa"/>
        <w:tblLayout w:type="fixed"/>
        <w:tblCellMar>
          <w:top w:w="0" w:type="dxa"/>
          <w:left w:w="0" w:type="dxa"/>
          <w:bottom w:w="0" w:type="dxa"/>
          <w:right w:w="0" w:type="dxa"/>
        </w:tblCellMar>
        <w:tblLook w:val="01E0"/>
      </w:tblPr>
      <w:tblGrid>
        <w:gridCol w:w="662"/>
        <w:gridCol w:w="1134"/>
        <w:gridCol w:w="1134"/>
        <w:gridCol w:w="1134"/>
        <w:gridCol w:w="1134"/>
        <w:gridCol w:w="852"/>
        <w:gridCol w:w="1134"/>
        <w:gridCol w:w="708"/>
        <w:gridCol w:w="426"/>
        <w:gridCol w:w="1134"/>
        <w:gridCol w:w="991"/>
        <w:gridCol w:w="426"/>
        <w:gridCol w:w="409"/>
      </w:tblGrid>
      <w:tr>
        <w:trPr>
          <w:trHeight w:val="1270" w:hRule="exact"/>
        </w:trPr>
        <w:tc>
          <w:tcPr>
            <w:tcW w:w="66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5"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34"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6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334" w:right="33" w:hanging="300"/>
              <w:jc w:val="left"/>
              <w:rPr>
                <w:rFonts w:ascii="宋体" w:hAnsi="宋体" w:cs="宋体" w:eastAsia="宋体" w:hint="default"/>
                <w:sz w:val="15"/>
                <w:szCs w:val="15"/>
              </w:rPr>
            </w:pPr>
            <w:r>
              <w:rPr>
                <w:rFonts w:ascii="宋体" w:hAnsi="宋体" w:cs="宋体" w:eastAsia="宋体" w:hint="default"/>
                <w:sz w:val="15"/>
                <w:szCs w:val="15"/>
              </w:rPr>
              <w:t>本期转入固定资 产金额</w:t>
            </w:r>
          </w:p>
        </w:tc>
        <w:tc>
          <w:tcPr>
            <w:tcW w:w="8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94" w:right="41" w:hanging="150"/>
              <w:jc w:val="left"/>
              <w:rPr>
                <w:rFonts w:ascii="宋体" w:hAnsi="宋体" w:cs="宋体" w:eastAsia="宋体" w:hint="default"/>
                <w:sz w:val="15"/>
                <w:szCs w:val="15"/>
              </w:rPr>
            </w:pPr>
            <w:r>
              <w:rPr>
                <w:rFonts w:ascii="宋体" w:hAnsi="宋体" w:cs="宋体" w:eastAsia="宋体" w:hint="default"/>
                <w:sz w:val="15"/>
                <w:szCs w:val="15"/>
              </w:rPr>
              <w:t>本期其他减 少金额</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46" w:right="45"/>
              <w:jc w:val="both"/>
              <w:rPr>
                <w:rFonts w:ascii="宋体" w:hAnsi="宋体" w:cs="宋体" w:eastAsia="宋体" w:hint="default"/>
                <w:sz w:val="15"/>
                <w:szCs w:val="15"/>
              </w:rPr>
            </w:pPr>
            <w:r>
              <w:rPr>
                <w:rFonts w:ascii="宋体" w:hAnsi="宋体" w:cs="宋体" w:eastAsia="宋体" w:hint="default"/>
                <w:sz w:val="15"/>
                <w:szCs w:val="15"/>
              </w:rPr>
              <w:t>工程累计 投入占预 算比例</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55" w:right="54"/>
              <w:jc w:val="left"/>
              <w:rPr>
                <w:rFonts w:ascii="宋体" w:hAnsi="宋体" w:cs="宋体" w:eastAsia="宋体" w:hint="default"/>
                <w:sz w:val="15"/>
                <w:szCs w:val="15"/>
              </w:rPr>
            </w:pPr>
            <w:r>
              <w:rPr>
                <w:rFonts w:ascii="宋体" w:hAnsi="宋体" w:cs="宋体" w:eastAsia="宋体" w:hint="default"/>
                <w:sz w:val="15"/>
                <w:szCs w:val="15"/>
              </w:rPr>
              <w:t>工程 进度</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409" w:right="35" w:hanging="376"/>
              <w:jc w:val="left"/>
              <w:rPr>
                <w:rFonts w:ascii="宋体" w:hAnsi="宋体" w:cs="宋体" w:eastAsia="宋体" w:hint="default"/>
                <w:sz w:val="15"/>
                <w:szCs w:val="15"/>
              </w:rPr>
            </w:pPr>
            <w:r>
              <w:rPr>
                <w:rFonts w:ascii="宋体" w:hAnsi="宋体" w:cs="宋体" w:eastAsia="宋体" w:hint="default"/>
                <w:sz w:val="15"/>
                <w:szCs w:val="15"/>
              </w:rPr>
              <w:t>利息资本化累计 金额</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38" w:right="36"/>
              <w:jc w:val="left"/>
              <w:rPr>
                <w:rFonts w:ascii="宋体" w:hAnsi="宋体" w:cs="宋体" w:eastAsia="宋体" w:hint="default"/>
                <w:sz w:val="15"/>
                <w:szCs w:val="15"/>
              </w:rPr>
            </w:pPr>
            <w:r>
              <w:rPr>
                <w:rFonts w:ascii="宋体" w:hAnsi="宋体" w:cs="宋体" w:eastAsia="宋体" w:hint="default"/>
                <w:sz w:val="15"/>
                <w:szCs w:val="15"/>
              </w:rPr>
              <w:t>其中：本期利 息资本化金额</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81" w:lineRule="auto" w:before="33"/>
              <w:ind w:left="56" w:right="53"/>
              <w:jc w:val="both"/>
              <w:rPr>
                <w:rFonts w:ascii="宋体" w:hAnsi="宋体" w:cs="宋体" w:eastAsia="宋体" w:hint="default"/>
                <w:sz w:val="15"/>
                <w:szCs w:val="15"/>
              </w:rPr>
            </w:pPr>
            <w:r>
              <w:rPr>
                <w:rFonts w:ascii="宋体" w:hAnsi="宋体" w:cs="宋体" w:eastAsia="宋体" w:hint="default"/>
                <w:sz w:val="15"/>
                <w:szCs w:val="15"/>
              </w:rPr>
              <w:t>本期 利息 资本 化率</w:t>
            </w:r>
          </w:p>
        </w:tc>
        <w:tc>
          <w:tcPr>
            <w:tcW w:w="40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47" w:right="36"/>
              <w:jc w:val="left"/>
              <w:rPr>
                <w:rFonts w:ascii="宋体" w:hAnsi="宋体" w:cs="宋体" w:eastAsia="宋体" w:hint="default"/>
                <w:sz w:val="15"/>
                <w:szCs w:val="15"/>
              </w:rPr>
            </w:pPr>
            <w:r>
              <w:rPr>
                <w:rFonts w:ascii="宋体" w:hAnsi="宋体" w:cs="宋体" w:eastAsia="宋体" w:hint="default"/>
                <w:sz w:val="15"/>
                <w:szCs w:val="15"/>
              </w:rPr>
              <w:t>资金 来源</w:t>
            </w:r>
          </w:p>
        </w:tc>
      </w:tr>
      <w:tr>
        <w:trPr>
          <w:trHeight w:val="1263"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4"/>
              <w:ind w:left="13" w:right="24"/>
              <w:jc w:val="left"/>
              <w:rPr>
                <w:rFonts w:ascii="宋体" w:hAnsi="宋体" w:cs="宋体" w:eastAsia="宋体" w:hint="default"/>
                <w:sz w:val="15"/>
                <w:szCs w:val="15"/>
              </w:rPr>
            </w:pPr>
            <w:r>
              <w:rPr>
                <w:rFonts w:ascii="宋体" w:hAnsi="宋体" w:cs="宋体" w:eastAsia="宋体" w:hint="default"/>
                <w:sz w:val="15"/>
                <w:szCs w:val="15"/>
              </w:rPr>
              <w:t>生产与中 试基地</w:t>
            </w:r>
            <w:r>
              <w:rPr>
                <w:rFonts w:ascii="宋体" w:hAnsi="宋体" w:cs="宋体" w:eastAsia="宋体" w:hint="default"/>
                <w:sz w:val="15"/>
                <w:szCs w:val="15"/>
              </w:rPr>
              <w:t>/ </w:t>
            </w:r>
            <w:r>
              <w:rPr>
                <w:rFonts w:ascii="宋体" w:hAnsi="宋体" w:cs="宋体" w:eastAsia="宋体" w:hint="default"/>
                <w:sz w:val="15"/>
                <w:szCs w:val="15"/>
              </w:rPr>
              <w:t>厂房一、 二</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50,000,000.00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28,943.47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5,573,550.92</w:t>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5,602,494.39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133.58%</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100%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81" w:lineRule="auto"/>
              <w:ind w:left="21" w:right="63"/>
              <w:jc w:val="left"/>
              <w:rPr>
                <w:rFonts w:ascii="宋体" w:hAnsi="宋体" w:cs="宋体" w:eastAsia="宋体" w:hint="default"/>
                <w:sz w:val="15"/>
                <w:szCs w:val="15"/>
              </w:rPr>
            </w:pPr>
            <w:r>
              <w:rPr>
                <w:rFonts w:ascii="宋体" w:hAnsi="宋体" w:cs="宋体" w:eastAsia="宋体" w:hint="default"/>
                <w:sz w:val="15"/>
                <w:szCs w:val="15"/>
              </w:rPr>
              <w:t>募股 资金</w:t>
            </w:r>
          </w:p>
        </w:tc>
      </w:tr>
      <w:tr>
        <w:trPr>
          <w:trHeight w:val="1264"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5"/>
              <w:ind w:left="13" w:right="24"/>
              <w:jc w:val="left"/>
              <w:rPr>
                <w:rFonts w:ascii="宋体" w:hAnsi="宋体" w:cs="宋体" w:eastAsia="宋体" w:hint="default"/>
                <w:sz w:val="15"/>
                <w:szCs w:val="15"/>
              </w:rPr>
            </w:pPr>
            <w:r>
              <w:rPr>
                <w:rFonts w:ascii="宋体" w:hAnsi="宋体" w:cs="宋体" w:eastAsia="宋体" w:hint="default"/>
                <w:sz w:val="15"/>
                <w:szCs w:val="15"/>
              </w:rPr>
              <w:t>生产与中 试基地</w:t>
            </w:r>
            <w:r>
              <w:rPr>
                <w:rFonts w:ascii="宋体" w:hAnsi="宋体" w:cs="宋体" w:eastAsia="宋体" w:hint="default"/>
                <w:sz w:val="15"/>
                <w:szCs w:val="15"/>
              </w:rPr>
              <w:t>/ </w:t>
            </w:r>
            <w:r>
              <w:rPr>
                <w:rFonts w:ascii="宋体" w:hAnsi="宋体" w:cs="宋体" w:eastAsia="宋体" w:hint="default"/>
                <w:sz w:val="15"/>
                <w:szCs w:val="15"/>
              </w:rPr>
              <w:t>检验检测 大楼</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28,000,000.00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27,427,510.04</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27,312,313.46</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115,196.58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97.96%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100%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81" w:lineRule="auto"/>
              <w:ind w:left="21" w:right="63"/>
              <w:jc w:val="left"/>
              <w:rPr>
                <w:rFonts w:ascii="宋体" w:hAnsi="宋体" w:cs="宋体" w:eastAsia="宋体" w:hint="default"/>
                <w:sz w:val="15"/>
                <w:szCs w:val="15"/>
              </w:rPr>
            </w:pPr>
            <w:r>
              <w:rPr>
                <w:rFonts w:ascii="宋体" w:hAnsi="宋体" w:cs="宋体" w:eastAsia="宋体" w:hint="default"/>
                <w:sz w:val="15"/>
                <w:szCs w:val="15"/>
              </w:rPr>
              <w:t>募股 资金</w:t>
            </w:r>
          </w:p>
        </w:tc>
      </w:tr>
      <w:tr>
        <w:trPr>
          <w:trHeight w:val="950"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3"/>
              <w:ind w:left="13" w:right="17"/>
              <w:jc w:val="both"/>
              <w:rPr>
                <w:rFonts w:ascii="宋体" w:hAnsi="宋体" w:cs="宋体" w:eastAsia="宋体" w:hint="default"/>
                <w:sz w:val="15"/>
                <w:szCs w:val="15"/>
              </w:rPr>
            </w:pPr>
            <w:r>
              <w:rPr>
                <w:rFonts w:ascii="宋体" w:hAnsi="宋体" w:cs="宋体" w:eastAsia="宋体" w:hint="default"/>
                <w:spacing w:val="-11"/>
                <w:sz w:val="15"/>
                <w:szCs w:val="15"/>
              </w:rPr>
              <w:t>1</w:t>
            </w:r>
            <w:r>
              <w:rPr>
                <w:rFonts w:ascii="宋体" w:hAnsi="宋体" w:cs="宋体" w:eastAsia="宋体" w:hint="default"/>
                <w:spacing w:val="-11"/>
                <w:sz w:val="15"/>
                <w:szCs w:val="15"/>
              </w:rPr>
              <w:t>、</w:t>
            </w:r>
            <w:r>
              <w:rPr>
                <w:rFonts w:ascii="宋体" w:hAnsi="宋体" w:cs="宋体" w:eastAsia="宋体" w:hint="default"/>
                <w:spacing w:val="-11"/>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号厂 房微电网 项目</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1,431,121.98</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1,431,121.98</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3"/>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952"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5"/>
              <w:ind w:left="13" w:right="24"/>
              <w:jc w:val="left"/>
              <w:rPr>
                <w:rFonts w:ascii="宋体" w:hAnsi="宋体" w:cs="宋体" w:eastAsia="宋体" w:hint="default"/>
                <w:sz w:val="15"/>
                <w:szCs w:val="15"/>
              </w:rPr>
            </w:pPr>
            <w:r>
              <w:rPr>
                <w:rFonts w:ascii="宋体" w:hAnsi="宋体" w:cs="宋体" w:eastAsia="宋体" w:hint="default"/>
                <w:sz w:val="15"/>
                <w:szCs w:val="15"/>
              </w:rPr>
              <w:t>生产与中 试基地</w:t>
            </w:r>
            <w:r>
              <w:rPr>
                <w:rFonts w:ascii="宋体" w:hAnsi="宋体" w:cs="宋体" w:eastAsia="宋体" w:hint="default"/>
                <w:sz w:val="15"/>
                <w:szCs w:val="15"/>
              </w:rPr>
              <w:t>/ </w:t>
            </w:r>
            <w:r>
              <w:rPr>
                <w:rFonts w:ascii="宋体" w:hAnsi="宋体" w:cs="宋体" w:eastAsia="宋体" w:hint="default"/>
                <w:sz w:val="15"/>
                <w:szCs w:val="15"/>
              </w:rPr>
              <w:t>综合楼</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132,000,000.00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142,559,713.15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67,127,999.92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200,792,069.10</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8,895,643.97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158.85%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100%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11,725,054.78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3,665,506.95</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5"/>
                <w:szCs w:val="15"/>
              </w:rPr>
            </w:pPr>
            <w:r>
              <w:rPr>
                <w:rFonts w:ascii="宋体"/>
                <w:spacing w:val="-1"/>
                <w:sz w:val="15"/>
              </w:rPr>
              <w:t>100%</w:t>
            </w: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381" w:lineRule="auto"/>
              <w:ind w:left="21" w:right="63"/>
              <w:jc w:val="left"/>
              <w:rPr>
                <w:rFonts w:ascii="宋体" w:hAnsi="宋体" w:cs="宋体" w:eastAsia="宋体" w:hint="default"/>
                <w:sz w:val="15"/>
                <w:szCs w:val="15"/>
              </w:rPr>
            </w:pPr>
            <w:r>
              <w:rPr>
                <w:rFonts w:ascii="宋体" w:hAnsi="宋体" w:cs="宋体" w:eastAsia="宋体" w:hint="default"/>
                <w:sz w:val="15"/>
                <w:szCs w:val="15"/>
              </w:rPr>
              <w:t>募股 资金</w:t>
            </w:r>
          </w:p>
        </w:tc>
      </w:tr>
      <w:tr>
        <w:trPr>
          <w:trHeight w:val="1263"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3"/>
              <w:ind w:left="13" w:right="24"/>
              <w:jc w:val="left"/>
              <w:rPr>
                <w:rFonts w:ascii="宋体" w:hAnsi="宋体" w:cs="宋体" w:eastAsia="宋体" w:hint="default"/>
                <w:sz w:val="15"/>
                <w:szCs w:val="15"/>
              </w:rPr>
            </w:pPr>
            <w:r>
              <w:rPr>
                <w:rFonts w:ascii="宋体" w:hAnsi="宋体" w:cs="宋体" w:eastAsia="宋体" w:hint="default"/>
                <w:sz w:val="15"/>
                <w:szCs w:val="15"/>
              </w:rPr>
              <w:t>生产与中 试基地</w:t>
            </w:r>
            <w:r>
              <w:rPr>
                <w:rFonts w:ascii="宋体" w:hAnsi="宋体" w:cs="宋体" w:eastAsia="宋体" w:hint="default"/>
                <w:sz w:val="15"/>
                <w:szCs w:val="15"/>
              </w:rPr>
              <w:t>/ </w:t>
            </w:r>
            <w:r>
              <w:rPr>
                <w:rFonts w:ascii="宋体" w:hAnsi="宋体" w:cs="宋体" w:eastAsia="宋体" w:hint="default"/>
                <w:sz w:val="15"/>
                <w:szCs w:val="15"/>
              </w:rPr>
              <w:t>生产厂房 三</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30,000,000.00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1,207,122.55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7,612,105.19</w:t>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79,245.28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8,739,982.46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29.13%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64"/>
              <w:jc w:val="right"/>
              <w:rPr>
                <w:rFonts w:ascii="宋体" w:hAnsi="宋体" w:cs="宋体" w:eastAsia="宋体" w:hint="default"/>
                <w:sz w:val="15"/>
                <w:szCs w:val="15"/>
              </w:rPr>
            </w:pPr>
            <w:r>
              <w:rPr>
                <w:rFonts w:ascii="宋体"/>
                <w:spacing w:val="-1"/>
                <w:sz w:val="15"/>
              </w:rPr>
              <w:t>30%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63"/>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952"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5"/>
              <w:ind w:left="13" w:right="24"/>
              <w:jc w:val="both"/>
              <w:rPr>
                <w:rFonts w:ascii="宋体" w:hAnsi="宋体" w:cs="宋体" w:eastAsia="宋体" w:hint="default"/>
                <w:sz w:val="15"/>
                <w:szCs w:val="15"/>
              </w:rPr>
            </w:pPr>
            <w:r>
              <w:rPr>
                <w:rFonts w:ascii="宋体" w:hAnsi="宋体" w:cs="宋体" w:eastAsia="宋体" w:hint="default"/>
                <w:sz w:val="15"/>
                <w:szCs w:val="15"/>
              </w:rPr>
              <w:t>山源科技 公司二期 工程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13,650,000.00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5,392,637.78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15,453,214.04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20,845,851.82</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152.72%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100%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3"/>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638"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3"/>
              <w:ind w:left="13" w:right="24"/>
              <w:jc w:val="left"/>
              <w:rPr>
                <w:rFonts w:ascii="宋体" w:hAnsi="宋体" w:cs="宋体" w:eastAsia="宋体" w:hint="default"/>
                <w:sz w:val="15"/>
                <w:szCs w:val="15"/>
              </w:rPr>
            </w:pPr>
            <w:r>
              <w:rPr>
                <w:rFonts w:ascii="宋体" w:hAnsi="宋体" w:cs="宋体" w:eastAsia="宋体" w:hint="default"/>
                <w:sz w:val="15"/>
                <w:szCs w:val="15"/>
              </w:rPr>
              <w:t>睿博公司 一期工程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58,340,000.00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50,479,921.97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5,488,165.92</w:t>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55,968,087.89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95.93%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64"/>
              <w:jc w:val="right"/>
              <w:rPr>
                <w:rFonts w:ascii="宋体" w:hAnsi="宋体" w:cs="宋体" w:eastAsia="宋体" w:hint="default"/>
                <w:sz w:val="15"/>
                <w:szCs w:val="15"/>
              </w:rPr>
            </w:pPr>
            <w:r>
              <w:rPr>
                <w:rFonts w:ascii="宋体"/>
                <w:spacing w:val="-1"/>
                <w:sz w:val="15"/>
              </w:rPr>
              <w:t>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3,033,017.77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1,132,875.03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w:t>
            </w: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3"/>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640"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5"/>
              <w:ind w:left="13" w:right="24"/>
              <w:jc w:val="left"/>
              <w:rPr>
                <w:rFonts w:ascii="宋体" w:hAnsi="宋体" w:cs="宋体" w:eastAsia="宋体" w:hint="default"/>
                <w:sz w:val="15"/>
                <w:szCs w:val="15"/>
              </w:rPr>
            </w:pPr>
            <w:r>
              <w:rPr>
                <w:rFonts w:ascii="宋体" w:hAnsi="宋体" w:cs="宋体" w:eastAsia="宋体" w:hint="default"/>
                <w:sz w:val="15"/>
                <w:szCs w:val="15"/>
              </w:rPr>
              <w:t>索瑞改建 工程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1,430,000.00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1,435,674.76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1,435,674.76</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100%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63"/>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638"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3"/>
              <w:ind w:left="13" w:right="24"/>
              <w:jc w:val="left"/>
              <w:rPr>
                <w:rFonts w:ascii="宋体" w:hAnsi="宋体" w:cs="宋体" w:eastAsia="宋体" w:hint="default"/>
                <w:sz w:val="15"/>
                <w:szCs w:val="15"/>
              </w:rPr>
            </w:pPr>
            <w:r>
              <w:rPr>
                <w:rFonts w:ascii="宋体" w:hAnsi="宋体" w:cs="宋体" w:eastAsia="宋体" w:hint="default"/>
                <w:sz w:val="15"/>
                <w:szCs w:val="15"/>
              </w:rPr>
              <w:t>园林景观 改造工程</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1,147,572.82</w:t>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1,147,572.82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100%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3"/>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640"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5"/>
              <w:ind w:left="13" w:right="24"/>
              <w:jc w:val="left"/>
              <w:rPr>
                <w:rFonts w:ascii="宋体" w:hAnsi="宋体" w:cs="宋体" w:eastAsia="宋体" w:hint="default"/>
                <w:sz w:val="15"/>
                <w:szCs w:val="15"/>
              </w:rPr>
            </w:pPr>
            <w:r>
              <w:rPr>
                <w:rFonts w:ascii="宋体" w:hAnsi="宋体" w:cs="宋体" w:eastAsia="宋体" w:hint="default"/>
                <w:sz w:val="15"/>
                <w:szCs w:val="15"/>
              </w:rPr>
              <w:t>办公自动 化项目</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290,920.83</w:t>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290,920.83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100.00%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7"/>
              <w:jc w:val="right"/>
              <w:rPr>
                <w:rFonts w:ascii="宋体" w:hAnsi="宋体" w:cs="宋体" w:eastAsia="宋体" w:hint="default"/>
                <w:sz w:val="15"/>
                <w:szCs w:val="15"/>
              </w:rPr>
            </w:pPr>
            <w:r>
              <w:rPr>
                <w:rFonts w:ascii="宋体"/>
                <w:spacing w:val="-1"/>
                <w:sz w:val="15"/>
              </w:rPr>
              <w:t>100%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63"/>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326" w:hRule="exact"/>
        </w:trPr>
        <w:tc>
          <w:tcPr>
            <w:tcW w:w="6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13" w:right="0"/>
              <w:jc w:val="left"/>
              <w:rPr>
                <w:rFonts w:ascii="宋体" w:hAnsi="宋体" w:cs="宋体" w:eastAsia="宋体" w:hint="default"/>
                <w:sz w:val="15"/>
                <w:szCs w:val="15"/>
              </w:rPr>
            </w:pPr>
            <w:r>
              <w:rPr>
                <w:rFonts w:ascii="宋体" w:hAnsi="宋体" w:cs="宋体" w:eastAsia="宋体" w:hint="default"/>
                <w:sz w:val="15"/>
                <w:szCs w:val="15"/>
              </w:rPr>
              <w:t>设备安装</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482,079.74</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spacing w:val="-1"/>
                <w:sz w:val="15"/>
              </w:rPr>
              <w:t>200,009.74</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9"/>
              <w:jc w:val="right"/>
              <w:rPr>
                <w:rFonts w:ascii="宋体" w:hAnsi="宋体" w:cs="宋体" w:eastAsia="宋体" w:hint="default"/>
                <w:sz w:val="15"/>
                <w:szCs w:val="15"/>
              </w:rPr>
            </w:pPr>
            <w:r>
              <w:rPr>
                <w:rFonts w:ascii="宋体"/>
                <w:spacing w:val="-1"/>
                <w:sz w:val="15"/>
              </w:rPr>
              <w:t>282,070.00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63"/>
              <w:jc w:val="right"/>
              <w:rPr>
                <w:rFonts w:ascii="宋体" w:hAnsi="宋体" w:cs="宋体" w:eastAsia="宋体" w:hint="default"/>
                <w:sz w:val="15"/>
                <w:szCs w:val="15"/>
              </w:rPr>
            </w:pPr>
            <w:r>
              <w:rPr>
                <w:rFonts w:ascii="宋体" w:hAnsi="宋体" w:cs="宋体" w:eastAsia="宋体" w:hint="default"/>
                <w:sz w:val="15"/>
                <w:szCs w:val="15"/>
              </w:rPr>
              <w:t>其他</w:t>
            </w:r>
          </w:p>
        </w:tc>
      </w:tr>
      <w:tr>
        <w:trPr>
          <w:trHeight w:val="335" w:hRule="exact"/>
        </w:trPr>
        <w:tc>
          <w:tcPr>
            <w:tcW w:w="66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5"/>
              <w:ind w:left="1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313,420,000.00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8"/>
              <w:jc w:val="right"/>
              <w:rPr>
                <w:rFonts w:ascii="宋体" w:hAnsi="宋体" w:cs="宋体" w:eastAsia="宋体" w:hint="default"/>
                <w:sz w:val="15"/>
                <w:szCs w:val="15"/>
              </w:rPr>
            </w:pPr>
            <w:r>
              <w:rPr>
                <w:rFonts w:ascii="宋体"/>
                <w:spacing w:val="-1"/>
                <w:sz w:val="15"/>
              </w:rPr>
              <w:t>229,009,050.68</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8"/>
              <w:jc w:val="right"/>
              <w:rPr>
                <w:rFonts w:ascii="宋体" w:hAnsi="宋体" w:cs="宋体" w:eastAsia="宋体" w:hint="default"/>
                <w:sz w:val="15"/>
                <w:szCs w:val="15"/>
              </w:rPr>
            </w:pPr>
            <w:r>
              <w:rPr>
                <w:rFonts w:ascii="宋体"/>
                <w:spacing w:val="-1"/>
                <w:sz w:val="15"/>
              </w:rPr>
              <w:t>104,129,204.40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252,017,040.86</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8"/>
              <w:jc w:val="right"/>
              <w:rPr>
                <w:rFonts w:ascii="宋体" w:hAnsi="宋体" w:cs="宋体" w:eastAsia="宋体" w:hint="default"/>
                <w:sz w:val="15"/>
                <w:szCs w:val="15"/>
              </w:rPr>
            </w:pPr>
            <w:r>
              <w:rPr>
                <w:rFonts w:ascii="宋体"/>
                <w:spacing w:val="-1"/>
                <w:sz w:val="15"/>
              </w:rPr>
              <w:t>79,245.28</w:t>
            </w:r>
          </w:p>
        </w:tc>
        <w:tc>
          <w:tcPr>
            <w:tcW w:w="1134"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35"/>
              <w:ind w:right="16"/>
              <w:jc w:val="right"/>
              <w:rPr>
                <w:rFonts w:ascii="宋体" w:hAnsi="宋体" w:cs="宋体" w:eastAsia="宋体" w:hint="default"/>
                <w:sz w:val="15"/>
                <w:szCs w:val="15"/>
              </w:rPr>
            </w:pPr>
            <w:r>
              <w:rPr>
                <w:rFonts w:ascii="宋体"/>
                <w:spacing w:val="-1"/>
                <w:sz w:val="15"/>
              </w:rPr>
              <w:t>81,041,968.94</w:t>
            </w:r>
          </w:p>
        </w:tc>
        <w:tc>
          <w:tcPr>
            <w:tcW w:w="70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35"/>
              <w:ind w:right="0"/>
              <w:jc w:val="center"/>
              <w:rPr>
                <w:rFonts w:ascii="宋体" w:hAnsi="宋体" w:cs="宋体" w:eastAsia="宋体" w:hint="default"/>
                <w:sz w:val="15"/>
                <w:szCs w:val="15"/>
              </w:rPr>
            </w:pPr>
            <w:r>
              <w:rPr>
                <w:rFonts w:ascii="宋体"/>
                <w:sz w:val="15"/>
              </w:rPr>
              <w:t>--</w:t>
            </w:r>
          </w:p>
        </w:tc>
        <w:tc>
          <w:tcPr>
            <w:tcW w:w="42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35"/>
              <w:ind w:right="127"/>
              <w:jc w:val="right"/>
              <w:rPr>
                <w:rFonts w:ascii="宋体" w:hAnsi="宋体" w:cs="宋体" w:eastAsia="宋体" w:hint="default"/>
                <w:sz w:val="15"/>
                <w:szCs w:val="15"/>
              </w:rPr>
            </w:pPr>
            <w:r>
              <w:rPr>
                <w:rFonts w:ascii="宋体"/>
                <w:sz w:val="15"/>
              </w:rPr>
              <w:t>--</w:t>
            </w:r>
          </w:p>
        </w:tc>
        <w:tc>
          <w:tcPr>
            <w:tcW w:w="1134"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35"/>
              <w:ind w:right="19"/>
              <w:jc w:val="right"/>
              <w:rPr>
                <w:rFonts w:ascii="宋体" w:hAnsi="宋体" w:cs="宋体" w:eastAsia="宋体" w:hint="default"/>
                <w:sz w:val="15"/>
                <w:szCs w:val="15"/>
              </w:rPr>
            </w:pPr>
            <w:r>
              <w:rPr>
                <w:rFonts w:ascii="宋体"/>
                <w:spacing w:val="-1"/>
                <w:sz w:val="15"/>
              </w:rPr>
              <w:t>14,758,072.55</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8"/>
              <w:jc w:val="right"/>
              <w:rPr>
                <w:rFonts w:ascii="宋体" w:hAnsi="宋体" w:cs="宋体" w:eastAsia="宋体" w:hint="default"/>
                <w:sz w:val="15"/>
                <w:szCs w:val="15"/>
              </w:rPr>
            </w:pPr>
            <w:r>
              <w:rPr>
                <w:rFonts w:ascii="宋体"/>
                <w:spacing w:val="-1"/>
                <w:sz w:val="15"/>
              </w:rPr>
              <w:t>4,798,381.98</w:t>
            </w:r>
          </w:p>
        </w:tc>
        <w:tc>
          <w:tcPr>
            <w:tcW w:w="426" w:type="dxa"/>
            <w:tcBorders>
              <w:top w:val="single" w:sz="6" w:space="0" w:color="000000"/>
              <w:left w:val="single" w:sz="6" w:space="0" w:color="000000"/>
              <w:bottom w:val="single" w:sz="12" w:space="0" w:color="000000"/>
              <w:right w:val="single" w:sz="9" w:space="0" w:color="D2D2D2"/>
            </w:tcBorders>
          </w:tcPr>
          <w:p>
            <w:pPr/>
          </w:p>
        </w:tc>
        <w:tc>
          <w:tcPr>
            <w:tcW w:w="409"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35"/>
              <w:ind w:right="111"/>
              <w:jc w:val="right"/>
              <w:rPr>
                <w:rFonts w:ascii="宋体" w:hAnsi="宋体" w:cs="宋体" w:eastAsia="宋体" w:hint="default"/>
                <w:sz w:val="15"/>
                <w:szCs w:val="15"/>
              </w:rPr>
            </w:pPr>
            <w:r>
              <w:rPr>
                <w:rFonts w:ascii="宋体"/>
                <w:sz w:val="15"/>
              </w:rPr>
              <w:t>--</w:t>
            </w:r>
          </w:p>
        </w:tc>
      </w:tr>
    </w:tbl>
    <w:p>
      <w:pPr>
        <w:pStyle w:val="Heading4"/>
        <w:spacing w:line="240" w:lineRule="auto" w:before="63"/>
        <w:ind w:right="1121"/>
        <w:jc w:val="left"/>
        <w:rPr>
          <w:b w:val="0"/>
          <w:bCs w:val="0"/>
        </w:rPr>
      </w:pPr>
      <w:bookmarkStart w:name="（3）本期计提在建工程减值准备情况" w:id="294"/>
      <w:bookmarkEnd w:id="294"/>
      <w:r>
        <w:rPr>
          <w:b w:val="0"/>
          <w:bCs w:val="0"/>
        </w:rPr>
      </w:r>
      <w:r>
        <w:rPr/>
        <w:t>（</w:t>
      </w:r>
      <w:r>
        <w:rPr>
          <w:rFonts w:ascii="宋体" w:hAnsi="宋体" w:cs="宋体" w:eastAsia="宋体" w:hint="default"/>
        </w:rPr>
        <w:t>3</w:t>
      </w:r>
      <w:r>
        <w:rPr/>
        <w:t>）本期计提在建工程减值准备情况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134" w:right="8968"/>
        <w:jc w:val="left"/>
      </w:pPr>
      <w:r>
        <w:rPr/>
        <w:t>□ 适用 √</w:t>
      </w:r>
      <w:r>
        <w:rPr>
          <w:spacing w:val="-1"/>
        </w:rPr>
        <w:t> </w:t>
      </w:r>
      <w:r>
        <w:rPr/>
        <w:t>不适用</w:t>
      </w:r>
      <w:r>
        <w:rPr/>
        <w:t> 其他说明</w:t>
      </w:r>
    </w:p>
    <w:p>
      <w:pPr>
        <w:pStyle w:val="BodyText"/>
        <w:spacing w:line="408" w:lineRule="auto"/>
        <w:ind w:right="1024" w:firstLine="420"/>
        <w:jc w:val="left"/>
      </w:pPr>
      <w:r>
        <w:rPr>
          <w:rFonts w:ascii="宋体" w:hAnsi="宋体" w:cs="宋体" w:eastAsia="宋体" w:hint="default"/>
        </w:rPr>
        <w:t>2017</w:t>
      </w:r>
      <w:r>
        <w:rPr/>
        <w:t>年度期末在建工程较期初减少</w:t>
      </w:r>
      <w:r>
        <w:rPr>
          <w:rFonts w:ascii="宋体" w:hAnsi="宋体" w:cs="宋体" w:eastAsia="宋体" w:hint="default"/>
        </w:rPr>
        <w:t>147</w:t>
      </w:r>
      <w:r>
        <w:rPr>
          <w:rFonts w:ascii="宋体" w:hAnsi="宋体" w:cs="宋体" w:eastAsia="宋体" w:hint="default"/>
          <w:spacing w:val="-3"/>
        </w:rPr>
        <w:t> </w:t>
      </w:r>
      <w:r>
        <w:rPr>
          <w:rFonts w:ascii="宋体" w:hAnsi="宋体" w:cs="宋体" w:eastAsia="宋体" w:hint="default"/>
        </w:rPr>
        <w:t>,967,081.74</w:t>
      </w:r>
      <w:r>
        <w:rPr/>
        <w:t>元，减少的比例为</w:t>
      </w:r>
      <w:r>
        <w:rPr>
          <w:rFonts w:ascii="宋体" w:hAnsi="宋体" w:cs="宋体" w:eastAsia="宋体" w:hint="default"/>
        </w:rPr>
        <w:t>64.61%</w:t>
      </w:r>
      <w:r>
        <w:rPr/>
        <w:t>，主要系</w:t>
      </w:r>
      <w:r>
        <w:rPr>
          <w:rFonts w:ascii="宋体" w:hAnsi="宋体" w:cs="宋体" w:eastAsia="宋体" w:hint="default"/>
        </w:rPr>
        <w:t>2017</w:t>
      </w:r>
      <w:r>
        <w:rPr/>
        <w:t>年度光一 </w:t>
      </w:r>
      <w:r>
        <w:rPr>
          <w:spacing w:val="-3"/>
        </w:rPr>
        <w:t>科技生产与中试基地综合楼、检测大楼、山源科技公司二期工程达到预定可使用状态，转为固定资产核算。</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21、工程物资" w:id="295"/>
      <w:bookmarkEnd w:id="295"/>
      <w:r>
        <w:rPr>
          <w:b w:val="0"/>
          <w:bCs w:val="0"/>
        </w:rPr>
      </w:r>
      <w:r>
        <w:rPr>
          <w:rFonts w:ascii="宋体" w:hAnsi="宋体" w:cs="宋体" w:eastAsia="宋体" w:hint="default"/>
        </w:rPr>
        <w:t>21</w:t>
      </w:r>
      <w:r>
        <w:rPr/>
        <w:t>、工程物资</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2、固定资产清理" w:id="296"/>
      <w:bookmarkEnd w:id="296"/>
      <w:r>
        <w:rPr>
          <w:rFonts w:ascii="宋体" w:hAnsi="宋体" w:cs="宋体" w:eastAsia="宋体" w:hint="default"/>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408" w:lineRule="auto" w:before="46"/>
        <w:ind w:left="1134" w:right="885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3、生产性生物资产" w:id="297"/>
      <w:bookmarkEnd w:id="297"/>
      <w:r>
        <w:rPr>
          <w:rFonts w:ascii="宋体" w:hAnsi="宋体" w:cs="宋体" w:eastAsia="宋体" w:hint="default"/>
          <w:sz w:val="21"/>
          <w:szCs w:val="21"/>
        </w:rPr>
      </w:r>
      <w:r>
        <w:rPr>
          <w:rFonts w:ascii="宋体" w:hAnsi="宋体" w:cs="宋体" w:eastAsia="宋体"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4、油气资产" w:id="298"/>
      <w:bookmarkEnd w:id="298"/>
      <w:r>
        <w:rPr>
          <w:rFonts w:ascii="宋体" w:hAnsi="宋体" w:cs="宋体" w:eastAsia="宋体" w:hint="default"/>
          <w:sz w:val="21"/>
          <w:szCs w:val="21"/>
        </w:rPr>
      </w:r>
      <w:r>
        <w:rPr>
          <w:rFonts w:ascii="宋体" w:hAnsi="宋体" w:cs="宋体" w:eastAsia="宋体"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5、无形资产" w:id="299"/>
      <w:bookmarkEnd w:id="299"/>
      <w:r>
        <w:rPr>
          <w:rFonts w:ascii="宋体" w:hAnsi="宋体" w:cs="宋体" w:eastAsia="宋体" w:hint="default"/>
          <w:sz w:val="21"/>
          <w:szCs w:val="21"/>
        </w:rPr>
      </w:r>
      <w:r>
        <w:rPr>
          <w:rFonts w:ascii="宋体" w:hAnsi="宋体" w:cs="宋体" w:eastAsia="宋体"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46"/>
        <w:ind w:right="1121"/>
        <w:jc w:val="left"/>
        <w:rPr>
          <w:b w:val="0"/>
          <w:bCs w:val="0"/>
        </w:rPr>
      </w:pPr>
      <w:bookmarkStart w:name="（1）无形资产情况" w:id="300"/>
      <w:bookmarkEnd w:id="300"/>
      <w:r>
        <w:rPr>
          <w:b w:val="0"/>
          <w:bCs w:val="0"/>
        </w:rPr>
      </w:r>
      <w:r>
        <w:rPr/>
        <w:t>（</w:t>
      </w:r>
      <w:r>
        <w:rPr>
          <w:rFonts w:ascii="宋体" w:hAnsi="宋体" w:cs="宋体" w:eastAsia="宋体" w:hint="default"/>
        </w:rPr>
        <w:t>1</w:t>
      </w:r>
      <w:r>
        <w:rPr/>
        <w:t>）无形资产情况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16"/>
        <w:jc w:val="left"/>
      </w:pPr>
      <w:r>
        <w:rPr/>
        <w:t>公司是否需遵守《深圳证券交易所创业板行业信息披露指引第</w:t>
      </w:r>
      <w:r>
        <w:rPr>
          <w:spacing w:val="-64"/>
        </w:rPr>
        <w:t> </w:t>
      </w:r>
      <w:r>
        <w:rPr>
          <w:rFonts w:ascii="宋体" w:hAnsi="宋体" w:cs="宋体" w:eastAsia="宋体" w:hint="default"/>
        </w:rPr>
        <w:t>5</w:t>
      </w:r>
      <w:r>
        <w:rPr>
          <w:rFonts w:ascii="宋体" w:hAnsi="宋体" w:cs="宋体" w:eastAsia="宋体" w:hint="default"/>
          <w:spacing w:val="-64"/>
        </w:rPr>
        <w:t> </w:t>
      </w:r>
      <w:r>
        <w:rPr/>
        <w:t>号——上市公司从事互联网游戏业务》的 披露要求</w:t>
      </w:r>
    </w:p>
    <w:p>
      <w:pPr>
        <w:pStyle w:val="BodyText"/>
        <w:spacing w:line="240" w:lineRule="auto"/>
        <w:ind w:right="1121"/>
        <w:jc w:val="left"/>
      </w:pPr>
      <w:r>
        <w:rPr/>
        <w:t>□ 是 √ 否</w:t>
      </w:r>
    </w:p>
    <w:p>
      <w:pPr>
        <w:spacing w:line="240" w:lineRule="auto" w:before="11"/>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27"/>
        <w:gridCol w:w="1570"/>
        <w:gridCol w:w="1560"/>
        <w:gridCol w:w="1414"/>
        <w:gridCol w:w="1595"/>
        <w:gridCol w:w="1593"/>
      </w:tblGrid>
      <w:tr>
        <w:trPr>
          <w:trHeight w:val="413" w:hRule="exact"/>
        </w:trPr>
        <w:tc>
          <w:tcPr>
            <w:tcW w:w="182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14" w:type="dxa"/>
            <w:tcBorders>
              <w:top w:val="single" w:sz="12" w:space="0" w:color="000000"/>
              <w:left w:val="single" w:sz="6" w:space="0" w:color="000000"/>
              <w:bottom w:val="single" w:sz="6" w:space="0" w:color="000000"/>
              <w:right w:val="single" w:sz="9" w:space="0" w:color="E0FFFF"/>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12" w:space="0" w:color="000000"/>
              <w:left w:val="single" w:sz="9" w:space="0" w:color="D2D2D2"/>
              <w:bottom w:val="single" w:sz="6" w:space="0" w:color="000000"/>
              <w:right w:val="single" w:sz="8" w:space="0" w:color="D2D2D2"/>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3" w:type="dxa"/>
            <w:tcBorders>
              <w:top w:val="single" w:sz="12" w:space="0" w:color="000000"/>
              <w:left w:val="single" w:sz="14" w:space="0" w:color="E0FFFF"/>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73,091,918.76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71,037,286.46</w:t>
            </w: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3,997,320.43</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148,126,525.65</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360,854.74</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360,854.74</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360,854.74</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360,854.74</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7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73,091,918.76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71,037,286.46</w:t>
            </w: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4,358,175.17</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148,487,380.39</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6,097,991.93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12,769,049.39</w:t>
            </w: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1,236,461.87</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20,103,503.19</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1,476,875.40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4,093,537.32</w:t>
            </w: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526,434.85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6,096,847.57</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7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1,476,875.40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4,093,537.32</w:t>
            </w: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526,434.85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6,096,847.57</w:t>
            </w:r>
          </w:p>
        </w:tc>
      </w:tr>
      <w:tr>
        <w:trPr>
          <w:trHeight w:val="408"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2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7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7,574,867.33</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16,862,586.71</w:t>
            </w:r>
          </w:p>
        </w:tc>
        <w:tc>
          <w:tcPr>
            <w:tcW w:w="1414" w:type="dxa"/>
            <w:tcBorders>
              <w:top w:val="single" w:sz="6" w:space="0" w:color="000000"/>
              <w:left w:val="single" w:sz="6" w:space="0" w:color="000000"/>
              <w:bottom w:val="single" w:sz="12" w:space="0" w:color="000000"/>
              <w:right w:val="single" w:sz="6" w:space="0" w:color="000000"/>
            </w:tcBorders>
          </w:tcPr>
          <w:p>
            <w:pP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1,762,896.72</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26,200,350.76</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1827"/>
        <w:gridCol w:w="1570"/>
        <w:gridCol w:w="1560"/>
        <w:gridCol w:w="1414"/>
        <w:gridCol w:w="1595"/>
        <w:gridCol w:w="1593"/>
      </w:tblGrid>
      <w:tr>
        <w:trPr>
          <w:trHeight w:val="415" w:hRule="exact"/>
        </w:trPr>
        <w:tc>
          <w:tcPr>
            <w:tcW w:w="182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14" w:type="dxa"/>
            <w:tcBorders>
              <w:top w:val="single" w:sz="12" w:space="0" w:color="000000"/>
              <w:left w:val="single" w:sz="6" w:space="0" w:color="000000"/>
              <w:bottom w:val="single" w:sz="6" w:space="0" w:color="000000"/>
              <w:right w:val="single" w:sz="9" w:space="0" w:color="E0FFFF"/>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12" w:space="0" w:color="000000"/>
              <w:left w:val="single" w:sz="9" w:space="0" w:color="D2D2D2"/>
              <w:bottom w:val="single" w:sz="6" w:space="0" w:color="000000"/>
              <w:right w:val="single" w:sz="8" w:space="0" w:color="D2D2D2"/>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3" w:type="dxa"/>
            <w:tcBorders>
              <w:top w:val="single" w:sz="12" w:space="0" w:color="000000"/>
              <w:left w:val="single" w:sz="14" w:space="0" w:color="E0FFFF"/>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54,117,647.24</w:t>
            </w: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54,117,647.24</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54,117,647.24</w:t>
            </w: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54,117,647.24</w:t>
            </w: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7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70"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c>
          <w:tcPr>
            <w:tcW w:w="159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7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359" w:right="0"/>
              <w:jc w:val="left"/>
              <w:rPr>
                <w:rFonts w:ascii="宋体" w:hAnsi="宋体" w:cs="宋体" w:eastAsia="宋体" w:hint="default"/>
                <w:sz w:val="18"/>
                <w:szCs w:val="18"/>
              </w:rPr>
            </w:pPr>
            <w:r>
              <w:rPr>
                <w:rFonts w:ascii="宋体"/>
                <w:sz w:val="18"/>
              </w:rPr>
              <w:t>65,517,051.43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57,052.51</w:t>
            </w:r>
          </w:p>
        </w:tc>
        <w:tc>
          <w:tcPr>
            <w:tcW w:w="141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2,595,278.45</w:t>
            </w:r>
          </w:p>
        </w:tc>
        <w:tc>
          <w:tcPr>
            <w:tcW w:w="15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68,169,382.39</w:t>
            </w:r>
          </w:p>
        </w:tc>
      </w:tr>
      <w:tr>
        <w:trPr>
          <w:trHeight w:val="415" w:hRule="exact"/>
        </w:trPr>
        <w:tc>
          <w:tcPr>
            <w:tcW w:w="182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17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7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left="359" w:right="0"/>
              <w:jc w:val="left"/>
              <w:rPr>
                <w:rFonts w:ascii="宋体" w:hAnsi="宋体" w:cs="宋体" w:eastAsia="宋体" w:hint="default"/>
                <w:sz w:val="18"/>
                <w:szCs w:val="18"/>
              </w:rPr>
            </w:pPr>
            <w:r>
              <w:rPr>
                <w:rFonts w:ascii="宋体"/>
                <w:sz w:val="18"/>
              </w:rPr>
              <w:t>66,993,926.83</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58,268,237.07</w:t>
            </w:r>
          </w:p>
        </w:tc>
        <w:tc>
          <w:tcPr>
            <w:tcW w:w="1414" w:type="dxa"/>
            <w:tcBorders>
              <w:top w:val="single" w:sz="6" w:space="0" w:color="000000"/>
              <w:left w:val="single" w:sz="6" w:space="0" w:color="000000"/>
              <w:bottom w:val="single" w:sz="12" w:space="0" w:color="000000"/>
              <w:right w:val="single" w:sz="6" w:space="0" w:color="000000"/>
            </w:tcBorders>
          </w:tcPr>
          <w:p>
            <w:pP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2,760,858.56</w:t>
            </w:r>
          </w:p>
        </w:tc>
        <w:tc>
          <w:tcPr>
            <w:tcW w:w="15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128,023,022.46</w:t>
            </w:r>
          </w:p>
        </w:tc>
      </w:tr>
    </w:tbl>
    <w:p>
      <w:pPr>
        <w:pStyle w:val="BodyText"/>
        <w:spacing w:line="240" w:lineRule="auto" w:before="26"/>
        <w:ind w:left="1134" w:right="1121"/>
        <w:jc w:val="left"/>
      </w:pPr>
      <w:r>
        <w:rPr/>
        <w:t>本期末通过公司内部研发形成的无形资产占无形资产余额的比例</w:t>
      </w:r>
      <w:r>
        <w:rPr>
          <w:spacing w:val="-53"/>
        </w:rPr>
        <w:t> </w:t>
      </w:r>
      <w:r>
        <w:rPr>
          <w:rFonts w:ascii="宋体" w:hAnsi="宋体" w:cs="宋体" w:eastAsia="宋体" w:hint="default"/>
        </w:rPr>
        <w:t>0.00%</w:t>
      </w:r>
      <w:r>
        <w:rPr/>
        <w:t>。</w:t>
      </w:r>
    </w:p>
    <w:p>
      <w:pPr>
        <w:pStyle w:val="Heading4"/>
        <w:spacing w:line="240" w:lineRule="auto" w:before="154"/>
        <w:ind w:right="1121"/>
        <w:jc w:val="left"/>
        <w:rPr>
          <w:b w:val="0"/>
          <w:bCs w:val="0"/>
        </w:rPr>
      </w:pPr>
      <w:bookmarkStart w:name="（2）未办妥产权证书的土地使用权情况" w:id="301"/>
      <w:bookmarkEnd w:id="301"/>
      <w:r>
        <w:rPr>
          <w:b w:val="0"/>
          <w:bCs w:val="0"/>
        </w:rPr>
      </w:r>
      <w:r>
        <w:rPr/>
        <w:t>（</w:t>
      </w:r>
      <w:r>
        <w:rPr>
          <w:rFonts w:ascii="宋体" w:hAnsi="宋体" w:cs="宋体" w:eastAsia="宋体" w:hint="default"/>
        </w:rPr>
        <w:t>2</w:t>
      </w:r>
      <w:r>
        <w:rPr/>
        <w:t>）未办妥产权证书的土地使用权情况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6、开发支出" w:id="302"/>
      <w:bookmarkEnd w:id="302"/>
      <w:r>
        <w:rPr>
          <w:rFonts w:ascii="宋体" w:hAnsi="宋体" w:cs="宋体" w:eastAsia="宋体" w:hint="default"/>
          <w:sz w:val="21"/>
          <w:szCs w:val="21"/>
        </w:rPr>
      </w:r>
      <w:r>
        <w:rPr>
          <w:rFonts w:ascii="宋体" w:hAnsi="宋体" w:cs="宋体" w:eastAsia="宋体"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7、商誉" w:id="303"/>
      <w:bookmarkEnd w:id="303"/>
      <w:r>
        <w:rPr>
          <w:rFonts w:ascii="宋体" w:hAnsi="宋体" w:cs="宋体" w:eastAsia="宋体" w:hint="default"/>
          <w:sz w:val="21"/>
          <w:szCs w:val="21"/>
        </w:rPr>
      </w:r>
      <w:r>
        <w:rPr>
          <w:rFonts w:ascii="宋体" w:hAnsi="宋体" w:cs="宋体" w:eastAsia="宋体"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4"/>
        <w:spacing w:line="240" w:lineRule="auto" w:before="46"/>
        <w:ind w:right="1121"/>
        <w:jc w:val="left"/>
        <w:rPr>
          <w:b w:val="0"/>
          <w:bCs w:val="0"/>
        </w:rPr>
      </w:pPr>
      <w:bookmarkStart w:name="（1）商誉账面原值" w:id="304"/>
      <w:bookmarkEnd w:id="304"/>
      <w:r>
        <w:rPr>
          <w:b w:val="0"/>
          <w:bCs w:val="0"/>
        </w:rPr>
      </w:r>
      <w:r>
        <w:rPr/>
        <w:t>（</w:t>
      </w:r>
      <w:r>
        <w:rPr>
          <w:rFonts w:ascii="宋体" w:hAnsi="宋体" w:cs="宋体" w:eastAsia="宋体" w:hint="default"/>
        </w:rPr>
        <w:t>1</w:t>
      </w:r>
      <w:r>
        <w:rPr/>
        <w:t>）商誉账面原值</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1976"/>
        <w:gridCol w:w="1712"/>
        <w:gridCol w:w="1418"/>
        <w:gridCol w:w="851"/>
        <w:gridCol w:w="1134"/>
        <w:gridCol w:w="1114"/>
        <w:gridCol w:w="1366"/>
      </w:tblGrid>
      <w:tr>
        <w:trPr>
          <w:trHeight w:val="219" w:hRule="exact"/>
        </w:trPr>
        <w:tc>
          <w:tcPr>
            <w:tcW w:w="1976" w:type="dxa"/>
            <w:vMerge w:val="restart"/>
            <w:tcBorders>
              <w:top w:val="single" w:sz="12" w:space="0" w:color="000000"/>
              <w:left w:val="single" w:sz="12" w:space="0" w:color="000000"/>
              <w:right w:val="single" w:sz="6" w:space="0" w:color="000000"/>
            </w:tcBorders>
            <w:shd w:val="clear" w:color="auto" w:fill="D2D2D2"/>
          </w:tcPr>
          <w:p>
            <w:pPr>
              <w:pStyle w:val="TableParagraph"/>
              <w:spacing w:line="316" w:lineRule="auto" w:before="99"/>
              <w:ind w:left="527" w:right="74" w:hanging="451"/>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712" w:type="dxa"/>
            <w:tcBorders>
              <w:top w:val="single" w:sz="12" w:space="0" w:color="000000"/>
              <w:left w:val="single" w:sz="6" w:space="0" w:color="000000"/>
              <w:bottom w:val="nil" w:sz="6" w:space="0" w:color="auto"/>
              <w:right w:val="single" w:sz="6" w:space="0" w:color="000000"/>
            </w:tcBorders>
            <w:shd w:val="clear" w:color="auto" w:fill="D2D2D2"/>
          </w:tcPr>
          <w:p>
            <w:pPr/>
          </w:p>
        </w:tc>
        <w:tc>
          <w:tcPr>
            <w:tcW w:w="2268"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248"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976" w:type="dxa"/>
            <w:vMerge/>
            <w:tcBorders>
              <w:left w:val="single" w:sz="12" w:space="0" w:color="000000"/>
              <w:right w:val="single" w:sz="6" w:space="0" w:color="000000"/>
            </w:tcBorders>
            <w:shd w:val="clear" w:color="auto" w:fill="D2D2D2"/>
          </w:tcPr>
          <w:p>
            <w:pPr/>
          </w:p>
        </w:tc>
        <w:tc>
          <w:tcPr>
            <w:tcW w:w="17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vMerge/>
            <w:tcBorders>
              <w:left w:val="single" w:sz="6" w:space="0" w:color="000000"/>
              <w:bottom w:val="single" w:sz="6" w:space="0" w:color="000000"/>
              <w:right w:val="single" w:sz="6" w:space="0" w:color="000000"/>
            </w:tcBorders>
            <w:shd w:val="clear" w:color="auto" w:fill="D2D2D2"/>
          </w:tcPr>
          <w:p>
            <w:pPr/>
          </w:p>
        </w:tc>
        <w:tc>
          <w:tcPr>
            <w:tcW w:w="2248" w:type="dxa"/>
            <w:gridSpan w:val="2"/>
            <w:vMerge/>
            <w:tcBorders>
              <w:left w:val="single" w:sz="6" w:space="0" w:color="000000"/>
              <w:bottom w:val="single" w:sz="6" w:space="0" w:color="000000"/>
              <w:right w:val="single" w:sz="6" w:space="0" w:color="000000"/>
            </w:tcBorders>
            <w:shd w:val="clear" w:color="auto" w:fill="D2D2D2"/>
          </w:tcPr>
          <w:p>
            <w:pPr/>
          </w:p>
        </w:tc>
        <w:tc>
          <w:tcPr>
            <w:tcW w:w="136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1976" w:type="dxa"/>
            <w:vMerge/>
            <w:tcBorders>
              <w:left w:val="single" w:sz="12" w:space="0" w:color="000000"/>
              <w:right w:val="single" w:sz="6" w:space="0" w:color="000000"/>
            </w:tcBorders>
            <w:shd w:val="clear" w:color="auto" w:fill="D2D2D2"/>
          </w:tcPr>
          <w:p>
            <w:pPr/>
          </w:p>
        </w:tc>
        <w:tc>
          <w:tcPr>
            <w:tcW w:w="1712" w:type="dxa"/>
            <w:vMerge/>
            <w:tcBorders>
              <w:left w:val="single" w:sz="6" w:space="0" w:color="000000"/>
              <w:bottom w:val="nil" w:sz="6" w:space="0" w:color="auto"/>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9" w:space="0" w:color="E0FFFF"/>
            </w:tcBorders>
            <w:shd w:val="clear" w:color="auto" w:fill="D2D2D2"/>
          </w:tcPr>
          <w:p>
            <w:pPr>
              <w:pStyle w:val="TableParagraph"/>
              <w:spacing w:line="240" w:lineRule="auto" w:before="50"/>
              <w:ind w:left="71"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851" w:type="dxa"/>
            <w:vMerge w:val="restart"/>
            <w:tcBorders>
              <w:top w:val="single" w:sz="6" w:space="0" w:color="000000"/>
              <w:left w:val="single" w:sz="14" w:space="0" w:color="D2D2D2"/>
              <w:right w:val="single" w:sz="8" w:space="0" w:color="D2D2D2"/>
            </w:tcBorders>
            <w:shd w:val="clear" w:color="auto" w:fill="E0FFFF"/>
          </w:tcPr>
          <w:p>
            <w:pPr/>
          </w:p>
        </w:tc>
        <w:tc>
          <w:tcPr>
            <w:tcW w:w="1134" w:type="dxa"/>
            <w:vMerge w:val="restart"/>
            <w:tcBorders>
              <w:top w:val="single" w:sz="6" w:space="0" w:color="000000"/>
              <w:left w:val="single" w:sz="6" w:space="0" w:color="000000"/>
              <w:right w:val="single" w:sz="9" w:space="0" w:color="E0FFFF"/>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14" w:type="dxa"/>
            <w:vMerge w:val="restart"/>
            <w:tcBorders>
              <w:top w:val="single" w:sz="6" w:space="0" w:color="000000"/>
              <w:left w:val="single" w:sz="14" w:space="0" w:color="D2D2D2"/>
              <w:right w:val="single" w:sz="8" w:space="0" w:color="D2D2D2"/>
            </w:tcBorders>
            <w:shd w:val="clear" w:color="auto" w:fill="E0FFFF"/>
          </w:tcPr>
          <w:p>
            <w:pPr/>
          </w:p>
        </w:tc>
        <w:tc>
          <w:tcPr>
            <w:tcW w:w="1366"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976" w:type="dxa"/>
            <w:vMerge/>
            <w:tcBorders>
              <w:left w:val="single" w:sz="12" w:space="0" w:color="000000"/>
              <w:bottom w:val="single" w:sz="6" w:space="0" w:color="000000"/>
              <w:right w:val="single" w:sz="6" w:space="0" w:color="000000"/>
            </w:tcBorders>
            <w:shd w:val="clear" w:color="auto" w:fill="D2D2D2"/>
          </w:tcPr>
          <w:p>
            <w:pPr/>
          </w:p>
        </w:tc>
        <w:tc>
          <w:tcPr>
            <w:tcW w:w="1712"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9" w:space="0" w:color="E0FFFF"/>
            </w:tcBorders>
            <w:shd w:val="clear" w:color="auto" w:fill="D2D2D2"/>
          </w:tcPr>
          <w:p>
            <w:pPr/>
          </w:p>
        </w:tc>
        <w:tc>
          <w:tcPr>
            <w:tcW w:w="851" w:type="dxa"/>
            <w:vMerge/>
            <w:tcBorders>
              <w:left w:val="single" w:sz="14" w:space="0" w:color="D2D2D2"/>
              <w:bottom w:val="single" w:sz="6" w:space="0" w:color="000000"/>
              <w:right w:val="single" w:sz="8" w:space="0" w:color="D2D2D2"/>
            </w:tcBorders>
            <w:shd w:val="clear" w:color="auto" w:fill="E0FFFF"/>
          </w:tcPr>
          <w:p>
            <w:pPr/>
          </w:p>
        </w:tc>
        <w:tc>
          <w:tcPr>
            <w:tcW w:w="1134" w:type="dxa"/>
            <w:vMerge/>
            <w:tcBorders>
              <w:left w:val="single" w:sz="6" w:space="0" w:color="000000"/>
              <w:bottom w:val="single" w:sz="6" w:space="0" w:color="000000"/>
              <w:right w:val="single" w:sz="9" w:space="0" w:color="E0FFFF"/>
            </w:tcBorders>
            <w:shd w:val="clear" w:color="auto" w:fill="D2D2D2"/>
          </w:tcPr>
          <w:p>
            <w:pPr/>
          </w:p>
        </w:tc>
        <w:tc>
          <w:tcPr>
            <w:tcW w:w="1114" w:type="dxa"/>
            <w:vMerge/>
            <w:tcBorders>
              <w:left w:val="single" w:sz="14" w:space="0" w:color="D2D2D2"/>
              <w:bottom w:val="single" w:sz="6" w:space="0" w:color="000000"/>
              <w:right w:val="single" w:sz="8" w:space="0" w:color="D2D2D2"/>
            </w:tcBorders>
            <w:shd w:val="clear" w:color="auto" w:fill="E0FFFF"/>
          </w:tcPr>
          <w:p>
            <w:pPr/>
          </w:p>
        </w:tc>
        <w:tc>
          <w:tcPr>
            <w:tcW w:w="1366"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19" w:hRule="exact"/>
        </w:trPr>
        <w:tc>
          <w:tcPr>
            <w:tcW w:w="1976" w:type="dxa"/>
            <w:tcBorders>
              <w:top w:val="single" w:sz="25" w:space="0" w:color="D2D2D2"/>
              <w:left w:val="single" w:sz="12" w:space="0" w:color="000000"/>
              <w:bottom w:val="single" w:sz="6" w:space="0" w:color="000000"/>
              <w:right w:val="single" w:sz="6" w:space="0" w:color="000000"/>
            </w:tcBorders>
            <w:shd w:val="clear" w:color="auto" w:fill="E0FFFF"/>
          </w:tcPr>
          <w:p>
            <w:pPr>
              <w:pStyle w:val="TableParagraph"/>
              <w:spacing w:line="319" w:lineRule="auto" w:before="27"/>
              <w:ind w:left="13" w:right="138"/>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1712" w:type="dxa"/>
            <w:tcBorders>
              <w:top w:val="single" w:sz="6" w:space="0" w:color="000000"/>
              <w:left w:val="single" w:sz="8" w:space="0" w:color="E0FFFF"/>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24,652,381.50</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center"/>
              <w:rPr>
                <w:rFonts w:ascii="宋体" w:hAnsi="宋体" w:cs="宋体" w:eastAsia="宋体" w:hint="default"/>
                <w:sz w:val="18"/>
                <w:szCs w:val="18"/>
              </w:rPr>
            </w:pPr>
            <w:r>
              <w:rPr>
                <w:rFonts w:ascii="宋体"/>
                <w:sz w:val="18"/>
              </w:rPr>
              <w:t>24,652,381.50</w:t>
            </w:r>
          </w:p>
        </w:tc>
      </w:tr>
      <w:tr>
        <w:trPr>
          <w:trHeight w:val="719" w:hRule="exact"/>
        </w:trPr>
        <w:tc>
          <w:tcPr>
            <w:tcW w:w="1976"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319" w:lineRule="auto" w:before="51"/>
              <w:ind w:left="13" w:right="138"/>
              <w:jc w:val="left"/>
              <w:rPr>
                <w:rFonts w:ascii="宋体" w:hAnsi="宋体" w:cs="宋体" w:eastAsia="宋体" w:hint="default"/>
                <w:sz w:val="18"/>
                <w:szCs w:val="18"/>
              </w:rPr>
            </w:pPr>
            <w:r>
              <w:rPr>
                <w:rFonts w:ascii="宋体" w:hAnsi="宋体" w:cs="宋体" w:eastAsia="宋体" w:hint="default"/>
                <w:sz w:val="18"/>
                <w:szCs w:val="18"/>
              </w:rPr>
              <w:t>江苏光一德能电气工程 有限公司</w:t>
            </w:r>
          </w:p>
        </w:tc>
        <w:tc>
          <w:tcPr>
            <w:tcW w:w="1712" w:type="dxa"/>
            <w:tcBorders>
              <w:top w:val="single" w:sz="6" w:space="0" w:color="000000"/>
              <w:left w:val="single" w:sz="8" w:space="0" w:color="E0FFFF"/>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8,390,274.10</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center"/>
              <w:rPr>
                <w:rFonts w:ascii="宋体" w:hAnsi="宋体" w:cs="宋体" w:eastAsia="宋体" w:hint="default"/>
                <w:sz w:val="18"/>
                <w:szCs w:val="18"/>
              </w:rPr>
            </w:pPr>
            <w:r>
              <w:rPr>
                <w:rFonts w:ascii="宋体"/>
                <w:sz w:val="18"/>
              </w:rPr>
              <w:t>8,390,274.10</w:t>
            </w:r>
          </w:p>
        </w:tc>
      </w:tr>
      <w:tr>
        <w:trPr>
          <w:trHeight w:val="719" w:hRule="exact"/>
        </w:trPr>
        <w:tc>
          <w:tcPr>
            <w:tcW w:w="1976"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316" w:lineRule="auto" w:before="52"/>
              <w:ind w:left="13" w:right="138"/>
              <w:jc w:val="left"/>
              <w:rPr>
                <w:rFonts w:ascii="宋体" w:hAnsi="宋体" w:cs="宋体" w:eastAsia="宋体" w:hint="default"/>
                <w:sz w:val="18"/>
                <w:szCs w:val="18"/>
              </w:rPr>
            </w:pPr>
            <w:r>
              <w:rPr>
                <w:rFonts w:ascii="宋体" w:hAnsi="宋体" w:cs="宋体" w:eastAsia="宋体" w:hint="default"/>
                <w:sz w:val="18"/>
                <w:szCs w:val="18"/>
              </w:rPr>
              <w:t>南京云商天下信息技术 有限公司</w:t>
            </w:r>
          </w:p>
        </w:tc>
        <w:tc>
          <w:tcPr>
            <w:tcW w:w="1712" w:type="dxa"/>
            <w:tcBorders>
              <w:top w:val="single" w:sz="6" w:space="0" w:color="000000"/>
              <w:left w:val="single" w:sz="8" w:space="0" w:color="E0FFFF"/>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3,828,073.75</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center"/>
              <w:rPr>
                <w:rFonts w:ascii="宋体" w:hAnsi="宋体" w:cs="宋体" w:eastAsia="宋体" w:hint="default"/>
                <w:sz w:val="18"/>
                <w:szCs w:val="18"/>
              </w:rPr>
            </w:pPr>
            <w:r>
              <w:rPr>
                <w:rFonts w:ascii="宋体"/>
                <w:sz w:val="18"/>
              </w:rPr>
              <w:t>3,828,073.75</w:t>
            </w:r>
          </w:p>
        </w:tc>
      </w:tr>
      <w:tr>
        <w:trPr>
          <w:trHeight w:val="407" w:hRule="exact"/>
        </w:trPr>
        <w:tc>
          <w:tcPr>
            <w:tcW w:w="1976"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712" w:type="dxa"/>
            <w:tcBorders>
              <w:top w:val="single" w:sz="6" w:space="0" w:color="000000"/>
              <w:left w:val="single" w:sz="8" w:space="0" w:color="E0FFFF"/>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319,477,893.35</w:t>
            </w:r>
          </w:p>
        </w:tc>
        <w:tc>
          <w:tcPr>
            <w:tcW w:w="141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319,477,893.35</w:t>
            </w:r>
          </w:p>
        </w:tc>
      </w:tr>
      <w:tr>
        <w:trPr>
          <w:trHeight w:val="416" w:hRule="exact"/>
        </w:trPr>
        <w:tc>
          <w:tcPr>
            <w:tcW w:w="197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356,348,622.70</w:t>
            </w:r>
          </w:p>
        </w:tc>
        <w:tc>
          <w:tcPr>
            <w:tcW w:w="1418" w:type="dxa"/>
            <w:tcBorders>
              <w:top w:val="single" w:sz="6" w:space="0" w:color="000000"/>
              <w:left w:val="single" w:sz="6" w:space="0" w:color="000000"/>
              <w:bottom w:val="single" w:sz="12" w:space="0" w:color="000000"/>
              <w:right w:val="single" w:sz="6" w:space="0" w:color="000000"/>
            </w:tcBorders>
          </w:tcPr>
          <w:p>
            <w:pPr/>
          </w:p>
        </w:tc>
        <w:tc>
          <w:tcPr>
            <w:tcW w:w="851"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114"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356,348,622.70</w:t>
            </w:r>
          </w:p>
        </w:tc>
      </w:tr>
    </w:tbl>
    <w:p>
      <w:pPr>
        <w:spacing w:line="240" w:lineRule="auto" w:before="2"/>
        <w:rPr>
          <w:rFonts w:ascii="宋体" w:hAnsi="宋体" w:cs="宋体" w:eastAsia="宋体" w:hint="default"/>
          <w:sz w:val="19"/>
          <w:szCs w:val="19"/>
        </w:rPr>
      </w:pPr>
    </w:p>
    <w:p>
      <w:pPr>
        <w:pStyle w:val="Heading4"/>
        <w:spacing w:line="240" w:lineRule="auto" w:before="35"/>
        <w:ind w:right="1121"/>
        <w:jc w:val="left"/>
        <w:rPr>
          <w:b w:val="0"/>
          <w:bCs w:val="0"/>
        </w:rPr>
      </w:pPr>
      <w:bookmarkStart w:name="（2）商誉减值准备" w:id="305"/>
      <w:bookmarkEnd w:id="305"/>
      <w:r>
        <w:rPr>
          <w:b w:val="0"/>
          <w:bCs w:val="0"/>
        </w:rPr>
      </w:r>
      <w:r>
        <w:rPr/>
        <w:t>（</w:t>
      </w:r>
      <w:r>
        <w:rPr>
          <w:rFonts w:ascii="宋体" w:hAnsi="宋体" w:cs="宋体" w:eastAsia="宋体" w:hint="default"/>
        </w:rPr>
        <w:t>2</w:t>
      </w:r>
      <w:r>
        <w:rPr/>
        <w:t>）商誉减值准备</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1976"/>
        <w:gridCol w:w="1427"/>
        <w:gridCol w:w="1419"/>
        <w:gridCol w:w="850"/>
        <w:gridCol w:w="1165"/>
        <w:gridCol w:w="1367"/>
        <w:gridCol w:w="1366"/>
      </w:tblGrid>
      <w:tr>
        <w:trPr>
          <w:trHeight w:val="219" w:hRule="exact"/>
        </w:trPr>
        <w:tc>
          <w:tcPr>
            <w:tcW w:w="1976" w:type="dxa"/>
            <w:vMerge w:val="restart"/>
            <w:tcBorders>
              <w:top w:val="single" w:sz="12" w:space="0" w:color="000000"/>
              <w:left w:val="single" w:sz="12" w:space="0" w:color="000000"/>
              <w:right w:val="single" w:sz="6" w:space="0" w:color="000000"/>
            </w:tcBorders>
            <w:shd w:val="clear" w:color="auto" w:fill="D2D2D2"/>
          </w:tcPr>
          <w:p>
            <w:pPr>
              <w:pStyle w:val="TableParagraph"/>
              <w:spacing w:line="316" w:lineRule="auto" w:before="99"/>
              <w:ind w:left="527" w:right="74" w:hanging="451"/>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427" w:type="dxa"/>
            <w:tcBorders>
              <w:top w:val="single" w:sz="12" w:space="0" w:color="000000"/>
              <w:left w:val="single" w:sz="6" w:space="0" w:color="000000"/>
              <w:bottom w:val="nil" w:sz="6" w:space="0" w:color="auto"/>
              <w:right w:val="single" w:sz="6" w:space="0" w:color="000000"/>
            </w:tcBorders>
            <w:shd w:val="clear" w:color="auto" w:fill="D2D2D2"/>
          </w:tcPr>
          <w:p>
            <w:pPr/>
          </w:p>
        </w:tc>
        <w:tc>
          <w:tcPr>
            <w:tcW w:w="2268"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532"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976" w:type="dxa"/>
            <w:vMerge/>
            <w:tcBorders>
              <w:left w:val="single" w:sz="12" w:space="0" w:color="000000"/>
              <w:right w:val="single" w:sz="6" w:space="0" w:color="000000"/>
            </w:tcBorders>
            <w:shd w:val="clear" w:color="auto" w:fill="D2D2D2"/>
          </w:tcPr>
          <w:p>
            <w:pPr/>
          </w:p>
        </w:tc>
        <w:tc>
          <w:tcPr>
            <w:tcW w:w="142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vMerge/>
            <w:tcBorders>
              <w:left w:val="single" w:sz="6" w:space="0" w:color="000000"/>
              <w:bottom w:val="single" w:sz="6" w:space="0" w:color="000000"/>
              <w:right w:val="single" w:sz="6" w:space="0" w:color="000000"/>
            </w:tcBorders>
            <w:shd w:val="clear" w:color="auto" w:fill="D2D2D2"/>
          </w:tcPr>
          <w:p>
            <w:pPr/>
          </w:p>
        </w:tc>
        <w:tc>
          <w:tcPr>
            <w:tcW w:w="2532" w:type="dxa"/>
            <w:gridSpan w:val="2"/>
            <w:vMerge/>
            <w:tcBorders>
              <w:left w:val="single" w:sz="6" w:space="0" w:color="000000"/>
              <w:bottom w:val="single" w:sz="6" w:space="0" w:color="000000"/>
              <w:right w:val="single" w:sz="6" w:space="0" w:color="000000"/>
            </w:tcBorders>
            <w:shd w:val="clear" w:color="auto" w:fill="D2D2D2"/>
          </w:tcPr>
          <w:p>
            <w:pPr/>
          </w:p>
        </w:tc>
        <w:tc>
          <w:tcPr>
            <w:tcW w:w="136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1976" w:type="dxa"/>
            <w:vMerge/>
            <w:tcBorders>
              <w:left w:val="single" w:sz="12" w:space="0" w:color="000000"/>
              <w:right w:val="single" w:sz="6" w:space="0" w:color="000000"/>
            </w:tcBorders>
            <w:shd w:val="clear" w:color="auto" w:fill="D2D2D2"/>
          </w:tcPr>
          <w:p>
            <w:pPr/>
          </w:p>
        </w:tc>
        <w:tc>
          <w:tcPr>
            <w:tcW w:w="1427" w:type="dxa"/>
            <w:vMerge/>
            <w:tcBorders>
              <w:left w:val="single" w:sz="6" w:space="0" w:color="000000"/>
              <w:bottom w:val="nil" w:sz="6" w:space="0" w:color="auto"/>
              <w:right w:val="single" w:sz="6" w:space="0" w:color="000000"/>
            </w:tcBorders>
            <w:shd w:val="clear" w:color="auto" w:fill="D2D2D2"/>
          </w:tcPr>
          <w:p>
            <w:pPr/>
          </w:p>
        </w:tc>
        <w:tc>
          <w:tcPr>
            <w:tcW w:w="141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850" w:type="dxa"/>
            <w:vMerge w:val="restart"/>
            <w:tcBorders>
              <w:top w:val="single" w:sz="6" w:space="0" w:color="000000"/>
              <w:left w:val="single" w:sz="14" w:space="0" w:color="D2D2D2"/>
              <w:right w:val="single" w:sz="14" w:space="0" w:color="D2D2D2"/>
            </w:tcBorders>
            <w:shd w:val="clear" w:color="auto" w:fill="E0FFFF"/>
          </w:tcPr>
          <w:p>
            <w:pPr/>
          </w:p>
        </w:tc>
        <w:tc>
          <w:tcPr>
            <w:tcW w:w="11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14" w:space="0" w:color="D2D2D2"/>
              <w:right w:val="single" w:sz="8" w:space="0" w:color="D2D2D2"/>
            </w:tcBorders>
            <w:shd w:val="clear" w:color="auto" w:fill="E0FFFF"/>
          </w:tcPr>
          <w:p>
            <w:pPr/>
          </w:p>
        </w:tc>
        <w:tc>
          <w:tcPr>
            <w:tcW w:w="1366"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976" w:type="dxa"/>
            <w:vMerge/>
            <w:tcBorders>
              <w:left w:val="single" w:sz="12" w:space="0" w:color="000000"/>
              <w:bottom w:val="single" w:sz="6" w:space="0" w:color="000000"/>
              <w:right w:val="single" w:sz="6" w:space="0" w:color="000000"/>
            </w:tcBorders>
            <w:shd w:val="clear" w:color="auto" w:fill="D2D2D2"/>
          </w:tcPr>
          <w:p>
            <w:pPr/>
          </w:p>
        </w:tc>
        <w:tc>
          <w:tcPr>
            <w:tcW w:w="1427"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9" w:type="dxa"/>
            <w:vMerge/>
            <w:tcBorders>
              <w:left w:val="single" w:sz="6" w:space="0" w:color="000000"/>
              <w:bottom w:val="single" w:sz="6" w:space="0" w:color="000000"/>
              <w:right w:val="single" w:sz="6" w:space="0" w:color="000000"/>
            </w:tcBorders>
            <w:shd w:val="clear" w:color="auto" w:fill="D2D2D2"/>
          </w:tcPr>
          <w:p>
            <w:pPr/>
          </w:p>
        </w:tc>
        <w:tc>
          <w:tcPr>
            <w:tcW w:w="850" w:type="dxa"/>
            <w:vMerge/>
            <w:tcBorders>
              <w:left w:val="single" w:sz="14" w:space="0" w:color="D2D2D2"/>
              <w:bottom w:val="single" w:sz="6" w:space="0" w:color="000000"/>
              <w:right w:val="single" w:sz="14" w:space="0" w:color="D2D2D2"/>
            </w:tcBorders>
            <w:shd w:val="clear" w:color="auto" w:fill="E0FFFF"/>
          </w:tcPr>
          <w:p>
            <w:pPr/>
          </w:p>
        </w:tc>
        <w:tc>
          <w:tcPr>
            <w:tcW w:w="1165"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14" w:space="0" w:color="D2D2D2"/>
              <w:bottom w:val="single" w:sz="6" w:space="0" w:color="000000"/>
              <w:right w:val="single" w:sz="8" w:space="0" w:color="D2D2D2"/>
            </w:tcBorders>
            <w:shd w:val="clear" w:color="auto" w:fill="E0FFFF"/>
          </w:tcPr>
          <w:p>
            <w:pPr/>
          </w:p>
        </w:tc>
        <w:tc>
          <w:tcPr>
            <w:tcW w:w="1366"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19" w:hRule="exact"/>
        </w:trPr>
        <w:tc>
          <w:tcPr>
            <w:tcW w:w="1976" w:type="dxa"/>
            <w:tcBorders>
              <w:top w:val="single" w:sz="25" w:space="0" w:color="D2D2D2"/>
              <w:left w:val="single" w:sz="12" w:space="0" w:color="000000"/>
              <w:bottom w:val="single" w:sz="6" w:space="0" w:color="000000"/>
              <w:right w:val="single" w:sz="6" w:space="0" w:color="000000"/>
            </w:tcBorders>
            <w:shd w:val="clear" w:color="auto" w:fill="E0FFFF"/>
          </w:tcPr>
          <w:p>
            <w:pPr>
              <w:pStyle w:val="TableParagraph"/>
              <w:spacing w:line="319" w:lineRule="auto" w:before="27"/>
              <w:ind w:left="13" w:right="138"/>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1427" w:type="dxa"/>
            <w:tcBorders>
              <w:top w:val="single" w:sz="6" w:space="0" w:color="000000"/>
              <w:left w:val="single" w:sz="8" w:space="0" w:color="E0FFFF"/>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24,652,381.50</w:t>
            </w:r>
          </w:p>
        </w:tc>
        <w:tc>
          <w:tcPr>
            <w:tcW w:w="850"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center"/>
              <w:rPr>
                <w:rFonts w:ascii="宋体" w:hAnsi="宋体" w:cs="宋体" w:eastAsia="宋体" w:hint="default"/>
                <w:sz w:val="18"/>
                <w:szCs w:val="18"/>
              </w:rPr>
            </w:pPr>
            <w:r>
              <w:rPr>
                <w:rFonts w:ascii="宋体"/>
                <w:sz w:val="18"/>
              </w:rPr>
              <w:t>24,652,381.50</w:t>
            </w:r>
          </w:p>
        </w:tc>
      </w:tr>
      <w:tr>
        <w:trPr>
          <w:trHeight w:val="719" w:hRule="exact"/>
        </w:trPr>
        <w:tc>
          <w:tcPr>
            <w:tcW w:w="1976"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319" w:lineRule="auto" w:before="51"/>
              <w:ind w:left="13" w:right="138"/>
              <w:jc w:val="left"/>
              <w:rPr>
                <w:rFonts w:ascii="宋体" w:hAnsi="宋体" w:cs="宋体" w:eastAsia="宋体" w:hint="default"/>
                <w:sz w:val="18"/>
                <w:szCs w:val="18"/>
              </w:rPr>
            </w:pPr>
            <w:r>
              <w:rPr>
                <w:rFonts w:ascii="宋体" w:hAnsi="宋体" w:cs="宋体" w:eastAsia="宋体" w:hint="default"/>
                <w:sz w:val="18"/>
                <w:szCs w:val="18"/>
              </w:rPr>
              <w:t>江苏光一德能电气工程 有限公司</w:t>
            </w:r>
          </w:p>
        </w:tc>
        <w:tc>
          <w:tcPr>
            <w:tcW w:w="1427" w:type="dxa"/>
            <w:tcBorders>
              <w:top w:val="single" w:sz="6" w:space="0" w:color="000000"/>
              <w:left w:val="single" w:sz="8" w:space="0" w:color="E0FFFF"/>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4,952,135.98</w:t>
            </w:r>
          </w:p>
        </w:tc>
        <w:tc>
          <w:tcPr>
            <w:tcW w:w="141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center"/>
              <w:rPr>
                <w:rFonts w:ascii="宋体" w:hAnsi="宋体" w:cs="宋体" w:eastAsia="宋体" w:hint="default"/>
                <w:sz w:val="18"/>
                <w:szCs w:val="18"/>
              </w:rPr>
            </w:pPr>
            <w:r>
              <w:rPr>
                <w:rFonts w:ascii="宋体"/>
                <w:sz w:val="18"/>
              </w:rPr>
              <w:t>4,952,135.98</w:t>
            </w:r>
          </w:p>
        </w:tc>
      </w:tr>
      <w:tr>
        <w:trPr>
          <w:trHeight w:val="719" w:hRule="exact"/>
        </w:trPr>
        <w:tc>
          <w:tcPr>
            <w:tcW w:w="1976"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316" w:lineRule="auto" w:before="52"/>
              <w:ind w:left="13" w:right="138"/>
              <w:jc w:val="left"/>
              <w:rPr>
                <w:rFonts w:ascii="宋体" w:hAnsi="宋体" w:cs="宋体" w:eastAsia="宋体" w:hint="default"/>
                <w:sz w:val="18"/>
                <w:szCs w:val="18"/>
              </w:rPr>
            </w:pPr>
            <w:r>
              <w:rPr>
                <w:rFonts w:ascii="宋体" w:hAnsi="宋体" w:cs="宋体" w:eastAsia="宋体" w:hint="default"/>
                <w:sz w:val="18"/>
                <w:szCs w:val="18"/>
              </w:rPr>
              <w:t>南京云商天下信息技术 有限公司</w:t>
            </w:r>
          </w:p>
        </w:tc>
        <w:tc>
          <w:tcPr>
            <w:tcW w:w="1427" w:type="dxa"/>
            <w:tcBorders>
              <w:top w:val="single" w:sz="6" w:space="0" w:color="000000"/>
              <w:left w:val="single" w:sz="8" w:space="0" w:color="E0FFFF"/>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3,828,073.75</w:t>
            </w:r>
          </w:p>
        </w:tc>
        <w:tc>
          <w:tcPr>
            <w:tcW w:w="141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center"/>
              <w:rPr>
                <w:rFonts w:ascii="宋体" w:hAnsi="宋体" w:cs="宋体" w:eastAsia="宋体" w:hint="default"/>
                <w:sz w:val="18"/>
                <w:szCs w:val="18"/>
              </w:rPr>
            </w:pPr>
            <w:r>
              <w:rPr>
                <w:rFonts w:ascii="宋体"/>
                <w:sz w:val="18"/>
              </w:rPr>
              <w:t>3,828,073.75</w:t>
            </w:r>
          </w:p>
        </w:tc>
      </w:tr>
      <w:tr>
        <w:trPr>
          <w:trHeight w:val="407" w:hRule="exact"/>
        </w:trPr>
        <w:tc>
          <w:tcPr>
            <w:tcW w:w="1976"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427" w:type="dxa"/>
            <w:tcBorders>
              <w:top w:val="single" w:sz="6" w:space="0" w:color="000000"/>
              <w:left w:val="single" w:sz="8" w:space="0" w:color="E0FFFF"/>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319,477,893.35</w:t>
            </w:r>
          </w:p>
        </w:tc>
        <w:tc>
          <w:tcPr>
            <w:tcW w:w="850"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319,477,893.35</w:t>
            </w:r>
          </w:p>
        </w:tc>
      </w:tr>
      <w:tr>
        <w:trPr>
          <w:trHeight w:val="416" w:hRule="exact"/>
        </w:trPr>
        <w:tc>
          <w:tcPr>
            <w:tcW w:w="197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8,780,209.73</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344,130,274.85</w:t>
            </w:r>
          </w:p>
        </w:tc>
        <w:tc>
          <w:tcPr>
            <w:tcW w:w="850" w:type="dxa"/>
            <w:tcBorders>
              <w:top w:val="single" w:sz="6" w:space="0" w:color="000000"/>
              <w:left w:val="single" w:sz="6" w:space="0" w:color="000000"/>
              <w:bottom w:val="single" w:sz="12" w:space="0" w:color="000000"/>
              <w:right w:val="single" w:sz="6" w:space="0" w:color="000000"/>
            </w:tcBorders>
          </w:tcPr>
          <w:p>
            <w:pPr/>
          </w:p>
        </w:tc>
        <w:tc>
          <w:tcPr>
            <w:tcW w:w="1165"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60" w:right="0"/>
              <w:jc w:val="center"/>
              <w:rPr>
                <w:rFonts w:ascii="宋体" w:hAnsi="宋体" w:cs="宋体" w:eastAsia="宋体" w:hint="default"/>
                <w:sz w:val="18"/>
                <w:szCs w:val="18"/>
              </w:rPr>
            </w:pPr>
            <w:r>
              <w:rPr>
                <w:rFonts w:ascii="宋体"/>
                <w:sz w:val="18"/>
              </w:rPr>
              <w:t>352,910,484.58</w:t>
            </w:r>
          </w:p>
        </w:tc>
      </w:tr>
    </w:tbl>
    <w:p>
      <w:pPr>
        <w:pStyle w:val="BodyText"/>
        <w:spacing w:line="240" w:lineRule="auto" w:before="63"/>
        <w:ind w:left="1134" w:right="1121"/>
        <w:jc w:val="left"/>
      </w:pPr>
      <w:r>
        <w:rPr/>
        <w:t>说明商誉减值测试过程、参数及商誉减值损失的确认方法：</w:t>
      </w:r>
    </w:p>
    <w:p>
      <w:pPr>
        <w:spacing w:line="240" w:lineRule="auto" w:before="10"/>
        <w:rPr>
          <w:rFonts w:ascii="宋体" w:hAnsi="宋体" w:cs="宋体" w:eastAsia="宋体" w:hint="default"/>
          <w:sz w:val="14"/>
          <w:szCs w:val="14"/>
        </w:rPr>
      </w:pPr>
    </w:p>
    <w:p>
      <w:pPr>
        <w:pStyle w:val="BodyText"/>
        <w:spacing w:line="408" w:lineRule="auto" w:before="0"/>
        <w:ind w:left="1557" w:right="1121"/>
        <w:jc w:val="left"/>
      </w:pPr>
      <w:r>
        <w:rPr/>
        <w:t>①商誉的减值测试方法和减值准备计提方法： </w:t>
      </w:r>
      <w:r>
        <w:rPr>
          <w:spacing w:val="-1"/>
        </w:rPr>
        <w:t>本公司将形成商誉的相关公司的所有资产认定为一个资产组，并聘请中瑞世联资产评估（北京）有限</w:t>
      </w:r>
    </w:p>
    <w:p>
      <w:pPr>
        <w:pStyle w:val="BodyText"/>
        <w:spacing w:line="408" w:lineRule="auto"/>
        <w:ind w:left="0" w:right="1108"/>
        <w:jc w:val="right"/>
      </w:pPr>
      <w:r>
        <w:rPr>
          <w:spacing w:val="-1"/>
        </w:rPr>
        <w:t>公司（以下简称“中瑞世联”）对</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日为基准日的湖北索瑞电气有限公司资产组可回收价值进</w:t>
      </w:r>
      <w:r>
        <w:rPr/>
        <w:t> </w:t>
      </w:r>
      <w:r>
        <w:rPr>
          <w:spacing w:val="-1"/>
        </w:rPr>
        <w:t>行评估，并出具了中瑞评报字</w:t>
      </w:r>
      <w:r>
        <w:rPr>
          <w:rFonts w:ascii="宋体" w:hAnsi="宋体" w:cs="宋体" w:eastAsia="宋体" w:hint="default"/>
          <w:spacing w:val="-1"/>
        </w:rPr>
        <w:t>[2018]</w:t>
      </w:r>
      <w:r>
        <w:rPr>
          <w:spacing w:val="-1"/>
        </w:rPr>
        <w:t>第</w:t>
      </w:r>
      <w:r>
        <w:rPr>
          <w:rFonts w:ascii="宋体" w:hAnsi="宋体" w:cs="宋体" w:eastAsia="宋体" w:hint="default"/>
          <w:spacing w:val="-1"/>
        </w:rPr>
        <w:t>000250</w:t>
      </w:r>
      <w:r>
        <w:rPr>
          <w:spacing w:val="-1"/>
        </w:rPr>
        <w:t>号《资产评估报告》，本次评估采用收益法估值，评估结论</w:t>
      </w:r>
      <w:r>
        <w:rPr/>
        <w:t> </w:t>
      </w:r>
      <w:r>
        <w:rPr>
          <w:spacing w:val="-1"/>
        </w:rPr>
        <w:t>为：截止</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日委托评估的湖北索瑞电气有限公司与商誉相关的全部主营业务经营性资产及负债</w:t>
      </w:r>
      <w:r>
        <w:rPr/>
        <w:t> </w:t>
      </w:r>
      <w:r>
        <w:rPr>
          <w:spacing w:val="-1"/>
        </w:rPr>
        <w:t>形成的资产组可回收价值，在持续经营前提下，为湖北索瑞电气有限公司拟进行商誉减值测试提供价值参</w:t>
      </w:r>
      <w:r>
        <w:rPr/>
        <w:t> </w:t>
      </w:r>
      <w:r>
        <w:rPr>
          <w:spacing w:val="-1"/>
        </w:rPr>
        <w:t>考为目的之资产组可回收价值为</w:t>
      </w:r>
      <w:r>
        <w:rPr>
          <w:rFonts w:ascii="宋体" w:hAnsi="宋体" w:cs="宋体" w:eastAsia="宋体" w:hint="default"/>
          <w:spacing w:val="-1"/>
        </w:rPr>
        <w:t>545,477,800.00</w:t>
      </w:r>
      <w:r>
        <w:rPr>
          <w:spacing w:val="-1"/>
        </w:rPr>
        <w:t>元。</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日，湖北索瑞电气有限公司资产组账面</w:t>
      </w:r>
      <w:r>
        <w:rPr/>
        <w:t> </w:t>
      </w:r>
      <w:r>
        <w:rPr>
          <w:spacing w:val="-1"/>
        </w:rPr>
        <w:t>价值（即在合并日公允价值基础上持续计量的金额和商誉账面价值合计）为</w:t>
      </w:r>
      <w:r>
        <w:rPr>
          <w:rFonts w:ascii="宋体" w:hAnsi="宋体" w:cs="宋体" w:eastAsia="宋体" w:hint="default"/>
          <w:spacing w:val="-1"/>
        </w:rPr>
        <w:t>1,006,939,313.22</w:t>
      </w:r>
      <w:r>
        <w:rPr>
          <w:spacing w:val="-1"/>
        </w:rPr>
        <w:t>元，其中母</w:t>
      </w:r>
      <w:r>
        <w:rPr/>
        <w:t> </w:t>
      </w:r>
      <w:r>
        <w:rPr>
          <w:spacing w:val="21"/>
        </w:rPr>
        <w:t>公司光一科技股份有限公司商誉减值金额为</w:t>
      </w:r>
      <w:r>
        <w:rPr>
          <w:spacing w:val="-77"/>
        </w:rPr>
        <w:t> </w:t>
      </w:r>
      <w:r>
        <w:rPr>
          <w:rFonts w:ascii="宋体" w:hAnsi="宋体" w:cs="宋体" w:eastAsia="宋体" w:hint="default"/>
        </w:rPr>
        <w:t>319,477,893.35</w:t>
      </w:r>
      <w:r>
        <w:rPr>
          <w:rFonts w:ascii="宋体" w:hAnsi="宋体" w:cs="宋体" w:eastAsia="宋体" w:hint="default"/>
          <w:spacing w:val="-82"/>
        </w:rPr>
        <w:t> </w:t>
      </w:r>
      <w:r>
        <w:rPr>
          <w:spacing w:val="11"/>
        </w:rPr>
        <w:t>元，</w:t>
      </w:r>
      <w:r>
        <w:rPr>
          <w:spacing w:val="-82"/>
        </w:rPr>
        <w:t> </w:t>
      </w:r>
      <w:r>
        <w:rPr>
          <w:spacing w:val="21"/>
        </w:rPr>
        <w:t>少数股东所享有商誉减值金额为</w:t>
      </w:r>
      <w:r>
        <w:rPr/>
        <w:t> </w:t>
      </w:r>
      <w:r>
        <w:rPr>
          <w:rFonts w:ascii="宋体" w:hAnsi="宋体" w:cs="宋体" w:eastAsia="宋体" w:hint="default"/>
        </w:rPr>
        <w:t>57,176,071.93</w:t>
      </w:r>
      <w:r>
        <w:rPr/>
        <w:t>元，并购过程中产生的无形资产商标减值</w:t>
      </w:r>
      <w:r>
        <w:rPr>
          <w:rFonts w:ascii="宋体" w:hAnsi="宋体" w:cs="宋体" w:eastAsia="宋体" w:hint="default"/>
        </w:rPr>
        <w:t>46,000,000.00</w:t>
      </w:r>
      <w:r>
        <w:rPr/>
        <w:t>元，专利权减值</w:t>
      </w:r>
      <w:r>
        <w:rPr>
          <w:rFonts w:ascii="宋体" w:hAnsi="宋体" w:cs="宋体" w:eastAsia="宋体" w:hint="default"/>
        </w:rPr>
        <w:t>8,117,647.24</w:t>
      </w:r>
      <w:r>
        <w:rPr/>
        <w:t>元。</w:t>
      </w:r>
      <w:r>
        <w:rPr>
          <w:spacing w:val="1"/>
        </w:rPr>
        <w:t> </w:t>
      </w:r>
      <w:r>
        <w:rPr>
          <w:spacing w:val="-1"/>
        </w:rPr>
        <w:t>本公司将江苏德能电力设计咨询有限公司（以下简称德能设计）所有资产认定为一个资产组，采用收</w:t>
      </w:r>
      <w:r>
        <w:rPr/>
        <w:t> </w:t>
      </w:r>
      <w:r>
        <w:rPr>
          <w:spacing w:val="-1"/>
        </w:rPr>
        <w:t>益法对截止</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日与商誉相关的全部主营业务经营性资产及负债形成的资产组可收回价值，在持</w:t>
      </w:r>
      <w:r>
        <w:rPr/>
        <w:t> 续经营前提下，评估的德能设计商誉减值测试的资产组可收回价值为：</w:t>
      </w:r>
      <w:r>
        <w:rPr>
          <w:rFonts w:ascii="宋体" w:hAnsi="宋体" w:cs="宋体" w:eastAsia="宋体" w:hint="default"/>
        </w:rPr>
        <w:t>10,022,121.88</w:t>
      </w:r>
      <w:r>
        <w:rPr/>
        <w:t>元，而在合并日公</w:t>
      </w:r>
      <w:r>
        <w:rPr>
          <w:spacing w:val="-62"/>
        </w:rPr>
        <w:t> </w:t>
      </w:r>
      <w:r>
        <w:rPr>
          <w:spacing w:val="-62"/>
        </w:rPr>
      </w:r>
      <w:r>
        <w:rPr/>
        <w:t>允价值基础上持续计算的金额与商誉账面价值合计为</w:t>
      </w:r>
      <w:r>
        <w:rPr>
          <w:rFonts w:ascii="宋体" w:hAnsi="宋体" w:cs="宋体" w:eastAsia="宋体" w:hint="default"/>
        </w:rPr>
        <w:t>34,534,955.60</w:t>
      </w:r>
      <w:r>
        <w:rPr/>
        <w:t>元，基于谨慎性考虑，计提商誉减值</w:t>
      </w:r>
    </w:p>
    <w:p>
      <w:pPr>
        <w:pStyle w:val="BodyText"/>
        <w:spacing w:line="240" w:lineRule="auto"/>
        <w:ind w:right="1121"/>
        <w:jc w:val="left"/>
      </w:pPr>
      <w:r>
        <w:rPr/>
        <w:t>金额为</w:t>
      </w:r>
      <w:r>
        <w:rPr>
          <w:rFonts w:ascii="宋体" w:hAnsi="宋体" w:cs="宋体" w:eastAsia="宋体" w:hint="default"/>
        </w:rPr>
        <w:t>24,652,381.50</w:t>
      </w:r>
      <w:r>
        <w:rPr/>
        <w:t>元。</w:t>
      </w:r>
    </w:p>
    <w:p>
      <w:pPr>
        <w:spacing w:line="240" w:lineRule="auto" w:before="10"/>
        <w:rPr>
          <w:rFonts w:ascii="宋体" w:hAnsi="宋体" w:cs="宋体" w:eastAsia="宋体" w:hint="default"/>
          <w:sz w:val="14"/>
          <w:szCs w:val="14"/>
        </w:rPr>
      </w:pPr>
    </w:p>
    <w:p>
      <w:pPr>
        <w:pStyle w:val="BodyText"/>
        <w:spacing w:line="240" w:lineRule="auto" w:before="0"/>
        <w:ind w:left="1557" w:right="1121"/>
        <w:jc w:val="left"/>
      </w:pPr>
      <w:r>
        <w:rPr/>
        <w:t>本公司对江苏光一德能电气工程有限公司以收益法进行估值测试，期末商誉未发生减值。</w:t>
      </w:r>
    </w:p>
    <w:p>
      <w:pPr>
        <w:spacing w:line="240" w:lineRule="auto" w:before="10"/>
        <w:rPr>
          <w:rFonts w:ascii="宋体" w:hAnsi="宋体" w:cs="宋体" w:eastAsia="宋体" w:hint="default"/>
          <w:sz w:val="14"/>
          <w:szCs w:val="14"/>
        </w:rPr>
      </w:pPr>
    </w:p>
    <w:p>
      <w:pPr>
        <w:spacing w:line="408" w:lineRule="auto" w:before="0"/>
        <w:ind w:left="1133" w:right="5500" w:firstLine="423"/>
        <w:jc w:val="left"/>
        <w:rPr>
          <w:rFonts w:ascii="宋体" w:hAnsi="宋体" w:cs="宋体" w:eastAsia="宋体" w:hint="default"/>
          <w:sz w:val="21"/>
          <w:szCs w:val="21"/>
        </w:rPr>
      </w:pPr>
      <w:r>
        <w:rPr>
          <w:rFonts w:ascii="宋体" w:hAnsi="宋体" w:cs="宋体" w:eastAsia="宋体" w:hint="default"/>
          <w:sz w:val="21"/>
          <w:szCs w:val="21"/>
        </w:rPr>
        <w:t>②经测试本期计提商誉减值准备</w:t>
      </w:r>
      <w:r>
        <w:rPr>
          <w:rFonts w:ascii="宋体" w:hAnsi="宋体" w:cs="宋体" w:eastAsia="宋体" w:hint="default"/>
          <w:sz w:val="21"/>
          <w:szCs w:val="21"/>
        </w:rPr>
        <w:t>344,130,274.85</w:t>
      </w:r>
      <w:r>
        <w:rPr>
          <w:rFonts w:ascii="宋体" w:hAnsi="宋体" w:cs="宋体" w:eastAsia="宋体" w:hint="default"/>
          <w:sz w:val="21"/>
          <w:szCs w:val="21"/>
        </w:rPr>
        <w:t>元。 </w:t>
      </w:r>
      <w:bookmarkStart w:name="28、长期待摊费用" w:id="306"/>
      <w:bookmarkEnd w:id="306"/>
      <w:r>
        <w:rPr>
          <w:rFonts w:ascii="宋体" w:hAnsi="宋体" w:cs="宋体" w:eastAsia="宋体" w:hint="default"/>
          <w:sz w:val="21"/>
          <w:szCs w:val="21"/>
        </w:rPr>
      </w:r>
      <w:r>
        <w:rPr>
          <w:rFonts w:ascii="宋体" w:hAnsi="宋体" w:cs="宋体" w:eastAsia="宋体"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29、递延所得税资产/递延所得税负债" w:id="307"/>
      <w:bookmarkEnd w:id="307"/>
      <w:r>
        <w:rPr>
          <w:b w:val="0"/>
          <w:bCs w:val="0"/>
        </w:rPr>
      </w: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133" w:right="1121"/>
        <w:jc w:val="left"/>
        <w:rPr>
          <w:b w:val="0"/>
          <w:bCs w:val="0"/>
        </w:rPr>
      </w:pPr>
      <w:bookmarkStart w:name="（1）未经抵销的递延所得税资产" w:id="308"/>
      <w:bookmarkEnd w:id="308"/>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218" w:hRule="exact"/>
        </w:trPr>
        <w:tc>
          <w:tcPr>
            <w:tcW w:w="191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3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6" w:space="0" w:color="000000"/>
              <w:bottom w:val="single" w:sz="6" w:space="0" w:color="000000"/>
              <w:right w:val="single" w:sz="6" w:space="0" w:color="000000"/>
            </w:tcBorders>
            <w:shd w:val="clear" w:color="auto" w:fill="D2D2D2"/>
          </w:tcPr>
          <w:p>
            <w:pPr/>
          </w:p>
        </w:tc>
        <w:tc>
          <w:tcPr>
            <w:tcW w:w="3828"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913" w:type="dxa"/>
            <w:vMerge/>
            <w:tcBorders>
              <w:left w:val="single" w:sz="12" w:space="0" w:color="000000"/>
              <w:bottom w:val="nil" w:sz="6" w:space="0" w:color="auto"/>
              <w:right w:val="single" w:sz="6" w:space="0" w:color="000000"/>
            </w:tcBorders>
            <w:shd w:val="clear" w:color="auto" w:fill="D2D2D2"/>
          </w:tcPr>
          <w:p>
            <w:pPr/>
          </w:p>
        </w:tc>
        <w:tc>
          <w:tcPr>
            <w:tcW w:w="19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0" w:hRule="exact"/>
        </w:trPr>
        <w:tc>
          <w:tcPr>
            <w:tcW w:w="191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55,613,666.66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8,491,673.77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53,398,009.28</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8,069,872.18</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3,609,933.82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545,660.44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10,033,660.20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1,515,393.01</w:t>
            </w:r>
          </w:p>
        </w:tc>
      </w:tr>
      <w:tr>
        <w:trPr>
          <w:trHeight w:val="415"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59,223,600.48</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9,037,334.21</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63,431,669.48</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9,585,265.19</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2）未经抵销的递延所得税负债" w:id="309"/>
      <w:bookmarkEnd w:id="309"/>
      <w:r>
        <w:rPr>
          <w:b w:val="0"/>
          <w:bCs w:val="0"/>
        </w:rPr>
      </w:r>
      <w:r>
        <w:rPr>
          <w:w w:val="95"/>
        </w:rPr>
        <w:t>（</w:t>
      </w:r>
      <w:r>
        <w:rPr>
          <w:rFonts w:ascii="宋体" w:hAnsi="宋体" w:cs="宋体" w:eastAsia="宋体" w:hint="default"/>
          <w:w w:val="95"/>
        </w:rPr>
        <w:t>2</w:t>
      </w:r>
      <w:r>
        <w:rPr>
          <w:w w:val="95"/>
        </w:rPr>
        <w:t>）未经抵销的递延所得税负债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191" w:space="4729"/>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830"/>
        <w:gridCol w:w="1701"/>
        <w:gridCol w:w="1560"/>
        <w:gridCol w:w="1842"/>
        <w:gridCol w:w="1631"/>
      </w:tblGrid>
      <w:tr>
        <w:trPr>
          <w:trHeight w:val="219" w:hRule="exact"/>
        </w:trPr>
        <w:tc>
          <w:tcPr>
            <w:tcW w:w="283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261" w:type="dxa"/>
            <w:gridSpan w:val="2"/>
            <w:vMerge w:val="restart"/>
            <w:tcBorders>
              <w:top w:val="single" w:sz="12" w:space="0" w:color="000000"/>
              <w:left w:val="single" w:sz="6" w:space="0" w:color="000000"/>
              <w:right w:val="single" w:sz="6" w:space="0" w:color="FF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4" w:type="dxa"/>
            <w:gridSpan w:val="2"/>
            <w:vMerge w:val="restart"/>
            <w:tcBorders>
              <w:top w:val="single" w:sz="12" w:space="0" w:color="000000"/>
              <w:left w:val="single" w:sz="6" w:space="0" w:color="FFFFFF"/>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83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gridSpan w:val="2"/>
            <w:vMerge/>
            <w:tcBorders>
              <w:left w:val="single" w:sz="6" w:space="0" w:color="000000"/>
              <w:bottom w:val="single" w:sz="6" w:space="0" w:color="000000"/>
              <w:right w:val="single" w:sz="6" w:space="0" w:color="FFFFFF"/>
            </w:tcBorders>
            <w:shd w:val="clear" w:color="auto" w:fill="D2D2D2"/>
          </w:tcPr>
          <w:p>
            <w:pPr/>
          </w:p>
        </w:tc>
        <w:tc>
          <w:tcPr>
            <w:tcW w:w="3474" w:type="dxa"/>
            <w:gridSpan w:val="2"/>
            <w:vMerge/>
            <w:tcBorders>
              <w:left w:val="single" w:sz="6" w:space="0" w:color="FFFFFF"/>
              <w:bottom w:val="single" w:sz="6" w:space="0" w:color="000000"/>
              <w:right w:val="single" w:sz="12" w:space="0" w:color="000000"/>
            </w:tcBorders>
            <w:shd w:val="clear" w:color="auto" w:fill="D2D2D2"/>
          </w:tcPr>
          <w:p>
            <w:pPr/>
          </w:p>
        </w:tc>
      </w:tr>
      <w:tr>
        <w:trPr>
          <w:trHeight w:val="195" w:hRule="exact"/>
        </w:trPr>
        <w:tc>
          <w:tcPr>
            <w:tcW w:w="2830" w:type="dxa"/>
            <w:vMerge/>
            <w:tcBorders>
              <w:left w:val="single" w:sz="12" w:space="0" w:color="000000"/>
              <w:bottom w:val="nil" w:sz="6" w:space="0" w:color="auto"/>
              <w:right w:val="single" w:sz="6" w:space="0" w:color="000000"/>
            </w:tcBorders>
            <w:shd w:val="clear" w:color="auto" w:fill="D2D2D2"/>
          </w:tcPr>
          <w:p>
            <w:pPr/>
          </w:p>
        </w:tc>
        <w:tc>
          <w:tcPr>
            <w:tcW w:w="17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0" w:type="dxa"/>
            <w:vMerge w:val="restart"/>
            <w:tcBorders>
              <w:top w:val="single" w:sz="6" w:space="0" w:color="000000"/>
              <w:left w:val="single" w:sz="6" w:space="0" w:color="000000"/>
              <w:right w:val="single" w:sz="6" w:space="0" w:color="FFFFFF"/>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2" w:type="dxa"/>
            <w:vMerge w:val="restart"/>
            <w:tcBorders>
              <w:top w:val="single" w:sz="6" w:space="0" w:color="000000"/>
              <w:left w:val="single" w:sz="6" w:space="0" w:color="FFFFFF"/>
              <w:right w:val="single" w:sz="6" w:space="0" w:color="000000"/>
            </w:tcBorders>
            <w:shd w:val="clear" w:color="auto" w:fill="D2D2D2"/>
          </w:tcPr>
          <w:p>
            <w:pPr>
              <w:pStyle w:val="TableParagraph"/>
              <w:spacing w:line="240" w:lineRule="auto" w:before="50"/>
              <w:ind w:left="19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1"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11" w:hRule="exact"/>
        </w:trPr>
        <w:tc>
          <w:tcPr>
            <w:tcW w:w="283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01" w:type="dxa"/>
            <w:vMerge/>
            <w:tcBorders>
              <w:left w:val="single" w:sz="6" w:space="0" w:color="000000"/>
              <w:bottom w:val="single" w:sz="6" w:space="0" w:color="000000"/>
              <w:right w:val="single" w:sz="6" w:space="0" w:color="000000"/>
            </w:tcBorders>
            <w:shd w:val="clear" w:color="auto" w:fill="D2D2D2"/>
          </w:tcPr>
          <w:p>
            <w:pPr/>
          </w:p>
        </w:tc>
        <w:tc>
          <w:tcPr>
            <w:tcW w:w="1560" w:type="dxa"/>
            <w:vMerge/>
            <w:tcBorders>
              <w:left w:val="single" w:sz="6" w:space="0" w:color="000000"/>
              <w:bottom w:val="single" w:sz="6" w:space="0" w:color="000000"/>
              <w:right w:val="single" w:sz="6" w:space="0" w:color="FFFFFF"/>
            </w:tcBorders>
            <w:shd w:val="clear" w:color="auto" w:fill="D2D2D2"/>
          </w:tcPr>
          <w:p>
            <w:pPr/>
          </w:p>
        </w:tc>
        <w:tc>
          <w:tcPr>
            <w:tcW w:w="1842" w:type="dxa"/>
            <w:vMerge/>
            <w:tcBorders>
              <w:left w:val="single" w:sz="6" w:space="0" w:color="FFFFFF"/>
              <w:bottom w:val="single" w:sz="6" w:space="0" w:color="000000"/>
              <w:right w:val="single" w:sz="6" w:space="0" w:color="000000"/>
            </w:tcBorders>
            <w:shd w:val="clear" w:color="auto" w:fill="D2D2D2"/>
          </w:tcPr>
          <w:p>
            <w:pPr/>
          </w:p>
        </w:tc>
        <w:tc>
          <w:tcPr>
            <w:tcW w:w="1631"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8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16,697,010.54</w:t>
            </w:r>
          </w:p>
        </w:tc>
        <w:tc>
          <w:tcPr>
            <w:tcW w:w="1560" w:type="dxa"/>
            <w:tcBorders>
              <w:top w:val="single" w:sz="6" w:space="0" w:color="000000"/>
              <w:left w:val="single" w:sz="6" w:space="0" w:color="000000"/>
              <w:bottom w:val="single" w:sz="6" w:space="0" w:color="000000"/>
              <w:right w:val="single" w:sz="6" w:space="0" w:color="FFFFFF"/>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3,702,565.47</w:t>
            </w:r>
          </w:p>
        </w:tc>
        <w:tc>
          <w:tcPr>
            <w:tcW w:w="1842"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75,708,315.64</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5,683,597.63</w:t>
            </w:r>
          </w:p>
        </w:tc>
      </w:tr>
      <w:tr>
        <w:trPr>
          <w:trHeight w:val="407" w:hRule="exact"/>
        </w:trPr>
        <w:tc>
          <w:tcPr>
            <w:tcW w:w="28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701" w:type="dxa"/>
            <w:tcBorders>
              <w:top w:val="single" w:sz="6" w:space="0" w:color="000000"/>
              <w:left w:val="single" w:sz="9" w:space="0" w:color="D2D2D2"/>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FFFFFF"/>
            </w:tcBorders>
          </w:tcPr>
          <w:p>
            <w:pPr/>
          </w:p>
        </w:tc>
        <w:tc>
          <w:tcPr>
            <w:tcW w:w="1842" w:type="dxa"/>
            <w:tcBorders>
              <w:top w:val="single" w:sz="6" w:space="0" w:color="000000"/>
              <w:left w:val="single" w:sz="6" w:space="0" w:color="FFFFFF"/>
              <w:bottom w:val="single" w:sz="6" w:space="0" w:color="000000"/>
              <w:right w:val="single" w:sz="6" w:space="0" w:color="000000"/>
            </w:tcBorders>
          </w:tcPr>
          <w:p>
            <w:pPr/>
          </w:p>
        </w:tc>
        <w:tc>
          <w:tcPr>
            <w:tcW w:w="163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83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16,697,010.54</w:t>
            </w:r>
          </w:p>
        </w:tc>
        <w:tc>
          <w:tcPr>
            <w:tcW w:w="1560" w:type="dxa"/>
            <w:tcBorders>
              <w:top w:val="single" w:sz="6" w:space="0" w:color="000000"/>
              <w:left w:val="single" w:sz="6" w:space="0" w:color="000000"/>
              <w:bottom w:val="single" w:sz="12" w:space="0" w:color="000000"/>
              <w:right w:val="single" w:sz="6" w:space="0" w:color="FFFFFF"/>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3,702,565.47</w:t>
            </w:r>
          </w:p>
        </w:tc>
        <w:tc>
          <w:tcPr>
            <w:tcW w:w="1842" w:type="dxa"/>
            <w:tcBorders>
              <w:top w:val="single" w:sz="6" w:space="0" w:color="000000"/>
              <w:left w:val="single" w:sz="6" w:space="0" w:color="FFFFFF"/>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75,708,315.64</w:t>
            </w:r>
          </w:p>
        </w:tc>
        <w:tc>
          <w:tcPr>
            <w:tcW w:w="16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5,683,597.63</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0"/>
        <w:jc w:val="left"/>
        <w:rPr>
          <w:b w:val="0"/>
          <w:bCs w:val="0"/>
        </w:rPr>
      </w:pPr>
      <w:bookmarkStart w:name="（3）以抵销后净额列示的递延所得税资产或负债" w:id="310"/>
      <w:bookmarkEnd w:id="310"/>
      <w:r>
        <w:rPr>
          <w:b w:val="0"/>
          <w:bCs w:val="0"/>
        </w:rPr>
      </w:r>
      <w:r>
        <w:rPr>
          <w:w w:val="95"/>
        </w:rPr>
        <w:t>（</w:t>
      </w:r>
      <w:r>
        <w:rPr>
          <w:rFonts w:ascii="宋体" w:hAnsi="宋体" w:cs="宋体" w:eastAsia="宋体" w:hint="default"/>
          <w:w w:val="95"/>
        </w:rPr>
        <w:t>3</w:t>
      </w:r>
      <w:r>
        <w:rPr>
          <w:w w:val="95"/>
        </w:rPr>
        <w:t>）以抵销后净额列示的递延所得税资产或负债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5664" w:space="3256"/>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902"/>
        <w:gridCol w:w="2210"/>
        <w:gridCol w:w="1985"/>
        <w:gridCol w:w="1560"/>
        <w:gridCol w:w="1913"/>
      </w:tblGrid>
      <w:tr>
        <w:trPr>
          <w:trHeight w:val="171" w:hRule="exact"/>
        </w:trPr>
        <w:tc>
          <w:tcPr>
            <w:tcW w:w="190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21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653" w:right="100" w:hanging="540"/>
              <w:jc w:val="left"/>
              <w:rPr>
                <w:rFonts w:ascii="宋体" w:hAnsi="宋体" w:cs="宋体" w:eastAsia="宋体" w:hint="default"/>
                <w:sz w:val="18"/>
                <w:szCs w:val="18"/>
              </w:rPr>
            </w:pPr>
            <w:r>
              <w:rPr>
                <w:rFonts w:ascii="宋体" w:hAnsi="宋体" w:cs="宋体" w:eastAsia="宋体" w:hint="default"/>
                <w:sz w:val="18"/>
                <w:szCs w:val="18"/>
              </w:rPr>
              <w:t>递延所得税资产和负债期 末互抵金额</w:t>
            </w:r>
          </w:p>
        </w:tc>
        <w:tc>
          <w:tcPr>
            <w:tcW w:w="1985"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56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51" w:right="52"/>
              <w:jc w:val="left"/>
              <w:rPr>
                <w:rFonts w:ascii="宋体" w:hAnsi="宋体" w:cs="宋体" w:eastAsia="宋体" w:hint="default"/>
                <w:sz w:val="18"/>
                <w:szCs w:val="18"/>
              </w:rPr>
            </w:pPr>
            <w:r>
              <w:rPr>
                <w:rFonts w:ascii="宋体" w:hAnsi="宋体" w:cs="宋体" w:eastAsia="宋体" w:hint="default"/>
                <w:sz w:val="18"/>
                <w:szCs w:val="18"/>
              </w:rPr>
              <w:t>递延所得税资产和 负债期初互抵金额</w:t>
            </w:r>
          </w:p>
        </w:tc>
        <w:tc>
          <w:tcPr>
            <w:tcW w:w="1913"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51"/>
              <w:ind w:left="319" w:right="4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2"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0" w:type="dxa"/>
            <w:vMerge/>
            <w:tcBorders>
              <w:left w:val="single" w:sz="6" w:space="0" w:color="000000"/>
              <w:right w:val="single" w:sz="6" w:space="0" w:color="000000"/>
            </w:tcBorders>
            <w:shd w:val="clear" w:color="auto" w:fill="D2D2D2"/>
          </w:tcPr>
          <w:p>
            <w:pPr/>
          </w:p>
        </w:tc>
        <w:tc>
          <w:tcPr>
            <w:tcW w:w="1985" w:type="dxa"/>
            <w:vMerge/>
            <w:tcBorders>
              <w:left w:val="single" w:sz="6" w:space="0" w:color="000000"/>
              <w:right w:val="single" w:sz="6" w:space="0" w:color="000000"/>
            </w:tcBorders>
            <w:shd w:val="clear" w:color="auto" w:fill="D2D2D2"/>
          </w:tcPr>
          <w:p>
            <w:pPr/>
          </w:p>
        </w:tc>
        <w:tc>
          <w:tcPr>
            <w:tcW w:w="1560" w:type="dxa"/>
            <w:vMerge/>
            <w:tcBorders>
              <w:left w:val="single" w:sz="6" w:space="0" w:color="000000"/>
              <w:right w:val="single" w:sz="6" w:space="0" w:color="000000"/>
            </w:tcBorders>
            <w:shd w:val="clear" w:color="auto" w:fill="D2D2D2"/>
          </w:tcPr>
          <w:p>
            <w:pPr/>
          </w:p>
        </w:tc>
        <w:tc>
          <w:tcPr>
            <w:tcW w:w="1913" w:type="dxa"/>
            <w:vMerge/>
            <w:tcBorders>
              <w:left w:val="single" w:sz="6" w:space="0" w:color="000000"/>
              <w:right w:val="single" w:sz="12" w:space="0" w:color="000000"/>
            </w:tcBorders>
            <w:shd w:val="clear" w:color="auto" w:fill="D2D2D2"/>
          </w:tcPr>
          <w:p>
            <w:pPr/>
          </w:p>
        </w:tc>
      </w:tr>
      <w:tr>
        <w:trPr>
          <w:trHeight w:val="163" w:hRule="exact"/>
        </w:trPr>
        <w:tc>
          <w:tcPr>
            <w:tcW w:w="1902" w:type="dxa"/>
            <w:tcBorders>
              <w:top w:val="nil" w:sz="6" w:space="0" w:color="auto"/>
              <w:left w:val="single" w:sz="12" w:space="0" w:color="000000"/>
              <w:bottom w:val="single" w:sz="6" w:space="0" w:color="000000"/>
              <w:right w:val="single" w:sz="6" w:space="0" w:color="000000"/>
            </w:tcBorders>
            <w:shd w:val="clear" w:color="auto" w:fill="D2D2D2"/>
          </w:tcPr>
          <w:p>
            <w:pPr/>
          </w:p>
        </w:tc>
        <w:tc>
          <w:tcPr>
            <w:tcW w:w="2210" w:type="dxa"/>
            <w:vMerge/>
            <w:tcBorders>
              <w:left w:val="single" w:sz="6" w:space="0" w:color="000000"/>
              <w:bottom w:val="single" w:sz="6" w:space="0" w:color="000000"/>
              <w:right w:val="single" w:sz="6" w:space="0" w:color="000000"/>
            </w:tcBorders>
            <w:shd w:val="clear" w:color="auto" w:fill="D2D2D2"/>
          </w:tcPr>
          <w:p>
            <w:pPr/>
          </w:p>
        </w:tc>
        <w:tc>
          <w:tcPr>
            <w:tcW w:w="1985" w:type="dxa"/>
            <w:vMerge/>
            <w:tcBorders>
              <w:left w:val="single" w:sz="6" w:space="0" w:color="000000"/>
              <w:bottom w:val="single" w:sz="6" w:space="0" w:color="000000"/>
              <w:right w:val="single" w:sz="6" w:space="0" w:color="000000"/>
            </w:tcBorders>
            <w:shd w:val="clear" w:color="auto" w:fill="D2D2D2"/>
          </w:tcPr>
          <w:p>
            <w:pPr/>
          </w:p>
        </w:tc>
        <w:tc>
          <w:tcPr>
            <w:tcW w:w="1560"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9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10" w:type="dxa"/>
            <w:tcBorders>
              <w:top w:val="single" w:sz="6" w:space="0" w:color="000000"/>
              <w:left w:val="single" w:sz="14" w:space="0" w:color="D2D2D2"/>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9,037,334.21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9,585,265.19</w:t>
            </w:r>
          </w:p>
        </w:tc>
      </w:tr>
      <w:tr>
        <w:trPr>
          <w:trHeight w:val="415" w:hRule="exact"/>
        </w:trPr>
        <w:tc>
          <w:tcPr>
            <w:tcW w:w="190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10" w:type="dxa"/>
            <w:tcBorders>
              <w:top w:val="single" w:sz="6" w:space="0" w:color="000000"/>
              <w:left w:val="single" w:sz="14" w:space="0" w:color="D2D2D2"/>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3,702,565.47</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5,683,597.63</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0"/>
        <w:jc w:val="left"/>
        <w:rPr>
          <w:b w:val="0"/>
          <w:bCs w:val="0"/>
        </w:rPr>
      </w:pPr>
      <w:bookmarkStart w:name="（4）未确认递延所得税资产明细" w:id="311"/>
      <w:bookmarkEnd w:id="311"/>
      <w:r>
        <w:rPr>
          <w:b w:val="0"/>
          <w:bCs w:val="0"/>
        </w:rPr>
      </w:r>
      <w:r>
        <w:rPr>
          <w:w w:val="95"/>
        </w:rPr>
        <w:t>（</w:t>
      </w:r>
      <w:r>
        <w:rPr>
          <w:rFonts w:ascii="宋体" w:hAnsi="宋体" w:cs="宋体" w:eastAsia="宋体" w:hint="default"/>
          <w:w w:val="95"/>
        </w:rPr>
        <w:t>4</w:t>
      </w:r>
      <w:r>
        <w:rPr>
          <w:w w:val="95"/>
        </w:rPr>
        <w:t>）未确认递延所得税资产明细</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191" w:space="4729"/>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2909"/>
        <w:gridCol w:w="3473"/>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9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0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1,364.93</w:t>
            </w:r>
          </w:p>
        </w:tc>
        <w:tc>
          <w:tcPr>
            <w:tcW w:w="34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741,591.77</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0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109,351,494.85</w:t>
            </w:r>
          </w:p>
        </w:tc>
        <w:tc>
          <w:tcPr>
            <w:tcW w:w="34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65,011,427.91</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12,659,418.89</w:t>
            </w:r>
          </w:p>
        </w:tc>
        <w:tc>
          <w:tcPr>
            <w:tcW w:w="34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16,406,925.79</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未实现内部交易损益</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9,278,650.04</w:t>
            </w:r>
          </w:p>
        </w:tc>
        <w:tc>
          <w:tcPr>
            <w:tcW w:w="34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5,462,329.63</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131,290,928.71</w:t>
            </w:r>
          </w:p>
        </w:tc>
        <w:tc>
          <w:tcPr>
            <w:tcW w:w="34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87,622,275.10</w:t>
            </w:r>
          </w:p>
        </w:tc>
      </w:tr>
    </w:tbl>
    <w:p>
      <w:pPr>
        <w:spacing w:after="0" w:line="240" w:lineRule="auto"/>
        <w:jc w:val="right"/>
        <w:rPr>
          <w:rFonts w:ascii="宋体" w:hAnsi="宋体" w:cs="宋体" w:eastAsia="宋体" w:hint="default"/>
          <w:sz w:val="18"/>
          <w:szCs w:val="18"/>
        </w:rPr>
        <w:sectPr>
          <w:type w:val="continuous"/>
          <w:pgSz w:w="11910" w:h="16840"/>
          <w:pgMar w:top="1040" w:bottom="1180" w:left="0" w:right="0"/>
        </w:sectPr>
      </w:pPr>
    </w:p>
    <w:p>
      <w:pPr>
        <w:spacing w:line="240" w:lineRule="auto" w:before="5"/>
        <w:rPr>
          <w:rFonts w:ascii="宋体" w:hAnsi="宋体" w:cs="宋体" w:eastAsia="宋体" w:hint="default"/>
          <w:sz w:val="25"/>
          <w:szCs w:val="25"/>
        </w:rPr>
      </w:pPr>
    </w:p>
    <w:p>
      <w:pPr>
        <w:pStyle w:val="Heading4"/>
        <w:spacing w:line="240" w:lineRule="auto" w:before="35"/>
        <w:ind w:left="1133" w:right="1121"/>
        <w:jc w:val="left"/>
        <w:rPr>
          <w:b w:val="0"/>
          <w:bCs w:val="0"/>
        </w:rPr>
      </w:pPr>
      <w:bookmarkStart w:name="（5）未确认递延所得税资产的可抵扣亏损将于以下年度到期" w:id="312"/>
      <w:bookmarkEnd w:id="312"/>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9"/>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390"/>
        <w:gridCol w:w="2396"/>
        <w:gridCol w:w="2392"/>
        <w:gridCol w:w="2391"/>
      </w:tblGrid>
      <w:tr>
        <w:trPr>
          <w:trHeight w:val="415" w:hRule="exact"/>
        </w:trPr>
        <w:tc>
          <w:tcPr>
            <w:tcW w:w="239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sz w:val="18"/>
              </w:rPr>
              <w:t>2018</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867,206.72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1,989,737.94</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sz w:val="18"/>
              </w:rPr>
              <w:t>2019</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1,645,101.60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5,084,798.94</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sz w:val="18"/>
              </w:rPr>
              <w:t>2020</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36,370,080.54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40,657,741.32</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sz w:val="18"/>
              </w:rPr>
              <w:t>2021</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14,139,793.14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17,279,149.71</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sz w:val="18"/>
              </w:rPr>
              <w:t>2022</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56,329,312.85</w:t>
            </w:r>
          </w:p>
        </w:tc>
        <w:tc>
          <w:tcPr>
            <w:tcW w:w="2392"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3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109,351,494.85</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65,011,427.91</w:t>
            </w:r>
          </w:p>
        </w:tc>
        <w:tc>
          <w:tcPr>
            <w:tcW w:w="239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30、其他非流动资产" w:id="313"/>
      <w:bookmarkEnd w:id="313"/>
      <w:r>
        <w:rPr>
          <w:b w:val="0"/>
          <w:bCs w:val="0"/>
        </w:rPr>
      </w:r>
      <w:r>
        <w:rPr>
          <w:rFonts w:ascii="宋体" w:hAnsi="宋体" w:cs="宋体" w:eastAsia="宋体" w:hint="default"/>
          <w:w w:val="95"/>
        </w:rPr>
        <w:t>30</w:t>
      </w:r>
      <w:r>
        <w:rPr>
          <w:w w:val="95"/>
        </w:rPr>
        <w:t>、其他非流动资产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032" w:space="5887"/>
            <w:col w:w="2991"/>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16,474,164.24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7,664,914.58</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13,347,547.45</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18,174,164.24</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21,012,462.03</w:t>
            </w:r>
          </w:p>
        </w:tc>
      </w:tr>
    </w:tbl>
    <w:p>
      <w:pPr>
        <w:spacing w:line="240" w:lineRule="auto" w:before="1"/>
        <w:rPr>
          <w:rFonts w:ascii="宋体" w:hAnsi="宋体" w:cs="宋体" w:eastAsia="宋体" w:hint="default"/>
          <w:sz w:val="19"/>
          <w:szCs w:val="19"/>
        </w:rPr>
      </w:pPr>
    </w:p>
    <w:p>
      <w:pPr>
        <w:pStyle w:val="Heading4"/>
        <w:spacing w:line="240" w:lineRule="auto" w:before="35"/>
        <w:ind w:right="1121"/>
        <w:jc w:val="left"/>
        <w:rPr>
          <w:b w:val="0"/>
          <w:bCs w:val="0"/>
        </w:rPr>
      </w:pPr>
      <w:bookmarkStart w:name="31、短期借款" w:id="314"/>
      <w:bookmarkEnd w:id="314"/>
      <w:r>
        <w:rPr>
          <w:b w:val="0"/>
          <w:bCs w:val="0"/>
        </w:rPr>
      </w:r>
      <w:r>
        <w:rPr>
          <w:rFonts w:ascii="宋体" w:hAnsi="宋体" w:cs="宋体" w:eastAsia="宋体" w:hint="default"/>
        </w:rPr>
        <w:t>31</w:t>
      </w:r>
      <w:r>
        <w:rPr/>
        <w:t>、短期借款</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40" w:bottom="1180" w:left="0" w:right="0"/>
        </w:sectPr>
      </w:pPr>
    </w:p>
    <w:p>
      <w:pPr>
        <w:pStyle w:val="Heading4"/>
        <w:spacing w:line="240" w:lineRule="auto" w:before="35"/>
        <w:ind w:right="0"/>
        <w:jc w:val="left"/>
        <w:rPr>
          <w:b w:val="0"/>
          <w:bCs w:val="0"/>
        </w:rPr>
      </w:pPr>
      <w:bookmarkStart w:name="（1）短期借款分类" w:id="315"/>
      <w:bookmarkEnd w:id="315"/>
      <w:r>
        <w:rPr>
          <w:b w:val="0"/>
          <w:bCs w:val="0"/>
        </w:rPr>
      </w:r>
      <w:r>
        <w:rPr>
          <w:w w:val="95"/>
        </w:rPr>
        <w:t>（</w:t>
      </w:r>
      <w:r>
        <w:rPr>
          <w:rFonts w:ascii="宋体" w:hAnsi="宋体" w:cs="宋体" w:eastAsia="宋体" w:hint="default"/>
          <w:w w:val="95"/>
        </w:rPr>
        <w:t>1</w:t>
      </w:r>
      <w:r>
        <w:rPr>
          <w:w w:val="95"/>
        </w:rPr>
        <w:t>）短期借款分类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927" w:space="5993"/>
            <w:col w:w="2990"/>
          </w:cols>
        </w:sectPr>
      </w:pP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5,003,850.00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0.00</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115,000,000.00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46,500,000.00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20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29,500,000.00</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120,003,850.00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76,000,000.00</w:t>
            </w:r>
          </w:p>
        </w:tc>
      </w:tr>
    </w:tbl>
    <w:p>
      <w:pPr>
        <w:spacing w:line="240" w:lineRule="auto" w:before="5"/>
        <w:rPr>
          <w:rFonts w:ascii="宋体" w:hAnsi="宋体" w:cs="宋体" w:eastAsia="宋体" w:hint="default"/>
          <w:sz w:val="5"/>
          <w:szCs w:val="5"/>
        </w:rPr>
      </w:pPr>
    </w:p>
    <w:p>
      <w:pPr>
        <w:pStyle w:val="BodyText"/>
        <w:spacing w:line="240" w:lineRule="auto" w:before="35"/>
        <w:ind w:left="1557" w:right="1121"/>
        <w:jc w:val="left"/>
      </w:pPr>
      <w:r>
        <w:rPr/>
        <w:t>短期借款分类的说明：</w:t>
      </w:r>
    </w:p>
    <w:p>
      <w:pPr>
        <w:pStyle w:val="BodyText"/>
        <w:spacing w:line="408" w:lineRule="auto" w:before="115"/>
        <w:ind w:right="1132" w:firstLine="423"/>
        <w:jc w:val="both"/>
      </w:pPr>
      <w:r>
        <w:rPr/>
        <w:t>①</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26</w:t>
      </w:r>
      <w:r>
        <w:rPr/>
        <w:t>日，光一科技股份有限公司与中国银行南京城南支行签订《授信额度协议》，借款金 </w:t>
      </w:r>
      <w:r>
        <w:rPr>
          <w:spacing w:val="-1"/>
        </w:rPr>
        <w:t>额为</w:t>
      </w:r>
      <w:r>
        <w:rPr>
          <w:rFonts w:ascii="宋体" w:hAnsi="宋体" w:cs="宋体" w:eastAsia="宋体" w:hint="default"/>
          <w:spacing w:val="-1"/>
        </w:rPr>
        <w:t>20,000,000.00</w:t>
      </w:r>
      <w:r>
        <w:rPr>
          <w:spacing w:val="-1"/>
        </w:rPr>
        <w:t>元，借款期限</w:t>
      </w:r>
      <w:r>
        <w:rPr>
          <w:rFonts w:ascii="宋体" w:hAnsi="宋体" w:cs="宋体" w:eastAsia="宋体" w:hint="default"/>
          <w:spacing w:val="-1"/>
        </w:rPr>
        <w:t>2017.2.26-2018.1.25</w:t>
      </w:r>
      <w:r>
        <w:rPr>
          <w:spacing w:val="-1"/>
        </w:rPr>
        <w:t>，由江苏光一投资管理有限责任公司作为担保人并</w:t>
      </w:r>
      <w:r>
        <w:rPr>
          <w:spacing w:val="-69"/>
        </w:rPr>
        <w:t> </w:t>
      </w:r>
      <w:r>
        <w:rPr>
          <w:spacing w:val="-69"/>
        </w:rPr>
      </w:r>
      <w:r>
        <w:rPr/>
        <w:t>提供最高额保证。</w:t>
      </w:r>
    </w:p>
    <w:p>
      <w:pPr>
        <w:pStyle w:val="BodyText"/>
        <w:spacing w:line="408" w:lineRule="auto"/>
        <w:ind w:right="1132" w:firstLine="423"/>
        <w:jc w:val="both"/>
      </w:pPr>
      <w:r>
        <w:rPr/>
        <w:t>②</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14</w:t>
      </w:r>
      <w:r>
        <w:rPr/>
        <w:t>日，光一科技股份有限公司与浦发银行南京分行签订的流动资金借款合同，借款金额 </w:t>
      </w:r>
      <w:r>
        <w:rPr>
          <w:spacing w:val="-1"/>
        </w:rPr>
        <w:t>为</w:t>
      </w:r>
      <w:r>
        <w:rPr>
          <w:rFonts w:ascii="宋体" w:hAnsi="宋体" w:cs="宋体" w:eastAsia="宋体" w:hint="default"/>
          <w:spacing w:val="-1"/>
        </w:rPr>
        <w:t>20,000,000.00</w:t>
      </w:r>
      <w:r>
        <w:rPr>
          <w:spacing w:val="-1"/>
        </w:rPr>
        <w:t>元，借款期限</w:t>
      </w:r>
      <w:r>
        <w:rPr>
          <w:rFonts w:ascii="宋体" w:hAnsi="宋体" w:cs="宋体" w:eastAsia="宋体" w:hint="default"/>
          <w:spacing w:val="-1"/>
        </w:rPr>
        <w:t>2017.2.14-2018.2.14</w:t>
      </w:r>
      <w:r>
        <w:rPr>
          <w:spacing w:val="-1"/>
        </w:rPr>
        <w:t>，由江苏光一投资管理有限责任公司作为担保人，签</w:t>
      </w:r>
    </w:p>
    <w:p>
      <w:pPr>
        <w:spacing w:after="0" w:line="408" w:lineRule="auto"/>
        <w:jc w:val="both"/>
        <w:sectPr>
          <w:type w:val="continuous"/>
          <w:pgSz w:w="11910" w:h="16840"/>
          <w:pgMar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订《保证合同》编号【</w:t>
      </w:r>
      <w:r>
        <w:rPr>
          <w:rFonts w:ascii="宋体" w:hAnsi="宋体" w:cs="宋体" w:eastAsia="宋体" w:hint="default"/>
        </w:rPr>
        <w:t>ZB930120160000023</w:t>
      </w:r>
      <w:r>
        <w:rPr/>
        <w:t>】。</w:t>
      </w:r>
    </w:p>
    <w:p>
      <w:pPr>
        <w:spacing w:line="240" w:lineRule="auto" w:before="10"/>
        <w:rPr>
          <w:rFonts w:ascii="宋体" w:hAnsi="宋体" w:cs="宋体" w:eastAsia="宋体" w:hint="default"/>
          <w:sz w:val="14"/>
          <w:szCs w:val="14"/>
        </w:rPr>
      </w:pPr>
    </w:p>
    <w:p>
      <w:pPr>
        <w:pStyle w:val="BodyText"/>
        <w:spacing w:line="408" w:lineRule="auto" w:before="0"/>
        <w:ind w:right="1132" w:firstLine="423"/>
        <w:jc w:val="both"/>
      </w:pPr>
      <w:r>
        <w:rPr/>
        <w:t>③</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22</w:t>
      </w:r>
      <w:r>
        <w:rPr/>
        <w:t>日，光一科技股份有限公司与中国银行南京城南支行签订的流动资金借款合同，借款 </w:t>
      </w:r>
      <w:r>
        <w:rPr>
          <w:spacing w:val="-1"/>
        </w:rPr>
        <w:t>金额为</w:t>
      </w:r>
      <w:r>
        <w:rPr>
          <w:rFonts w:ascii="宋体" w:hAnsi="宋体" w:cs="宋体" w:eastAsia="宋体" w:hint="default"/>
          <w:spacing w:val="-1"/>
        </w:rPr>
        <w:t>10,000,000.00</w:t>
      </w:r>
      <w:r>
        <w:rPr>
          <w:spacing w:val="-1"/>
        </w:rPr>
        <w:t>元，借款期限</w:t>
      </w:r>
      <w:r>
        <w:rPr>
          <w:rFonts w:ascii="宋体" w:hAnsi="宋体" w:cs="宋体" w:eastAsia="宋体" w:hint="default"/>
          <w:spacing w:val="-1"/>
        </w:rPr>
        <w:t>2017.3.22-2018.3.20</w:t>
      </w:r>
      <w:r>
        <w:rPr>
          <w:spacing w:val="-1"/>
        </w:rPr>
        <w:t>，由江苏光一投资管理有限责任公司作为担保人</w:t>
      </w:r>
      <w:r>
        <w:rPr>
          <w:spacing w:val="-71"/>
        </w:rPr>
        <w:t> </w:t>
      </w:r>
      <w:r>
        <w:rPr>
          <w:spacing w:val="-71"/>
        </w:rPr>
      </w:r>
      <w:r>
        <w:rPr/>
        <w:t>并提供最高额保证。</w:t>
      </w:r>
    </w:p>
    <w:p>
      <w:pPr>
        <w:pStyle w:val="BodyText"/>
        <w:spacing w:line="408" w:lineRule="auto"/>
        <w:ind w:right="1132" w:firstLine="423"/>
        <w:jc w:val="both"/>
      </w:pPr>
      <w:r>
        <w:rPr/>
        <w:t>④</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18</w:t>
      </w:r>
      <w:r>
        <w:rPr/>
        <w:t>日，光一科技股份有限公司与南京银行珠江支行签订的非授信额度及最高债权额度借 </w:t>
      </w:r>
      <w:r>
        <w:rPr>
          <w:spacing w:val="-1"/>
        </w:rPr>
        <w:t>款合同《</w:t>
      </w:r>
      <w:r>
        <w:rPr>
          <w:rFonts w:ascii="宋体" w:hAnsi="宋体" w:cs="宋体" w:eastAsia="宋体" w:hint="default"/>
          <w:spacing w:val="-1"/>
        </w:rPr>
        <w:t>A04002731707270317</w:t>
      </w:r>
      <w:r>
        <w:rPr>
          <w:spacing w:val="-1"/>
        </w:rPr>
        <w:t>》，借款金额为</w:t>
      </w:r>
      <w:r>
        <w:rPr>
          <w:rFonts w:ascii="宋体" w:hAnsi="宋体" w:cs="宋体" w:eastAsia="宋体" w:hint="default"/>
          <w:spacing w:val="-1"/>
        </w:rPr>
        <w:t>15,000,000.00</w:t>
      </w:r>
      <w:r>
        <w:rPr>
          <w:spacing w:val="-1"/>
        </w:rPr>
        <w:t>元，借款期限</w:t>
      </w:r>
      <w:r>
        <w:rPr>
          <w:rFonts w:ascii="宋体" w:hAnsi="宋体" w:cs="宋体" w:eastAsia="宋体" w:hint="default"/>
          <w:spacing w:val="-1"/>
        </w:rPr>
        <w:t>2017.9.18-2018.9.18</w:t>
      </w:r>
      <w:r>
        <w:rPr>
          <w:spacing w:val="-1"/>
        </w:rPr>
        <w:t>，由江苏</w:t>
      </w:r>
    </w:p>
    <w:p>
      <w:pPr>
        <w:pStyle w:val="BodyText"/>
        <w:spacing w:line="240" w:lineRule="auto"/>
        <w:ind w:right="1121"/>
        <w:jc w:val="left"/>
      </w:pPr>
      <w:r>
        <w:rPr/>
        <w:t>光一投资管理有限责任公司作为担保人并且承担连带保证责任。</w:t>
      </w:r>
    </w:p>
    <w:p>
      <w:pPr>
        <w:spacing w:line="240" w:lineRule="auto" w:before="10"/>
        <w:rPr>
          <w:rFonts w:ascii="宋体" w:hAnsi="宋体" w:cs="宋体" w:eastAsia="宋体" w:hint="default"/>
          <w:sz w:val="14"/>
          <w:szCs w:val="14"/>
        </w:rPr>
      </w:pPr>
    </w:p>
    <w:p>
      <w:pPr>
        <w:pStyle w:val="BodyText"/>
        <w:spacing w:line="408" w:lineRule="auto" w:before="0"/>
        <w:ind w:right="1026" w:firstLine="423"/>
        <w:jc w:val="left"/>
      </w:pPr>
      <w:r>
        <w:rPr/>
        <w:t>⑤</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30</w:t>
      </w:r>
      <w:r>
        <w:rPr/>
        <w:t>日，光一科技股份有限公司与上海浦东发展有限公司签订的短期流动资金贷款合同， 借款金额为</w:t>
      </w:r>
      <w:r>
        <w:rPr>
          <w:rFonts w:ascii="宋体" w:hAnsi="宋体" w:cs="宋体" w:eastAsia="宋体" w:hint="default"/>
        </w:rPr>
        <w:t>20,000,000.00</w:t>
      </w:r>
      <w:r>
        <w:rPr/>
        <w:t>元，借款期限</w:t>
      </w:r>
      <w:r>
        <w:rPr>
          <w:rFonts w:ascii="宋体" w:hAnsi="宋体" w:cs="宋体" w:eastAsia="宋体" w:hint="default"/>
        </w:rPr>
        <w:t>2017.11.30-2018.11.30</w:t>
      </w:r>
      <w:r>
        <w:rPr/>
        <w:t>。由江苏光一投资管理有限责任公司和龙 </w:t>
      </w:r>
      <w:r>
        <w:rPr>
          <w:spacing w:val="-1"/>
        </w:rPr>
        <w:t>昌明作为担保人并且承担连带保证责任，签订《保证合同》编号为【</w:t>
      </w:r>
      <w:r>
        <w:rPr>
          <w:rFonts w:ascii="宋体" w:hAnsi="宋体" w:cs="宋体" w:eastAsia="宋体" w:hint="default"/>
          <w:spacing w:val="-1"/>
        </w:rPr>
        <w:t>ZB930120160000018</w:t>
      </w:r>
      <w:r>
        <w:rPr>
          <w:spacing w:val="-1"/>
        </w:rPr>
        <w:t>】和《保证合同》</w:t>
      </w:r>
      <w:r>
        <w:rPr>
          <w:spacing w:val="-77"/>
        </w:rPr>
        <w:t> </w:t>
      </w:r>
      <w:r>
        <w:rPr>
          <w:spacing w:val="-77"/>
        </w:rPr>
      </w:r>
      <w:r>
        <w:rPr/>
        <w:t>编号为【</w:t>
      </w:r>
      <w:r>
        <w:rPr>
          <w:rFonts w:ascii="宋体" w:hAnsi="宋体" w:cs="宋体" w:eastAsia="宋体" w:hint="default"/>
        </w:rPr>
        <w:t>ZB930120160000019</w:t>
      </w:r>
      <w:r>
        <w:rPr/>
        <w:t>】。</w:t>
      </w:r>
    </w:p>
    <w:p>
      <w:pPr>
        <w:pStyle w:val="BodyText"/>
        <w:spacing w:line="408" w:lineRule="auto"/>
        <w:ind w:right="1131" w:firstLine="423"/>
        <w:jc w:val="both"/>
      </w:pPr>
      <w:r>
        <w:rPr/>
        <w:t>⑥</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23</w:t>
      </w:r>
      <w:r>
        <w:rPr/>
        <w:t>日，湖北索瑞电气有限公司与公安县财政局借款合同，借款本金借款</w:t>
      </w:r>
      <w:r>
        <w:rPr>
          <w:rFonts w:ascii="宋体" w:hAnsi="宋体" w:cs="宋体" w:eastAsia="宋体" w:hint="default"/>
        </w:rPr>
        <w:t>1000</w:t>
      </w:r>
      <w:r>
        <w:rPr/>
        <w:t>万元，由湖 北银行承担保证责任。期限：</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18</w:t>
      </w:r>
      <w:r>
        <w:rPr/>
        <w:t>日</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17</w:t>
      </w:r>
      <w:r>
        <w:rPr/>
        <w:t>日，资金占用率</w:t>
      </w:r>
      <w:r>
        <w:rPr>
          <w:rFonts w:ascii="宋体" w:hAnsi="宋体" w:cs="宋体" w:eastAsia="宋体" w:hint="default"/>
        </w:rPr>
        <w:t>1.5%</w:t>
      </w:r>
      <w:r>
        <w:rPr/>
        <w:t>，资金及占用费到期一次</w:t>
      </w:r>
      <w:r>
        <w:rPr>
          <w:spacing w:val="-33"/>
        </w:rPr>
        <w:t> </w:t>
      </w:r>
      <w:r>
        <w:rPr>
          <w:spacing w:val="-33"/>
        </w:rPr>
      </w:r>
      <w:r>
        <w:rPr/>
        <w:t>还清。财务报表截止日发放贷款</w:t>
      </w:r>
      <w:r>
        <w:rPr>
          <w:rFonts w:ascii="宋体" w:hAnsi="宋体" w:cs="宋体" w:eastAsia="宋体" w:hint="default"/>
        </w:rPr>
        <w:t>1000</w:t>
      </w:r>
      <w:r>
        <w:rPr/>
        <w:t>万元未偿还。</w:t>
      </w:r>
    </w:p>
    <w:p>
      <w:pPr>
        <w:pStyle w:val="BodyText"/>
        <w:spacing w:line="408" w:lineRule="auto"/>
        <w:ind w:right="1106" w:firstLine="423"/>
        <w:jc w:val="both"/>
      </w:pPr>
      <w:r>
        <w:rPr/>
        <w:t>⑦</w:t>
      </w:r>
      <w:r>
        <w:rPr>
          <w:rFonts w:ascii="宋体" w:hAnsi="宋体" w:cs="宋体" w:eastAsia="宋体" w:hint="default"/>
        </w:rPr>
        <w:t>2107</w:t>
      </w:r>
      <w:r>
        <w:rPr/>
        <w:t>年</w:t>
      </w:r>
      <w:r>
        <w:rPr>
          <w:rFonts w:ascii="宋体" w:hAnsi="宋体" w:cs="宋体" w:eastAsia="宋体" w:hint="default"/>
        </w:rPr>
        <w:t>12</w:t>
      </w:r>
      <w:r>
        <w:rPr/>
        <w:t>月，光一科技股份有限公司与客户国网福建石狮市供电有限公司做应收账款保理测试款， 金额为</w:t>
      </w:r>
      <w:r>
        <w:rPr>
          <w:rFonts w:ascii="宋体" w:hAnsi="宋体" w:cs="宋体" w:eastAsia="宋体" w:hint="default"/>
        </w:rPr>
        <w:t>3850.00</w:t>
      </w:r>
      <w:r>
        <w:rPr/>
        <w:t>元</w:t>
      </w:r>
    </w:p>
    <w:p>
      <w:pPr>
        <w:pStyle w:val="BodyText"/>
        <w:spacing w:line="408" w:lineRule="auto"/>
        <w:ind w:right="1132" w:firstLine="423"/>
        <w:jc w:val="both"/>
      </w:pPr>
      <w:r>
        <w:rPr>
          <w:spacing w:val="-1"/>
        </w:rPr>
        <w:t>⑧</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31</w:t>
      </w:r>
      <w:r>
        <w:rPr>
          <w:spacing w:val="-1"/>
        </w:rPr>
        <w:t>日，云商天下与南京银行股份有限公司珠江支行签订的非授信额度及最高债权额度借</w:t>
      </w:r>
      <w:r>
        <w:rPr/>
        <w:t> 款合同，借款金额为</w:t>
      </w:r>
      <w:r>
        <w:rPr>
          <w:rFonts w:ascii="宋体" w:hAnsi="宋体" w:cs="宋体" w:eastAsia="宋体" w:hint="default"/>
        </w:rPr>
        <w:t>5,000,000.00</w:t>
      </w:r>
      <w:r>
        <w:rPr/>
        <w:t>元，借款期限</w:t>
      </w:r>
      <w:r>
        <w:rPr>
          <w:rFonts w:ascii="宋体" w:hAnsi="宋体" w:cs="宋体" w:eastAsia="宋体" w:hint="default"/>
        </w:rPr>
        <w:t>2017.10.27-2018.10.27</w:t>
      </w:r>
      <w:r>
        <w:rPr/>
        <w:t>，由江苏光一投资管理有限责任</w:t>
      </w:r>
      <w:r>
        <w:rPr>
          <w:spacing w:val="-34"/>
        </w:rPr>
        <w:t> </w:t>
      </w:r>
      <w:r>
        <w:rPr>
          <w:spacing w:val="-34"/>
        </w:rPr>
      </w:r>
      <w:r>
        <w:rPr/>
        <w:t>公司、龙昌明作为担保人并且承担连带保证责任。</w:t>
      </w:r>
    </w:p>
    <w:p>
      <w:pPr>
        <w:pStyle w:val="BodyText"/>
        <w:spacing w:line="408" w:lineRule="auto"/>
        <w:ind w:left="1134" w:right="1136" w:firstLine="423"/>
        <w:jc w:val="both"/>
      </w:pPr>
      <w:r>
        <w:rPr/>
        <w:t>⑨</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日，德能设计公司与南京银行股份有限公司珠江支行签订的非授信额度及最高债权额 度借款合同，借款金额为</w:t>
      </w:r>
      <w:r>
        <w:rPr>
          <w:rFonts w:ascii="宋体" w:hAnsi="宋体" w:cs="宋体" w:eastAsia="宋体" w:hint="default"/>
        </w:rPr>
        <w:t>9,000,000.00</w:t>
      </w:r>
      <w:r>
        <w:rPr/>
        <w:t>元，借款期限</w:t>
      </w:r>
      <w:r>
        <w:rPr>
          <w:rFonts w:ascii="宋体" w:hAnsi="宋体" w:cs="宋体" w:eastAsia="宋体" w:hint="default"/>
        </w:rPr>
        <w:t>2017.6.8-2018.6.8</w:t>
      </w:r>
      <w:r>
        <w:rPr/>
        <w:t>，由光一科技股份有限公司和唐</w:t>
      </w:r>
      <w:r>
        <w:rPr>
          <w:spacing w:val="-32"/>
        </w:rPr>
        <w:t> </w:t>
      </w:r>
      <w:r>
        <w:rPr>
          <w:spacing w:val="-32"/>
        </w:rPr>
      </w:r>
      <w:r>
        <w:rPr/>
        <w:t>明群作为保证人，并且承担连带责任。</w:t>
      </w:r>
    </w:p>
    <w:p>
      <w:pPr>
        <w:pStyle w:val="BodyText"/>
        <w:spacing w:line="408" w:lineRule="auto"/>
        <w:ind w:left="1134" w:right="1135" w:firstLine="423"/>
        <w:jc w:val="both"/>
      </w:pPr>
      <w:r>
        <w:rPr/>
        <w:t>⑩</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29</w:t>
      </w:r>
      <w:r>
        <w:rPr/>
        <w:t>日，德能设计公司与南京银行股份有限公司珠江支行签订的非授信额度及最高债权额 度借款合同，借款金额为</w:t>
      </w:r>
      <w:r>
        <w:rPr>
          <w:rFonts w:ascii="宋体" w:hAnsi="宋体" w:cs="宋体" w:eastAsia="宋体" w:hint="default"/>
        </w:rPr>
        <w:t>6,000,000.00</w:t>
      </w:r>
      <w:r>
        <w:rPr/>
        <w:t>元，借款期限</w:t>
      </w:r>
      <w:r>
        <w:rPr>
          <w:rFonts w:ascii="宋体" w:hAnsi="宋体" w:cs="宋体" w:eastAsia="宋体" w:hint="default"/>
        </w:rPr>
        <w:t>2017.6.28-2018.6.28</w:t>
      </w:r>
      <w:r>
        <w:rPr/>
        <w:t>，由光一科技股份有限公司和</w:t>
      </w:r>
      <w:r>
        <w:rPr>
          <w:spacing w:val="-36"/>
        </w:rPr>
        <w:t> </w:t>
      </w:r>
      <w:r>
        <w:rPr>
          <w:spacing w:val="-36"/>
        </w:rPr>
      </w:r>
      <w:r>
        <w:rPr/>
        <w:t>唐明群作为保证人，并且承担连带责任。</w:t>
      </w:r>
    </w:p>
    <w:p>
      <w:pPr>
        <w:pStyle w:val="BodyText"/>
        <w:spacing w:line="652" w:lineRule="exact" w:before="0"/>
        <w:ind w:left="1557" w:right="1121"/>
        <w:jc w:val="left"/>
        <w:rPr>
          <w:rFonts w:ascii="宋体" w:hAnsi="宋体" w:cs="宋体" w:eastAsia="宋体" w:hint="default"/>
        </w:rPr>
      </w:pPr>
      <w:r>
        <w:rPr>
          <w:rFonts w:ascii="Cambria Math" w:hAnsi="Cambria Math" w:cs="Cambria Math" w:eastAsia="Cambria Math" w:hint="default"/>
          <w:spacing w:val="2"/>
        </w:rPr>
        <w:t>⑪</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w:t>
      </w:r>
      <w:r>
        <w:rPr>
          <w:spacing w:val="2"/>
        </w:rPr>
        <w:t>日，苏源光一应收光一科技的商业承兑汇票向银行提前贴现，该票据在</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30</w:t>
      </w:r>
    </w:p>
    <w:p>
      <w:pPr>
        <w:pStyle w:val="BodyText"/>
        <w:spacing w:line="137" w:lineRule="exact" w:before="0"/>
        <w:ind w:left="1134" w:right="1121"/>
        <w:jc w:val="left"/>
      </w:pPr>
      <w:r>
        <w:rPr/>
        <w:t>日到期，则资产负债表日前确认为短期借款</w:t>
      </w:r>
      <w:r>
        <w:rPr>
          <w:rFonts w:ascii="宋体" w:hAnsi="宋体" w:cs="宋体" w:eastAsia="宋体" w:hint="default"/>
        </w:rPr>
        <w:t>5,000,000.00</w:t>
      </w:r>
      <w:r>
        <w:rPr/>
        <w:t>元</w:t>
      </w:r>
    </w:p>
    <w:p>
      <w:pPr>
        <w:spacing w:line="240" w:lineRule="auto" w:before="10"/>
        <w:rPr>
          <w:rFonts w:ascii="宋体" w:hAnsi="宋体" w:cs="宋体" w:eastAsia="宋体" w:hint="default"/>
          <w:sz w:val="14"/>
          <w:szCs w:val="14"/>
        </w:rPr>
      </w:pPr>
    </w:p>
    <w:p>
      <w:pPr>
        <w:pStyle w:val="Heading4"/>
        <w:spacing w:line="240" w:lineRule="auto"/>
        <w:ind w:left="1133" w:right="1121"/>
        <w:jc w:val="left"/>
        <w:rPr>
          <w:b w:val="0"/>
          <w:bCs w:val="0"/>
        </w:rPr>
      </w:pPr>
      <w:bookmarkStart w:name="（2）已逾期未偿还的短期借款情况" w:id="316"/>
      <w:bookmarkEnd w:id="316"/>
      <w:r>
        <w:rPr>
          <w:b w:val="0"/>
          <w:bCs w:val="0"/>
        </w:rPr>
      </w:r>
      <w:r>
        <w:rPr/>
        <w:t>（</w:t>
      </w:r>
      <w:r>
        <w:rPr>
          <w:rFonts w:ascii="宋体" w:hAnsi="宋体" w:cs="宋体" w:eastAsia="宋体" w:hint="default"/>
        </w:rPr>
        <w:t>2</w:t>
      </w:r>
      <w:r>
        <w:rPr/>
        <w:t>）已逾期未偿还的短期借款情况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32、以公允价值计量且其变动计入当期损益的金融负债" w:id="317"/>
      <w:bookmarkEnd w:id="317"/>
      <w:r>
        <w:rPr>
          <w:b w:val="0"/>
          <w:bCs w:val="0"/>
        </w:rPr>
      </w:r>
      <w:r>
        <w:rPr>
          <w:rFonts w:ascii="宋体" w:hAnsi="宋体" w:cs="宋体" w:eastAsia="宋体" w:hint="default"/>
        </w:rPr>
        <w:t>32</w:t>
      </w:r>
      <w:r>
        <w:rPr/>
        <w:t>、以公允价值计量且其变动计入当期损益的金融负债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3、衍生金融负债" w:id="318"/>
      <w:bookmarkEnd w:id="318"/>
      <w:r>
        <w:rPr>
          <w:rFonts w:ascii="宋体" w:hAnsi="宋体" w:cs="宋体" w:eastAsia="宋体" w:hint="default"/>
          <w:sz w:val="21"/>
          <w:szCs w:val="21"/>
        </w:rPr>
      </w:r>
      <w:r>
        <w:rPr>
          <w:rFonts w:ascii="宋体" w:hAnsi="宋体" w:cs="宋体" w:eastAsia="宋体"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4、应付票据" w:id="319"/>
      <w:bookmarkEnd w:id="319"/>
      <w:r>
        <w:rPr>
          <w:rFonts w:ascii="宋体" w:hAnsi="宋体" w:cs="宋体" w:eastAsia="宋体" w:hint="default"/>
          <w:sz w:val="21"/>
          <w:szCs w:val="21"/>
        </w:rPr>
      </w:r>
      <w:r>
        <w:rPr>
          <w:rFonts w:ascii="宋体" w:hAnsi="宋体" w:cs="宋体" w:eastAsia="宋体"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4,957,831.68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10,252,810.41</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4,957,831.68</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10,252,810.41</w:t>
            </w:r>
          </w:p>
        </w:tc>
      </w:tr>
    </w:tbl>
    <w:p>
      <w:pPr>
        <w:spacing w:line="532" w:lineRule="auto" w:before="26"/>
        <w:ind w:left="1134" w:right="6240" w:firstLine="0"/>
        <w:jc w:val="left"/>
        <w:rPr>
          <w:rFonts w:ascii="宋体" w:hAnsi="宋体" w:cs="宋体" w:eastAsia="宋体" w:hint="default"/>
          <w:sz w:val="21"/>
          <w:szCs w:val="21"/>
        </w:rPr>
      </w:pPr>
      <w:r>
        <w:rPr>
          <w:rFonts w:ascii="宋体" w:hAnsi="宋体" w:cs="宋体" w:eastAsia="宋体" w:hint="default"/>
          <w:sz w:val="21"/>
          <w:szCs w:val="21"/>
        </w:rPr>
        <w:t>本期末已到期未支付的应付票据总额为</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bookmarkStart w:name="35、应付账款" w:id="320"/>
      <w:bookmarkEnd w:id="320"/>
      <w:r>
        <w:rPr>
          <w:rFonts w:ascii="宋体" w:hAnsi="宋体" w:cs="宋体" w:eastAsia="宋体" w:hint="default"/>
          <w:spacing w:val="-2"/>
          <w:sz w:val="21"/>
          <w:szCs w:val="21"/>
        </w:rPr>
      </w:r>
      <w:r>
        <w:rPr>
          <w:rFonts w:ascii="宋体" w:hAnsi="宋体" w:cs="宋体" w:eastAsia="宋体"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after="0" w:line="532" w:lineRule="auto"/>
        <w:jc w:val="left"/>
        <w:rPr>
          <w:rFonts w:ascii="宋体" w:hAnsi="宋体" w:cs="宋体" w:eastAsia="宋体" w:hint="default"/>
          <w:sz w:val="21"/>
          <w:szCs w:val="21"/>
        </w:rPr>
        <w:sectPr>
          <w:pgSz w:w="11910" w:h="16840"/>
          <w:pgMar w:header="747" w:footer="1000" w:top="1040" w:bottom="1180" w:left="0" w:right="0"/>
        </w:sectPr>
      </w:pPr>
    </w:p>
    <w:p>
      <w:pPr>
        <w:pStyle w:val="Heading4"/>
        <w:spacing w:line="240" w:lineRule="auto" w:before="81"/>
        <w:ind w:right="0"/>
        <w:jc w:val="left"/>
        <w:rPr>
          <w:b w:val="0"/>
          <w:bCs w:val="0"/>
        </w:rPr>
      </w:pPr>
      <w:bookmarkStart w:name="（1）应付账款列示" w:id="321"/>
      <w:bookmarkEnd w:id="321"/>
      <w:r>
        <w:rPr>
          <w:b w:val="0"/>
          <w:bCs w:val="0"/>
        </w:rPr>
      </w:r>
      <w:r>
        <w:rPr>
          <w:w w:val="95"/>
        </w:rPr>
        <w:t>（</w:t>
      </w:r>
      <w:r>
        <w:rPr>
          <w:rFonts w:ascii="宋体" w:hAnsi="宋体" w:cs="宋体" w:eastAsia="宋体" w:hint="default"/>
          <w:w w:val="95"/>
        </w:rPr>
        <w:t>1</w:t>
      </w:r>
      <w:r>
        <w:rPr>
          <w:w w:val="95"/>
        </w:rPr>
        <w:t>）应付账款列示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7"/>
          <w:szCs w:val="17"/>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927" w:space="5993"/>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181,842,082.24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299,251,255.62</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15,552,953.98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42,363,645.74</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3,723,721.67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6,352,546.80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3,698,816.46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2,920,268.51</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204,817,574.35</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350,887,716.67</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16"/>
        <w:jc w:val="left"/>
        <w:rPr>
          <w:b w:val="0"/>
          <w:bCs w:val="0"/>
        </w:rPr>
      </w:pPr>
      <w:bookmarkStart w:name="（2）账龄超过1年的重要应付账款" w:id="322"/>
      <w:bookmarkEnd w:id="322"/>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403" w:space="4517"/>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北京智芯微电子科技有限公司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10,269,247.29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未到预定付款期限</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石家庄西屋电气设备有限公司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3,510,591.26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未到预定付款条件</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肇庆市易达再生资源有限公司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1,972,669.20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未到预定付款条件</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邳州市国龙电器有限公司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1,662,499.80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未到预定付款条件</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肇庆市丰达塑料有限公司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1,398,146.32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未到预定付款条件</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18,813,153.87</w:t>
            </w:r>
          </w:p>
        </w:tc>
        <w:tc>
          <w:tcPr>
            <w:tcW w:w="318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40" w:bottom="1180" w:left="0" w:right="0"/>
        </w:sectPr>
      </w:pPr>
    </w:p>
    <w:p>
      <w:pPr>
        <w:spacing w:line="240" w:lineRule="auto" w:before="5"/>
        <w:rPr>
          <w:rFonts w:ascii="宋体" w:hAnsi="宋体" w:cs="宋体" w:eastAsia="宋体" w:hint="default"/>
          <w:sz w:val="25"/>
          <w:szCs w:val="25"/>
        </w:rPr>
      </w:pPr>
    </w:p>
    <w:p>
      <w:pPr>
        <w:pStyle w:val="Heading4"/>
        <w:spacing w:line="240" w:lineRule="auto" w:before="35"/>
        <w:ind w:left="1133" w:right="1121"/>
        <w:jc w:val="left"/>
        <w:rPr>
          <w:b w:val="0"/>
          <w:bCs w:val="0"/>
        </w:rPr>
      </w:pPr>
      <w:bookmarkStart w:name="36、预收款项" w:id="323"/>
      <w:bookmarkEnd w:id="323"/>
      <w:r>
        <w:rPr>
          <w:b w:val="0"/>
          <w:bCs w:val="0"/>
        </w:rPr>
      </w:r>
      <w:r>
        <w:rPr>
          <w:rFonts w:ascii="宋体" w:hAnsi="宋体" w:cs="宋体" w:eastAsia="宋体" w:hint="default"/>
        </w:rPr>
        <w:t>36</w:t>
      </w:r>
      <w:r>
        <w:rPr/>
        <w:t>、预收款项</w:t>
      </w:r>
      <w:r>
        <w:rPr>
          <w:b w:val="0"/>
          <w:bCs w:val="0"/>
        </w:rPr>
      </w:r>
    </w:p>
    <w:p>
      <w:pPr>
        <w:pStyle w:val="Heading4"/>
        <w:spacing w:line="240" w:lineRule="auto" w:before="115"/>
        <w:ind w:left="1133" w:right="1121"/>
        <w:jc w:val="left"/>
        <w:rPr>
          <w:b w:val="0"/>
          <w:bCs w:val="0"/>
        </w:rPr>
      </w:pPr>
      <w:bookmarkStart w:name="（1）预收款项列示" w:id="324"/>
      <w:bookmarkEnd w:id="324"/>
      <w:r>
        <w:rPr>
          <w:b w:val="0"/>
          <w:bCs w:val="0"/>
        </w:rPr>
      </w:r>
      <w:r>
        <w:rPr/>
        <w:t>（</w:t>
      </w:r>
      <w:r>
        <w:rPr>
          <w:rFonts w:ascii="宋体" w:hAnsi="宋体" w:cs="宋体" w:eastAsia="宋体" w:hint="default"/>
        </w:rPr>
        <w:t>1</w:t>
      </w:r>
      <w:r>
        <w:rPr/>
        <w:t>）预收款项列示</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87,005,734.09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5,911,368.62</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283,709.92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159,829.06</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87,459,444.01</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6,091,197.68</w:t>
            </w:r>
          </w:p>
        </w:tc>
      </w:tr>
    </w:tbl>
    <w:p>
      <w:pPr>
        <w:pStyle w:val="Heading4"/>
        <w:spacing w:line="240" w:lineRule="auto" w:before="63"/>
        <w:ind w:right="1121"/>
        <w:jc w:val="left"/>
        <w:rPr>
          <w:b w:val="0"/>
          <w:bCs w:val="0"/>
        </w:rPr>
      </w:pPr>
      <w:bookmarkStart w:name="（2）账龄超过1年的重要预收款项" w:id="325"/>
      <w:bookmarkEnd w:id="325"/>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年的重要预收款项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期末建造合同形成的已结算未完工项目情况" w:id="326"/>
      <w:bookmarkEnd w:id="326"/>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7、应付职工薪酬" w:id="327"/>
      <w:bookmarkEnd w:id="327"/>
      <w:r>
        <w:rPr>
          <w:rFonts w:ascii="宋体" w:hAnsi="宋体" w:cs="宋体" w:eastAsia="宋体" w:hint="default"/>
          <w:sz w:val="21"/>
          <w:szCs w:val="21"/>
        </w:rPr>
      </w:r>
      <w:r>
        <w:rPr>
          <w:rFonts w:ascii="宋体" w:hAnsi="宋体" w:cs="宋体" w:eastAsia="宋体"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Heading4"/>
        <w:spacing w:line="240" w:lineRule="auto" w:before="46"/>
        <w:ind w:right="1121"/>
        <w:jc w:val="left"/>
        <w:rPr>
          <w:b w:val="0"/>
          <w:bCs w:val="0"/>
        </w:rPr>
      </w:pPr>
      <w:bookmarkStart w:name="（1）应付职工薪酬列示" w:id="328"/>
      <w:bookmarkEnd w:id="328"/>
      <w:r>
        <w:rPr>
          <w:b w:val="0"/>
          <w:bCs w:val="0"/>
        </w:rPr>
      </w:r>
      <w:r>
        <w:rPr/>
        <w:t>（</w:t>
      </w:r>
      <w:r>
        <w:rPr>
          <w:rFonts w:ascii="宋体" w:hAnsi="宋体" w:cs="宋体" w:eastAsia="宋体" w:hint="default"/>
        </w:rPr>
        <w:t>1</w:t>
      </w:r>
      <w:r>
        <w:rPr/>
        <w:t>）应付职工薪酬列示</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394"/>
        <w:gridCol w:w="1801"/>
        <w:gridCol w:w="1790"/>
        <w:gridCol w:w="1790"/>
        <w:gridCol w:w="1790"/>
      </w:tblGrid>
      <w:tr>
        <w:trPr>
          <w:trHeight w:val="415" w:hRule="exact"/>
        </w:trPr>
        <w:tc>
          <w:tcPr>
            <w:tcW w:w="23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12,608,746.25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83,631,877.87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84,733,323.06</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85" w:right="0"/>
              <w:jc w:val="left"/>
              <w:rPr>
                <w:rFonts w:ascii="宋体" w:hAnsi="宋体" w:cs="宋体" w:eastAsia="宋体" w:hint="default"/>
                <w:sz w:val="18"/>
                <w:szCs w:val="18"/>
              </w:rPr>
            </w:pPr>
            <w:r>
              <w:rPr>
                <w:rFonts w:ascii="宋体"/>
                <w:sz w:val="18"/>
              </w:rPr>
              <w:t>11,507,301.06</w:t>
            </w: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6"/>
                <w:sz w:val="18"/>
                <w:szCs w:val="18"/>
              </w:rPr>
              <w:t>、</w:t>
            </w:r>
            <w:r>
              <w:rPr>
                <w:rFonts w:ascii="宋体" w:hAnsi="宋体" w:cs="宋体" w:eastAsia="宋体" w:hint="default"/>
                <w:sz w:val="18"/>
                <w:szCs w:val="18"/>
              </w:rPr>
              <w:t>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6,841,628.12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6,841,628.12</w:t>
            </w:r>
          </w:p>
        </w:tc>
        <w:tc>
          <w:tcPr>
            <w:tcW w:w="179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23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12,608,746.25</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90,473,505.99</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91,574,951.18</w:t>
            </w:r>
          </w:p>
        </w:tc>
        <w:tc>
          <w:tcPr>
            <w:tcW w:w="1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85" w:right="0"/>
              <w:jc w:val="left"/>
              <w:rPr>
                <w:rFonts w:ascii="宋体" w:hAnsi="宋体" w:cs="宋体" w:eastAsia="宋体" w:hint="default"/>
                <w:sz w:val="18"/>
                <w:szCs w:val="18"/>
              </w:rPr>
            </w:pPr>
            <w:r>
              <w:rPr>
                <w:rFonts w:ascii="宋体"/>
                <w:sz w:val="18"/>
              </w:rPr>
              <w:t>11,507,301.06</w:t>
            </w:r>
          </w:p>
        </w:tc>
      </w:tr>
    </w:tbl>
    <w:p>
      <w:pPr>
        <w:spacing w:line="240" w:lineRule="auto" w:before="2"/>
        <w:rPr>
          <w:rFonts w:ascii="宋体" w:hAnsi="宋体" w:cs="宋体" w:eastAsia="宋体" w:hint="default"/>
          <w:sz w:val="19"/>
          <w:szCs w:val="19"/>
        </w:rPr>
      </w:pPr>
    </w:p>
    <w:p>
      <w:pPr>
        <w:pStyle w:val="Heading4"/>
        <w:spacing w:line="240" w:lineRule="auto" w:before="35"/>
        <w:ind w:right="1121"/>
        <w:jc w:val="left"/>
        <w:rPr>
          <w:b w:val="0"/>
          <w:bCs w:val="0"/>
        </w:rPr>
      </w:pPr>
      <w:bookmarkStart w:name="（2）短期薪酬列示" w:id="329"/>
      <w:bookmarkEnd w:id="329"/>
      <w:r>
        <w:rPr>
          <w:b w:val="0"/>
          <w:bCs w:val="0"/>
        </w:rPr>
      </w: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2252"/>
        <w:gridCol w:w="1836"/>
        <w:gridCol w:w="1826"/>
        <w:gridCol w:w="1824"/>
        <w:gridCol w:w="1826"/>
      </w:tblGrid>
      <w:tr>
        <w:trPr>
          <w:trHeight w:val="415" w:hRule="exact"/>
        </w:trPr>
        <w:tc>
          <w:tcPr>
            <w:tcW w:w="225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、工资、奖金、津贴和补贴</w:t>
            </w:r>
          </w:p>
        </w:tc>
        <w:tc>
          <w:tcPr>
            <w:tcW w:w="183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left="619" w:right="0"/>
              <w:jc w:val="left"/>
              <w:rPr>
                <w:rFonts w:ascii="宋体" w:hAnsi="宋体" w:cs="宋体" w:eastAsia="宋体" w:hint="default"/>
                <w:sz w:val="18"/>
                <w:szCs w:val="18"/>
              </w:rPr>
            </w:pPr>
            <w:r>
              <w:rPr>
                <w:rFonts w:ascii="宋体"/>
                <w:sz w:val="18"/>
              </w:rPr>
              <w:t>12,395,146.25</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72,265,123.91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73,317,069.10</w:t>
            </w:r>
          </w:p>
        </w:tc>
        <w:tc>
          <w:tcPr>
            <w:tcW w:w="18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sz w:val="18"/>
              </w:rPr>
              <w:t>11,343,201.06</w:t>
            </w: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4,538,050.96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4,538,050.96</w:t>
            </w: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3,813,420.40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3,813,420.40</w:t>
            </w: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3,323,710.25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3,323,710.25</w:t>
            </w: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264,377.42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264,377.42</w:t>
            </w: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2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36" w:type="dxa"/>
            <w:tcBorders>
              <w:top w:val="single" w:sz="6" w:space="0" w:color="000000"/>
              <w:left w:val="single" w:sz="14" w:space="0" w:color="D2D2D2"/>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225,332.73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225,332.73</w:t>
            </w: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2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836" w:type="dxa"/>
            <w:tcBorders>
              <w:top w:val="single" w:sz="6" w:space="0" w:color="000000"/>
              <w:left w:val="single" w:sz="14" w:space="0" w:color="D2D2D2"/>
              <w:bottom w:val="single" w:sz="12" w:space="0" w:color="000000"/>
              <w:right w:val="single" w:sz="6" w:space="0" w:color="000000"/>
            </w:tcBorders>
          </w:tcPr>
          <w:p>
            <w:pPr/>
          </w:p>
        </w:tc>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2,559,006.40</w:t>
            </w:r>
          </w:p>
        </w:tc>
        <w:tc>
          <w:tcPr>
            <w:tcW w:w="18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2,559,006.40</w:t>
            </w:r>
          </w:p>
        </w:tc>
        <w:tc>
          <w:tcPr>
            <w:tcW w:w="182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269"/>
        <w:gridCol w:w="1826"/>
        <w:gridCol w:w="1826"/>
        <w:gridCol w:w="1824"/>
        <w:gridCol w:w="1826"/>
      </w:tblGrid>
      <w:tr>
        <w:trPr>
          <w:trHeight w:val="415"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、工会经费和职工教育经费</w:t>
            </w:r>
          </w:p>
        </w:tc>
        <w:tc>
          <w:tcPr>
            <w:tcW w:w="18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213,600.00</w:t>
            </w:r>
          </w:p>
        </w:tc>
        <w:tc>
          <w:tcPr>
            <w:tcW w:w="18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456,276.20</w:t>
            </w:r>
          </w:p>
        </w:tc>
        <w:tc>
          <w:tcPr>
            <w:tcW w:w="18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505,776.20</w:t>
            </w:r>
          </w:p>
        </w:tc>
        <w:tc>
          <w:tcPr>
            <w:tcW w:w="18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164,100.00</w:t>
            </w: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、短期带薪缺勤</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、短期利润分享计划</w:t>
            </w:r>
          </w:p>
        </w:tc>
        <w:tc>
          <w:tcPr>
            <w:tcW w:w="1826"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
        </w:tc>
        <w:tc>
          <w:tcPr>
            <w:tcW w:w="182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2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12,608,746.25</w:t>
            </w:r>
          </w:p>
        </w:tc>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83,631,877.87</w:t>
            </w:r>
          </w:p>
        </w:tc>
        <w:tc>
          <w:tcPr>
            <w:tcW w:w="18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84,733,323.06</w:t>
            </w:r>
          </w:p>
        </w:tc>
        <w:tc>
          <w:tcPr>
            <w:tcW w:w="18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11,507,301.06</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3）设定提存计划列示" w:id="330"/>
      <w:bookmarkEnd w:id="330"/>
      <w:r>
        <w:rPr>
          <w:b w:val="0"/>
          <w:bCs w:val="0"/>
        </w:rPr>
      </w:r>
      <w:r>
        <w:rPr>
          <w:w w:val="95"/>
        </w:rPr>
        <w:t>（</w:t>
      </w:r>
      <w:r>
        <w:rPr>
          <w:rFonts w:ascii="宋体" w:hAnsi="宋体" w:cs="宋体" w:eastAsia="宋体" w:hint="default"/>
          <w:w w:val="95"/>
        </w:rPr>
        <w:t>3</w:t>
      </w:r>
      <w:r>
        <w:rPr>
          <w:w w:val="95"/>
        </w:rPr>
        <w:t>）设定提存计划列示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348" w:space="5482"/>
            <w:col w:w="3080"/>
          </w:cols>
        </w:sectPr>
      </w:pPr>
    </w:p>
    <w:p>
      <w:pPr>
        <w:spacing w:line="240" w:lineRule="auto" w:before="0"/>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5"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6,625,488.07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6,625,488.07</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216,140.05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216,140.05</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6,841,628.12</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6,841,628.12</w:t>
            </w:r>
          </w:p>
        </w:tc>
        <w:tc>
          <w:tcPr>
            <w:tcW w:w="191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0"/>
        <w:jc w:val="left"/>
        <w:rPr>
          <w:b w:val="0"/>
          <w:bCs w:val="0"/>
        </w:rPr>
      </w:pPr>
      <w:bookmarkStart w:name="38、应交税费" w:id="331"/>
      <w:bookmarkEnd w:id="331"/>
      <w:r>
        <w:rPr>
          <w:b w:val="0"/>
          <w:bCs w:val="0"/>
        </w:rPr>
      </w:r>
      <w:r>
        <w:rPr>
          <w:rFonts w:ascii="宋体" w:hAnsi="宋体" w:cs="宋体" w:eastAsia="宋体" w:hint="default"/>
          <w:w w:val="95"/>
        </w:rPr>
        <w:t>38</w:t>
      </w:r>
      <w:r>
        <w:rPr>
          <w:w w:val="95"/>
        </w:rPr>
        <w:t>、应交税费</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399" w:space="6521"/>
            <w:col w:w="2990"/>
          </w:cols>
        </w:sectPr>
      </w:pPr>
    </w:p>
    <w:p>
      <w:pPr>
        <w:spacing w:line="240" w:lineRule="auto" w:before="0"/>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5,459,923.95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7,548,583.98</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2,679,897.43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6,457,147.40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777,213.69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389,442.39</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379,543.53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1,561,631.04</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408,526.47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993,752.95</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645,505.08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916,277.09</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10,350,610.15</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17,866,834.85</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21" w:firstLine="420"/>
        <w:jc w:val="left"/>
      </w:pPr>
      <w:r>
        <w:rPr>
          <w:rFonts w:ascii="宋体" w:hAnsi="宋体" w:cs="宋体" w:eastAsia="宋体" w:hint="default"/>
          <w:spacing w:val="-1"/>
        </w:rPr>
        <w:t>2017</w:t>
      </w:r>
      <w:r>
        <w:rPr>
          <w:spacing w:val="-1"/>
        </w:rPr>
        <w:t>年末较</w:t>
      </w:r>
      <w:r>
        <w:rPr>
          <w:rFonts w:ascii="宋体" w:hAnsi="宋体" w:cs="宋体" w:eastAsia="宋体" w:hint="default"/>
          <w:spacing w:val="-1"/>
        </w:rPr>
        <w:t>2016</w:t>
      </w:r>
      <w:r>
        <w:rPr>
          <w:spacing w:val="-1"/>
        </w:rPr>
        <w:t>年应交税费减少</w:t>
      </w:r>
      <w:r>
        <w:rPr>
          <w:rFonts w:ascii="宋体" w:hAnsi="宋体" w:cs="宋体" w:eastAsia="宋体" w:hint="default"/>
          <w:spacing w:val="-1"/>
        </w:rPr>
        <w:t>7,516,224.70</w:t>
      </w:r>
      <w:r>
        <w:rPr>
          <w:spacing w:val="-1"/>
        </w:rPr>
        <w:t>元，减少比例为</w:t>
      </w:r>
      <w:r>
        <w:rPr>
          <w:rFonts w:ascii="宋体" w:hAnsi="宋体" w:cs="宋体" w:eastAsia="宋体" w:hint="default"/>
          <w:spacing w:val="-1"/>
        </w:rPr>
        <w:t>42.07%</w:t>
      </w:r>
      <w:r>
        <w:rPr>
          <w:spacing w:val="-1"/>
        </w:rPr>
        <w:t>，主要系企业所得税、增值税及</w:t>
      </w:r>
      <w:r>
        <w:rPr/>
        <w:t> 其对应附加税减少所致。</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40" w:bottom="1180" w:left="0" w:right="0"/>
        </w:sectPr>
      </w:pPr>
    </w:p>
    <w:p>
      <w:pPr>
        <w:pStyle w:val="Heading4"/>
        <w:spacing w:line="240" w:lineRule="auto" w:before="35"/>
        <w:ind w:right="0"/>
        <w:jc w:val="left"/>
        <w:rPr>
          <w:b w:val="0"/>
          <w:bCs w:val="0"/>
        </w:rPr>
      </w:pPr>
      <w:bookmarkStart w:name="39、应付利息" w:id="332"/>
      <w:bookmarkEnd w:id="332"/>
      <w:r>
        <w:rPr>
          <w:b w:val="0"/>
          <w:bCs w:val="0"/>
        </w:rPr>
      </w:r>
      <w:r>
        <w:rPr>
          <w:rFonts w:ascii="宋体" w:hAnsi="宋体" w:cs="宋体" w:eastAsia="宋体" w:hint="default"/>
          <w:w w:val="95"/>
        </w:rPr>
        <w:t>39</w:t>
      </w:r>
      <w:r>
        <w:rPr>
          <w:w w:val="95"/>
        </w:rPr>
        <w:t>、应付利息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399" w:space="6521"/>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171,055.56</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宋体" w:hAnsi="宋体" w:cs="宋体" w:eastAsia="宋体" w:hint="default"/>
                <w:sz w:val="18"/>
                <w:szCs w:val="18"/>
              </w:rPr>
              <w:t>\</w:t>
            </w:r>
            <w:r>
              <w:rPr>
                <w:rFonts w:ascii="宋体" w:hAnsi="宋体" w:cs="宋体" w:eastAsia="宋体" w:hint="default"/>
                <w:sz w:val="18"/>
                <w:szCs w:val="18"/>
              </w:rPr>
              <w:t>永续债利息</w:t>
            </w:r>
          </w:p>
        </w:tc>
        <w:tc>
          <w:tcPr>
            <w:tcW w:w="3204" w:type="dxa"/>
            <w:tcBorders>
              <w:top w:val="single" w:sz="6" w:space="0" w:color="000000"/>
              <w:left w:val="single" w:sz="9" w:space="0" w:color="D2D2D2"/>
              <w:bottom w:val="single" w:sz="12" w:space="0" w:color="000000"/>
              <w:right w:val="single" w:sz="6" w:space="0" w:color="000000"/>
            </w:tcBorders>
          </w:tcPr>
          <w:p>
            <w:pPr/>
          </w:p>
        </w:tc>
        <w:tc>
          <w:tcPr>
            <w:tcW w:w="3188"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12" w:space="0" w:color="000000"/>
              <w:left w:val="single" w:sz="6" w:space="0" w:color="000000"/>
              <w:bottom w:val="single" w:sz="6" w:space="0" w:color="000000"/>
              <w:right w:val="single" w:sz="6" w:space="0" w:color="000000"/>
            </w:tcBorders>
          </w:tcPr>
          <w:p>
            <w:pPr/>
          </w:p>
        </w:tc>
        <w:tc>
          <w:tcPr>
            <w:tcW w:w="3188" w:type="dxa"/>
            <w:tcBorders>
              <w:top w:val="single" w:sz="12"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171,055.56</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40、应付股利" w:id="333"/>
      <w:bookmarkEnd w:id="333"/>
      <w:r>
        <w:rPr>
          <w:b w:val="0"/>
          <w:bCs w:val="0"/>
        </w:rPr>
      </w:r>
      <w:r>
        <w:rPr>
          <w:rFonts w:ascii="宋体" w:hAnsi="宋体" w:cs="宋体" w:eastAsia="宋体" w:hint="default"/>
          <w:w w:val="95"/>
        </w:rPr>
        <w:t>40</w:t>
      </w:r>
      <w:r>
        <w:rPr>
          <w:w w:val="95"/>
        </w:rPr>
        <w:t>、应付股利</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399" w:space="6521"/>
            <w:col w:w="2990"/>
          </w:cols>
        </w:sectPr>
      </w:pP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5,277,031.00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5,277,031.00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划分为权益工具的优先股</w:t>
            </w:r>
            <w:r>
              <w:rPr>
                <w:rFonts w:ascii="宋体" w:hAnsi="宋体" w:cs="宋体" w:eastAsia="宋体" w:hint="default"/>
                <w:sz w:val="18"/>
                <w:szCs w:val="18"/>
              </w:rPr>
              <w:t>\</w:t>
            </w:r>
            <w:r>
              <w:rPr>
                <w:rFonts w:ascii="宋体" w:hAnsi="宋体" w:cs="宋体" w:eastAsia="宋体" w:hint="default"/>
                <w:sz w:val="18"/>
                <w:szCs w:val="18"/>
              </w:rPr>
              <w:t>永续债股利</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5,277,031.00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5,277,031.00</w:t>
            </w:r>
          </w:p>
        </w:tc>
      </w:tr>
    </w:tbl>
    <w:p>
      <w:pPr>
        <w:pStyle w:val="BodyText"/>
        <w:spacing w:line="408" w:lineRule="auto" w:before="63"/>
        <w:ind w:right="1117"/>
        <w:jc w:val="left"/>
      </w:pPr>
      <w:r>
        <w:rPr/>
        <w:t>其他说明，包括重要的超过</w:t>
      </w:r>
      <w:r>
        <w:rPr>
          <w:spacing w:val="-65"/>
        </w:rPr>
        <w:t> </w:t>
      </w:r>
      <w:r>
        <w:rPr>
          <w:rFonts w:ascii="宋体" w:hAnsi="宋体" w:cs="宋体" w:eastAsia="宋体" w:hint="default"/>
        </w:rPr>
        <w:t>1</w:t>
      </w:r>
      <w:r>
        <w:rPr>
          <w:rFonts w:ascii="宋体" w:hAnsi="宋体" w:cs="宋体" w:eastAsia="宋体" w:hint="default"/>
          <w:spacing w:val="-64"/>
        </w:rPr>
        <w:t> </w:t>
      </w:r>
      <w:r>
        <w:rPr/>
        <w:t>年未支付的应付股利，应披露未支付原因：期末应付股利余额为子公司索瑞 电气的未付股利。</w:t>
      </w:r>
    </w:p>
    <w:p>
      <w:pPr>
        <w:spacing w:line="240" w:lineRule="auto" w:before="6"/>
        <w:rPr>
          <w:rFonts w:ascii="宋体" w:hAnsi="宋体" w:cs="宋体" w:eastAsia="宋体" w:hint="default"/>
          <w:sz w:val="20"/>
          <w:szCs w:val="20"/>
        </w:rPr>
      </w:pPr>
    </w:p>
    <w:p>
      <w:pPr>
        <w:pStyle w:val="Heading4"/>
        <w:spacing w:line="240" w:lineRule="auto"/>
        <w:ind w:right="1121"/>
        <w:jc w:val="left"/>
        <w:rPr>
          <w:b w:val="0"/>
          <w:bCs w:val="0"/>
        </w:rPr>
      </w:pPr>
      <w:bookmarkStart w:name="41、其他应付款" w:id="334"/>
      <w:bookmarkEnd w:id="334"/>
      <w:r>
        <w:rPr>
          <w:b w:val="0"/>
          <w:bCs w:val="0"/>
        </w:rPr>
      </w:r>
      <w:r>
        <w:rPr>
          <w:rFonts w:ascii="宋体" w:hAnsi="宋体" w:cs="宋体" w:eastAsia="宋体" w:hint="default"/>
        </w:rPr>
        <w:t>41</w:t>
      </w:r>
      <w:r>
        <w:rPr/>
        <w:t>、其他应付款</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40" w:bottom="1180" w:left="0" w:right="0"/>
        </w:sectPr>
      </w:pPr>
    </w:p>
    <w:p>
      <w:pPr>
        <w:pStyle w:val="Heading4"/>
        <w:spacing w:line="240" w:lineRule="auto" w:before="35"/>
        <w:ind w:right="0"/>
        <w:jc w:val="left"/>
        <w:rPr>
          <w:b w:val="0"/>
          <w:bCs w:val="0"/>
        </w:rPr>
      </w:pPr>
      <w:bookmarkStart w:name="（1）按款项性质列示其他应付款" w:id="335"/>
      <w:bookmarkEnd w:id="335"/>
      <w:r>
        <w:rPr>
          <w:b w:val="0"/>
          <w:bCs w:val="0"/>
        </w:rPr>
      </w:r>
      <w:r>
        <w:rPr>
          <w:w w:val="95"/>
        </w:rPr>
        <w:t>（</w:t>
      </w:r>
      <w:r>
        <w:rPr>
          <w:rFonts w:ascii="宋体" w:hAnsi="宋体" w:cs="宋体" w:eastAsia="宋体" w:hint="default"/>
          <w:w w:val="95"/>
        </w:rPr>
        <w:t>1</w:t>
      </w:r>
      <w:r>
        <w:rPr>
          <w:w w:val="95"/>
        </w:rPr>
        <w:t>）按款项性质列示其他应付款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191" w:space="4729"/>
            <w:col w:w="2990"/>
          </w:cols>
        </w:sectPr>
      </w:pP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4,626,147.03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上市公司法披媒体费用</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80,000.00</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752,745.00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419,640.66</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费用报销</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978,239.75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1,874,635.29</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股权支付回购义务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54,032,100.00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95,452,000.00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431,263.17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20,000,000.00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4,512,480.33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5,198,159.47</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60,706,828.25</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127,650,582.45</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17"/>
        <w:jc w:val="left"/>
        <w:rPr>
          <w:b w:val="0"/>
          <w:bCs w:val="0"/>
        </w:rPr>
      </w:pPr>
      <w:bookmarkStart w:name="（2）账龄超过1年的重要其他应付款" w:id="336"/>
      <w:bookmarkEnd w:id="336"/>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613" w:space="4307"/>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54,032,100.00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未到偿还条件</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54,032,100.00</w:t>
            </w:r>
          </w:p>
        </w:tc>
        <w:tc>
          <w:tcPr>
            <w:tcW w:w="318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1"/>
          <w:szCs w:val="11"/>
        </w:rPr>
      </w:pPr>
    </w:p>
    <w:p>
      <w:pPr>
        <w:pStyle w:val="BodyText"/>
        <w:spacing w:line="240" w:lineRule="auto" w:before="35"/>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18" w:firstLine="420"/>
        <w:jc w:val="left"/>
      </w:pPr>
      <w:r>
        <w:rPr/>
        <w:t>其他应付款期末较期初减少</w:t>
      </w:r>
      <w:r>
        <w:rPr>
          <w:spacing w:val="-64"/>
        </w:rPr>
        <w:t> </w:t>
      </w:r>
      <w:r>
        <w:rPr>
          <w:rFonts w:ascii="宋体" w:hAnsi="宋体" w:cs="宋体" w:eastAsia="宋体" w:hint="default"/>
        </w:rPr>
        <w:t>66,943,754.20</w:t>
      </w:r>
      <w:r>
        <w:rPr>
          <w:rFonts w:ascii="宋体" w:hAnsi="宋体" w:cs="宋体" w:eastAsia="宋体" w:hint="default"/>
          <w:spacing w:val="-64"/>
        </w:rPr>
        <w:t> </w:t>
      </w:r>
      <w:r>
        <w:rPr>
          <w:spacing w:val="-6"/>
        </w:rPr>
        <w:t>元，减少比例为</w:t>
      </w:r>
      <w:r>
        <w:rPr>
          <w:spacing w:val="-65"/>
        </w:rPr>
        <w:t> </w:t>
      </w:r>
      <w:r>
        <w:rPr>
          <w:rFonts w:ascii="宋体" w:hAnsi="宋体" w:cs="宋体" w:eastAsia="宋体" w:hint="default"/>
        </w:rPr>
        <w:t>52.44%</w:t>
      </w:r>
      <w:r>
        <w:rPr/>
        <w:t>，主要系报告期内限制性股票解锁 导致回购义务减少以及四川倍施特科技股份有限公司债务减少所致。</w:t>
      </w:r>
    </w:p>
    <w:p>
      <w:pPr>
        <w:spacing w:after="0" w:line="408" w:lineRule="auto"/>
        <w:jc w:val="left"/>
        <w:sectPr>
          <w:type w:val="continuous"/>
          <w:pgSz w:w="11910" w:h="16840"/>
          <w:pgMar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42、持有待售的负债" w:id="337"/>
      <w:bookmarkEnd w:id="337"/>
      <w:r>
        <w:rPr>
          <w:b w:val="0"/>
          <w:bCs w:val="0"/>
        </w:rPr>
      </w:r>
      <w:r>
        <w:rPr>
          <w:rFonts w:ascii="宋体" w:hAnsi="宋体" w:cs="宋体" w:eastAsia="宋体" w:hint="default"/>
        </w:rPr>
        <w:t>42</w:t>
      </w:r>
      <w:r>
        <w:rPr/>
        <w:t>、持有待售的负债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01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3、一年内到期的非流动负债" w:id="338"/>
      <w:bookmarkEnd w:id="338"/>
      <w:r>
        <w:rPr>
          <w:rFonts w:ascii="宋体" w:hAnsi="宋体" w:cs="宋体" w:eastAsia="宋体" w:hint="default"/>
          <w:sz w:val="21"/>
          <w:szCs w:val="21"/>
        </w:rPr>
      </w:r>
      <w:r>
        <w:rPr>
          <w:rFonts w:ascii="宋体" w:hAnsi="宋体" w:cs="宋体" w:eastAsia="宋体"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before="3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172,113,648.60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63,003,420.51</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172,113,648.60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63,003,420.51</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21" w:firstLine="420"/>
        <w:jc w:val="left"/>
      </w:pPr>
      <w:r>
        <w:rPr/>
        <w:t>一年内到期的非流动负债期末较期初增加</w:t>
      </w:r>
      <w:r>
        <w:rPr>
          <w:spacing w:val="-50"/>
        </w:rPr>
        <w:t> </w:t>
      </w:r>
      <w:r>
        <w:rPr>
          <w:rFonts w:ascii="宋体" w:hAnsi="宋体" w:cs="宋体" w:eastAsia="宋体" w:hint="default"/>
        </w:rPr>
        <w:t>109,110,228.09</w:t>
      </w:r>
      <w:r>
        <w:rPr>
          <w:rFonts w:ascii="宋体" w:hAnsi="宋体" w:cs="宋体" w:eastAsia="宋体" w:hint="default"/>
          <w:spacing w:val="-51"/>
        </w:rPr>
        <w:t> </w:t>
      </w:r>
      <w:r>
        <w:rPr>
          <w:spacing w:val="-6"/>
        </w:rPr>
        <w:t>元，增长比例为</w:t>
      </w:r>
      <w:r>
        <w:rPr>
          <w:spacing w:val="-50"/>
        </w:rPr>
        <w:t> </w:t>
      </w:r>
      <w:r>
        <w:rPr>
          <w:rFonts w:ascii="宋体" w:hAnsi="宋体" w:cs="宋体" w:eastAsia="宋体" w:hint="default"/>
          <w:spacing w:val="-3"/>
        </w:rPr>
        <w:t>173.18%</w:t>
      </w:r>
      <w:r>
        <w:rPr>
          <w:spacing w:val="-3"/>
        </w:rPr>
        <w:t>，主要系当年新增</w:t>
      </w:r>
      <w:r>
        <w:rPr/>
        <w:t> 并购贷长期借款将于次年到期重分类转入增加。</w:t>
      </w:r>
    </w:p>
    <w:p>
      <w:pPr>
        <w:pStyle w:val="Heading4"/>
        <w:spacing w:line="240" w:lineRule="auto" w:before="46"/>
        <w:ind w:right="1121"/>
        <w:jc w:val="left"/>
        <w:rPr>
          <w:b w:val="0"/>
          <w:bCs w:val="0"/>
        </w:rPr>
      </w:pPr>
      <w:bookmarkStart w:name="44、其他流动负债" w:id="339"/>
      <w:bookmarkEnd w:id="339"/>
      <w:r>
        <w:rPr>
          <w:b w:val="0"/>
          <w:bCs w:val="0"/>
        </w:rPr>
      </w:r>
      <w:r>
        <w:rPr>
          <w:rFonts w:ascii="宋体" w:hAnsi="宋体" w:cs="宋体" w:eastAsia="宋体" w:hint="default"/>
        </w:rPr>
        <w:t>44</w:t>
      </w:r>
      <w:r>
        <w:rPr/>
        <w:t>、其他流动负债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5、长期借款" w:id="340"/>
      <w:bookmarkEnd w:id="340"/>
      <w:r>
        <w:rPr>
          <w:rFonts w:ascii="宋体" w:hAnsi="宋体" w:cs="宋体" w:eastAsia="宋体" w:hint="default"/>
          <w:sz w:val="21"/>
          <w:szCs w:val="21"/>
        </w:rPr>
      </w:r>
      <w:r>
        <w:rPr>
          <w:rFonts w:ascii="宋体" w:hAnsi="宋体" w:cs="宋体" w:eastAsia="宋体"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Heading4"/>
        <w:spacing w:line="240" w:lineRule="auto" w:before="46"/>
        <w:ind w:right="1121"/>
        <w:jc w:val="left"/>
        <w:rPr>
          <w:b w:val="0"/>
          <w:bCs w:val="0"/>
        </w:rPr>
      </w:pPr>
      <w:bookmarkStart w:name="（1）长期借款分类" w:id="341"/>
      <w:bookmarkEnd w:id="341"/>
      <w:r>
        <w:rPr>
          <w:b w:val="0"/>
          <w:bCs w:val="0"/>
        </w:rPr>
      </w:r>
      <w:r>
        <w:rPr/>
        <w:t>（</w:t>
      </w:r>
      <w:r>
        <w:rPr>
          <w:rFonts w:ascii="宋体" w:hAnsi="宋体" w:cs="宋体" w:eastAsia="宋体" w:hint="default"/>
        </w:rPr>
        <w:t>1</w:t>
      </w:r>
      <w:r>
        <w:rPr/>
        <w:t>）长期借款分类</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100,407,029.20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47,155,336.29</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20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15,000,000.00</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100,407,029.20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62,155,336.29</w:t>
            </w:r>
          </w:p>
        </w:tc>
      </w:tr>
    </w:tbl>
    <w:p>
      <w:pPr>
        <w:pStyle w:val="BodyText"/>
        <w:spacing w:line="240" w:lineRule="auto" w:before="63"/>
        <w:ind w:left="1134" w:right="1121"/>
        <w:jc w:val="left"/>
      </w:pPr>
      <w:r>
        <w:rPr/>
        <w:t>长期借款分类的说明：</w:t>
      </w:r>
    </w:p>
    <w:p>
      <w:pPr>
        <w:spacing w:line="240" w:lineRule="auto" w:before="10"/>
        <w:rPr>
          <w:rFonts w:ascii="宋体" w:hAnsi="宋体" w:cs="宋体" w:eastAsia="宋体" w:hint="default"/>
          <w:sz w:val="14"/>
          <w:szCs w:val="14"/>
        </w:rPr>
      </w:pPr>
    </w:p>
    <w:p>
      <w:pPr>
        <w:pStyle w:val="BodyText"/>
        <w:spacing w:line="240" w:lineRule="auto" w:before="0"/>
        <w:ind w:left="1557" w:right="0"/>
        <w:jc w:val="left"/>
      </w:pPr>
      <w:r>
        <w:rPr/>
        <w:t>①</w:t>
      </w:r>
      <w:r>
        <w:rPr>
          <w:rFonts w:ascii="宋体" w:hAnsi="宋体" w:cs="宋体" w:eastAsia="宋体" w:hint="default"/>
        </w:rPr>
        <w:t>2014</w:t>
      </w:r>
      <w:r>
        <w:rPr>
          <w:rFonts w:ascii="宋体" w:hAnsi="宋体" w:cs="宋体" w:eastAsia="宋体" w:hint="default"/>
          <w:spacing w:val="-48"/>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w:t>
      </w:r>
      <w:r>
        <w:rPr>
          <w:spacing w:val="-49"/>
        </w:rPr>
        <w:t> </w:t>
      </w:r>
      <w:r>
        <w:rPr>
          <w:rFonts w:ascii="宋体" w:hAnsi="宋体" w:cs="宋体" w:eastAsia="宋体" w:hint="default"/>
        </w:rPr>
        <w:t>24</w:t>
      </w:r>
      <w:r>
        <w:rPr>
          <w:rFonts w:ascii="宋体" w:hAnsi="宋体" w:cs="宋体" w:eastAsia="宋体" w:hint="default"/>
          <w:spacing w:val="-48"/>
        </w:rPr>
        <w:t> </w:t>
      </w:r>
      <w:r>
        <w:rPr/>
        <w:t>日，光一科技股份有限公司与招商银行南京月牙湖支行签订固定资产借款合同，借</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款本金</w:t>
      </w:r>
      <w:r>
        <w:rPr>
          <w:spacing w:val="-64"/>
        </w:rPr>
        <w:t> </w:t>
      </w:r>
      <w:r>
        <w:rPr>
          <w:rFonts w:ascii="宋体" w:hAnsi="宋体" w:cs="宋体" w:eastAsia="宋体" w:hint="default"/>
        </w:rPr>
        <w:t>44,160,677.80</w:t>
      </w:r>
      <w:r>
        <w:rPr>
          <w:rFonts w:ascii="宋体" w:hAnsi="宋体" w:cs="宋体" w:eastAsia="宋体" w:hint="default"/>
          <w:spacing w:val="-64"/>
        </w:rPr>
        <w:t> </w:t>
      </w:r>
      <w:r>
        <w:rPr/>
        <w:t>元，由江苏光一投资管理有限责任公司与实际控制人龙昌明先生共同提高最高额保</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t>证担保，不可撤销担保的担保合同编号【</w:t>
      </w:r>
      <w:r>
        <w:rPr>
          <w:rFonts w:ascii="宋体" w:hAnsi="宋体" w:cs="宋体" w:eastAsia="宋体" w:hint="default"/>
        </w:rPr>
        <w:t>2014</w:t>
      </w:r>
      <w:r>
        <w:rPr>
          <w:rFonts w:ascii="宋体" w:hAnsi="宋体" w:cs="宋体" w:eastAsia="宋体" w:hint="default"/>
          <w:spacing w:val="-26"/>
        </w:rPr>
        <w:t> </w:t>
      </w:r>
      <w:r>
        <w:rPr/>
        <w:t>年保字第</w:t>
      </w:r>
      <w:r>
        <w:rPr>
          <w:spacing w:val="-26"/>
        </w:rPr>
        <w:t> </w:t>
      </w:r>
      <w:r>
        <w:rPr>
          <w:rFonts w:ascii="宋体" w:hAnsi="宋体" w:cs="宋体" w:eastAsia="宋体" w:hint="default"/>
        </w:rPr>
        <w:t>110712829-1</w:t>
      </w:r>
      <w:r>
        <w:rPr>
          <w:rFonts w:ascii="宋体" w:hAnsi="宋体" w:cs="宋体" w:eastAsia="宋体" w:hint="default"/>
          <w:spacing w:val="-27"/>
        </w:rPr>
        <w:t> </w:t>
      </w:r>
      <w:r>
        <w:rPr/>
        <w:t>号</w:t>
      </w:r>
      <w:r>
        <w:rPr>
          <w:spacing w:val="-105"/>
        </w:rPr>
        <w:t>】，</w:t>
      </w:r>
      <w:r>
        <w:rPr>
          <w:spacing w:val="-1"/>
        </w:rPr>
        <w:t>【</w:t>
      </w:r>
      <w:r>
        <w:rPr>
          <w:rFonts w:ascii="宋体" w:hAnsi="宋体" w:cs="宋体" w:eastAsia="宋体" w:hint="default"/>
        </w:rPr>
        <w:t>2014</w:t>
      </w:r>
      <w:r>
        <w:rPr>
          <w:rFonts w:ascii="宋体" w:hAnsi="宋体" w:cs="宋体" w:eastAsia="宋体" w:hint="default"/>
          <w:spacing w:val="-26"/>
        </w:rPr>
        <w:t> </w:t>
      </w:r>
      <w:r>
        <w:rPr/>
        <w:t>年保字第</w:t>
      </w:r>
      <w:r>
        <w:rPr>
          <w:spacing w:val="-26"/>
        </w:rPr>
        <w:t> </w:t>
      </w:r>
      <w:r>
        <w:rPr>
          <w:rFonts w:ascii="宋体" w:hAnsi="宋体" w:cs="宋体" w:eastAsia="宋体" w:hint="default"/>
        </w:rPr>
        <w:t>110712829-2</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t>号</w:t>
      </w:r>
      <w:r>
        <w:rPr>
          <w:spacing w:val="-105"/>
        </w:rPr>
        <w:t>】</w:t>
      </w:r>
      <w:r>
        <w:rPr/>
        <w:t>。其中</w:t>
      </w:r>
      <w:r>
        <w:rPr>
          <w:spacing w:val="-2"/>
        </w:rPr>
        <w:t>划</w:t>
      </w:r>
      <w:r>
        <w:rPr/>
        <w:t>分至一年内到期的非流动负债的金额为</w:t>
      </w:r>
      <w:r>
        <w:rPr>
          <w:spacing w:val="-52"/>
        </w:rPr>
        <w:t> </w:t>
      </w:r>
      <w:r>
        <w:rPr>
          <w:rFonts w:ascii="宋体" w:hAnsi="宋体" w:cs="宋体" w:eastAsia="宋体" w:hint="default"/>
        </w:rPr>
        <w:t>27,613,648.60</w:t>
      </w:r>
      <w:r>
        <w:rPr>
          <w:rFonts w:ascii="宋体" w:hAnsi="宋体" w:cs="宋体" w:eastAsia="宋体" w:hint="default"/>
          <w:spacing w:val="-52"/>
        </w:rPr>
        <w:t> </w:t>
      </w:r>
      <w:r>
        <w:rPr/>
        <w:t>元。</w:t>
      </w:r>
    </w:p>
    <w:p>
      <w:pPr>
        <w:spacing w:line="240" w:lineRule="auto" w:before="10"/>
        <w:rPr>
          <w:rFonts w:ascii="宋体" w:hAnsi="宋体" w:cs="宋体" w:eastAsia="宋体" w:hint="default"/>
          <w:sz w:val="14"/>
          <w:szCs w:val="14"/>
        </w:rPr>
      </w:pPr>
    </w:p>
    <w:p>
      <w:pPr>
        <w:pStyle w:val="BodyText"/>
        <w:spacing w:line="408" w:lineRule="auto" w:before="0"/>
        <w:ind w:right="1118" w:firstLine="423"/>
        <w:jc w:val="left"/>
      </w:pPr>
      <w:r>
        <w:rPr/>
        <w:t>②</w:t>
      </w:r>
      <w:r>
        <w:rPr>
          <w:rFonts w:ascii="宋体" w:hAnsi="宋体" w:cs="宋体" w:eastAsia="宋体" w:hint="default"/>
        </w:rPr>
        <w:t>2017</w:t>
      </w:r>
      <w:r>
        <w:rPr>
          <w:rFonts w:ascii="宋体" w:hAnsi="宋体" w:cs="宋体" w:eastAsia="宋体" w:hint="default"/>
          <w:spacing w:val="-48"/>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w:t>
      </w:r>
      <w:r>
        <w:rPr>
          <w:spacing w:val="-49"/>
        </w:rPr>
        <w:t> </w:t>
      </w:r>
      <w:r>
        <w:rPr>
          <w:rFonts w:ascii="宋体" w:hAnsi="宋体" w:cs="宋体" w:eastAsia="宋体" w:hint="default"/>
        </w:rPr>
        <w:t>14</w:t>
      </w:r>
      <w:r>
        <w:rPr>
          <w:rFonts w:ascii="宋体" w:hAnsi="宋体" w:cs="宋体" w:eastAsia="宋体" w:hint="default"/>
          <w:spacing w:val="-48"/>
        </w:rPr>
        <w:t> </w:t>
      </w:r>
      <w:r>
        <w:rPr/>
        <w:t>日，光一科技股份有限公司与中国民生银行股份有限公司南京分行签订的并购贷款 合同，收购湖北索瑞电气有限公司少数股东任昌兆持有的</w:t>
      </w:r>
      <w:r>
        <w:rPr>
          <w:spacing w:val="-43"/>
        </w:rPr>
        <w:t> </w:t>
      </w:r>
      <w:r>
        <w:rPr>
          <w:rFonts w:ascii="宋体" w:hAnsi="宋体" w:cs="宋体" w:eastAsia="宋体" w:hint="default"/>
        </w:rPr>
        <w:t>15.18%</w:t>
      </w:r>
      <w:r>
        <w:rPr/>
        <w:t>股权，借款金额为</w:t>
      </w:r>
      <w:r>
        <w:rPr>
          <w:spacing w:val="-44"/>
        </w:rPr>
        <w:t> </w:t>
      </w:r>
      <w:r>
        <w:rPr>
          <w:rFonts w:ascii="宋体" w:hAnsi="宋体" w:cs="宋体" w:eastAsia="宋体" w:hint="default"/>
        </w:rPr>
        <w:t>129,500,000.00</w:t>
      </w:r>
      <w:r>
        <w:rPr>
          <w:rFonts w:ascii="宋体" w:hAnsi="宋体" w:cs="宋体" w:eastAsia="宋体" w:hint="default"/>
          <w:spacing w:val="-43"/>
        </w:rPr>
        <w:t> </w:t>
      </w:r>
      <w:r>
        <w:rPr/>
        <w:t>元，</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left"/>
      </w:pPr>
      <w:r>
        <w:rPr>
          <w:spacing w:val="16"/>
        </w:rPr>
        <w:t>借款期限</w:t>
      </w:r>
      <w:r>
        <w:rPr>
          <w:spacing w:val="30"/>
        </w:rPr>
        <w:t> </w:t>
      </w:r>
      <w:r>
        <w:rPr>
          <w:rFonts w:ascii="宋体" w:hAnsi="宋体" w:cs="宋体" w:eastAsia="宋体" w:hint="default"/>
        </w:rPr>
        <w:t>2017.6.14-2018.12.13</w:t>
      </w:r>
      <w:r>
        <w:rPr>
          <w:rFonts w:ascii="宋体" w:hAnsi="宋体" w:cs="宋体" w:eastAsia="宋体" w:hint="default"/>
          <w:spacing w:val="-82"/>
        </w:rPr>
        <w:t> </w:t>
      </w:r>
      <w:r>
        <w:rPr/>
        <w:t>，</w:t>
      </w:r>
      <w:r>
        <w:rPr>
          <w:spacing w:val="-83"/>
        </w:rPr>
        <w:t> </w:t>
      </w:r>
      <w:r>
        <w:rPr>
          <w:spacing w:val="20"/>
        </w:rPr>
        <w:t>由江苏光一投资管理有限责任公司提供保证《</w:t>
      </w:r>
      <w:r>
        <w:rPr>
          <w:spacing w:val="-83"/>
        </w:rPr>
        <w:t> </w:t>
      </w:r>
      <w:r>
        <w:rPr>
          <w:spacing w:val="17"/>
        </w:rPr>
        <w:t>保证合同》</w:t>
      </w:r>
      <w:r>
        <w:rPr>
          <w:spacing w:val="-83"/>
        </w:rPr>
        <w:t> </w:t>
      </w:r>
      <w:r>
        <w:rPr>
          <w:spacing w:val="11"/>
        </w:rPr>
        <w:t>编号</w:t>
      </w:r>
    </w:p>
    <w:p>
      <w:pPr>
        <w:spacing w:line="240" w:lineRule="auto" w:before="10"/>
        <w:rPr>
          <w:rFonts w:ascii="宋体" w:hAnsi="宋体" w:cs="宋体" w:eastAsia="宋体" w:hint="default"/>
          <w:sz w:val="14"/>
          <w:szCs w:val="14"/>
        </w:rPr>
      </w:pPr>
    </w:p>
    <w:p>
      <w:pPr>
        <w:pStyle w:val="BodyText"/>
        <w:spacing w:line="408" w:lineRule="auto" w:before="0"/>
        <w:ind w:right="1121"/>
        <w:jc w:val="left"/>
      </w:pPr>
      <w:r>
        <w:rPr>
          <w:spacing w:val="-1"/>
        </w:rPr>
        <w:t>【</w:t>
      </w:r>
      <w:r>
        <w:rPr>
          <w:rFonts w:ascii="宋体" w:hAnsi="宋体" w:cs="宋体" w:eastAsia="宋体" w:hint="default"/>
          <w:spacing w:val="-1"/>
        </w:rPr>
        <w:t>DB1700000046653</w:t>
      </w:r>
      <w:r>
        <w:rPr>
          <w:spacing w:val="-1"/>
        </w:rPr>
        <w:t>】，由光一科技股份有限公司提供《质押合同》编号【</w:t>
      </w:r>
      <w:r>
        <w:rPr>
          <w:rFonts w:ascii="宋体" w:hAnsi="宋体" w:cs="宋体" w:eastAsia="宋体" w:hint="default"/>
          <w:spacing w:val="-1"/>
        </w:rPr>
        <w:t>DB1700000045255</w:t>
      </w:r>
      <w:r>
        <w:rPr>
          <w:spacing w:val="-1"/>
        </w:rPr>
        <w:t>】。贷款金额</w:t>
      </w:r>
      <w:r>
        <w:rPr>
          <w:spacing w:val="-90"/>
        </w:rPr>
        <w:t> </w:t>
      </w:r>
      <w:r>
        <w:rPr>
          <w:spacing w:val="-90"/>
        </w:rPr>
      </w:r>
      <w:r>
        <w:rPr>
          <w:rFonts w:ascii="宋体" w:hAnsi="宋体" w:cs="宋体" w:eastAsia="宋体" w:hint="default"/>
        </w:rPr>
        <w:t>129,500,000.00</w:t>
      </w:r>
      <w:r>
        <w:rPr>
          <w:rFonts w:ascii="宋体" w:hAnsi="宋体" w:cs="宋体" w:eastAsia="宋体" w:hint="default"/>
          <w:spacing w:val="-54"/>
        </w:rPr>
        <w:t> </w:t>
      </w:r>
      <w:r>
        <w:rPr/>
        <w:t>元划分至一年内到期的非流动负债。</w:t>
      </w:r>
    </w:p>
    <w:p>
      <w:pPr>
        <w:pStyle w:val="BodyText"/>
        <w:spacing w:line="240" w:lineRule="auto"/>
        <w:ind w:left="0" w:right="1132"/>
        <w:jc w:val="right"/>
      </w:pPr>
      <w:r>
        <w:rPr/>
        <w:t>③</w:t>
      </w:r>
      <w:r>
        <w:rPr>
          <w:rFonts w:ascii="宋体" w:hAnsi="宋体" w:cs="宋体" w:eastAsia="宋体" w:hint="default"/>
        </w:rPr>
        <w:t>2017</w:t>
      </w:r>
      <w:r>
        <w:rPr>
          <w:rFonts w:ascii="宋体" w:hAnsi="宋体" w:cs="宋体" w:eastAsia="宋体" w:hint="default"/>
          <w:spacing w:val="-48"/>
        </w:rPr>
        <w:t> </w:t>
      </w:r>
      <w:r>
        <w:rPr/>
        <w:t>年</w:t>
      </w:r>
      <w:r>
        <w:rPr>
          <w:spacing w:val="-49"/>
        </w:rPr>
        <w:t> </w:t>
      </w:r>
      <w:r>
        <w:rPr>
          <w:rFonts w:ascii="宋体" w:hAnsi="宋体" w:cs="宋体" w:eastAsia="宋体" w:hint="default"/>
        </w:rPr>
        <w:t>9</w:t>
      </w:r>
      <w:r>
        <w:rPr>
          <w:rFonts w:ascii="宋体" w:hAnsi="宋体" w:cs="宋体" w:eastAsia="宋体" w:hint="default"/>
          <w:spacing w:val="-49"/>
        </w:rPr>
        <w:t> </w:t>
      </w:r>
      <w:r>
        <w:rPr/>
        <w:t>月</w:t>
      </w:r>
      <w:r>
        <w:rPr>
          <w:spacing w:val="-49"/>
        </w:rPr>
        <w:t> </w:t>
      </w:r>
      <w:r>
        <w:rPr>
          <w:rFonts w:ascii="宋体" w:hAnsi="宋体" w:cs="宋体" w:eastAsia="宋体" w:hint="default"/>
        </w:rPr>
        <w:t>22</w:t>
      </w:r>
      <w:r>
        <w:rPr>
          <w:rFonts w:ascii="宋体" w:hAnsi="宋体" w:cs="宋体" w:eastAsia="宋体" w:hint="default"/>
          <w:spacing w:val="-48"/>
        </w:rPr>
        <w:t> </w:t>
      </w:r>
      <w:r>
        <w:rPr/>
        <w:t>日，光一科技股份有限公司与工行江宁支行签订的固定资产借款合同及最高债权额</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t>度借款合</w:t>
      </w:r>
      <w:r>
        <w:rPr>
          <w:spacing w:val="-71"/>
        </w:rPr>
        <w:t>同</w:t>
      </w:r>
      <w:r>
        <w:rPr/>
        <w:t>《</w:t>
      </w:r>
      <w:r>
        <w:rPr>
          <w:rFonts w:ascii="宋体" w:hAnsi="宋体" w:cs="宋体" w:eastAsia="宋体" w:hint="default"/>
        </w:rPr>
        <w:t>2017</w:t>
      </w:r>
      <w:r>
        <w:rPr>
          <w:rFonts w:ascii="宋体" w:hAnsi="宋体" w:cs="宋体" w:eastAsia="宋体" w:hint="default"/>
          <w:spacing w:val="-51"/>
        </w:rPr>
        <w:t> </w:t>
      </w:r>
      <w:r>
        <w:rPr/>
        <w:t>年江</w:t>
      </w:r>
      <w:r>
        <w:rPr>
          <w:spacing w:val="-2"/>
        </w:rPr>
        <w:t>宁</w:t>
      </w:r>
      <w:r>
        <w:rPr>
          <w:rFonts w:ascii="宋体" w:hAnsi="宋体" w:cs="宋体" w:eastAsia="宋体" w:hint="default"/>
          <w:spacing w:val="-1"/>
        </w:rPr>
        <w:t>(</w:t>
      </w:r>
      <w:r>
        <w:rPr/>
        <w:t>保</w:t>
      </w:r>
      <w:r>
        <w:rPr>
          <w:rFonts w:ascii="宋体" w:hAnsi="宋体" w:cs="宋体" w:eastAsia="宋体" w:hint="default"/>
        </w:rPr>
        <w:t>)</w:t>
      </w:r>
      <w:r>
        <w:rPr/>
        <w:t>字</w:t>
      </w:r>
      <w:r>
        <w:rPr>
          <w:spacing w:val="-53"/>
        </w:rPr>
        <w:t> </w:t>
      </w:r>
      <w:r>
        <w:rPr>
          <w:rFonts w:ascii="宋体" w:hAnsi="宋体" w:cs="宋体" w:eastAsia="宋体" w:hint="default"/>
        </w:rPr>
        <w:t>0036</w:t>
      </w:r>
      <w:r>
        <w:rPr>
          <w:rFonts w:ascii="宋体" w:hAnsi="宋体" w:cs="宋体" w:eastAsia="宋体" w:hint="default"/>
          <w:spacing w:val="-54"/>
        </w:rPr>
        <w:t> </w:t>
      </w:r>
      <w:r>
        <w:rPr/>
        <w:t>号</w:t>
      </w:r>
      <w:r>
        <w:rPr>
          <w:spacing w:val="-71"/>
        </w:rPr>
        <w:t>》和</w:t>
      </w:r>
      <w:r>
        <w:rPr/>
        <w:t>《</w:t>
      </w:r>
      <w:r>
        <w:rPr>
          <w:rFonts w:ascii="宋体" w:hAnsi="宋体" w:cs="宋体" w:eastAsia="宋体" w:hint="default"/>
        </w:rPr>
        <w:t>2017</w:t>
      </w:r>
      <w:r>
        <w:rPr>
          <w:rFonts w:ascii="宋体" w:hAnsi="宋体" w:cs="宋体" w:eastAsia="宋体" w:hint="default"/>
          <w:spacing w:val="-54"/>
        </w:rPr>
        <w:t> </w:t>
      </w:r>
      <w:r>
        <w:rPr/>
        <w:t>年江宁</w:t>
      </w:r>
      <w:r>
        <w:rPr>
          <w:rFonts w:ascii="宋体" w:hAnsi="宋体" w:cs="宋体" w:eastAsia="宋体" w:hint="default"/>
        </w:rPr>
        <w:t>(</w:t>
      </w:r>
      <w:r>
        <w:rPr/>
        <w:t>保</w:t>
      </w:r>
      <w:r>
        <w:rPr>
          <w:rFonts w:ascii="宋体" w:hAnsi="宋体" w:cs="宋体" w:eastAsia="宋体" w:hint="default"/>
          <w:spacing w:val="-1"/>
        </w:rPr>
        <w:t>)</w:t>
      </w:r>
      <w:r>
        <w:rPr/>
        <w:t>字</w:t>
      </w:r>
      <w:r>
        <w:rPr>
          <w:spacing w:val="-53"/>
        </w:rPr>
        <w:t> </w:t>
      </w:r>
      <w:r>
        <w:rPr>
          <w:rFonts w:ascii="宋体" w:hAnsi="宋体" w:cs="宋体" w:eastAsia="宋体" w:hint="default"/>
        </w:rPr>
        <w:t>0036</w:t>
      </w:r>
      <w:r>
        <w:rPr>
          <w:rFonts w:ascii="宋体" w:hAnsi="宋体" w:cs="宋体" w:eastAsia="宋体" w:hint="default"/>
          <w:spacing w:val="-1"/>
        </w:rPr>
        <w:t>-</w:t>
      </w:r>
      <w:r>
        <w:rPr>
          <w:rFonts w:ascii="宋体" w:hAnsi="宋体" w:cs="宋体" w:eastAsia="宋体" w:hint="default"/>
        </w:rPr>
        <w:t>1</w:t>
      </w:r>
      <w:r>
        <w:rPr>
          <w:rFonts w:ascii="宋体" w:hAnsi="宋体" w:cs="宋体" w:eastAsia="宋体" w:hint="default"/>
          <w:spacing w:val="-52"/>
        </w:rPr>
        <w:t> </w:t>
      </w:r>
      <w:r>
        <w:rPr>
          <w:spacing w:val="-2"/>
        </w:rPr>
        <w:t>号</w:t>
      </w:r>
      <w:r>
        <w:rPr>
          <w:spacing w:val="-105"/>
        </w:rPr>
        <w:t>》</w:t>
      </w:r>
      <w:r>
        <w:rPr>
          <w:spacing w:val="-71"/>
        </w:rPr>
        <w:t>，</w:t>
      </w:r>
      <w:r>
        <w:rPr/>
        <w:t>借款金</w:t>
      </w:r>
      <w:r>
        <w:rPr>
          <w:spacing w:val="-2"/>
        </w:rPr>
        <w:t>额</w:t>
      </w:r>
      <w:r>
        <w:rPr/>
        <w:t>为</w:t>
      </w:r>
      <w:r>
        <w:rPr>
          <w:spacing w:val="-52"/>
        </w:rPr>
        <w:t> </w:t>
      </w:r>
      <w:r>
        <w:rPr>
          <w:rFonts w:ascii="宋体" w:hAnsi="宋体" w:cs="宋体" w:eastAsia="宋体" w:hint="default"/>
        </w:rPr>
        <w:t>180,000,000.00</w:t>
      </w:r>
    </w:p>
    <w:p>
      <w:pPr>
        <w:spacing w:line="240" w:lineRule="auto" w:before="10"/>
        <w:rPr>
          <w:rFonts w:ascii="宋体" w:hAnsi="宋体" w:cs="宋体" w:eastAsia="宋体" w:hint="default"/>
          <w:sz w:val="14"/>
          <w:szCs w:val="14"/>
        </w:rPr>
      </w:pPr>
    </w:p>
    <w:p>
      <w:pPr>
        <w:pStyle w:val="BodyText"/>
        <w:spacing w:line="408" w:lineRule="auto" w:before="0"/>
        <w:ind w:right="1121"/>
        <w:jc w:val="left"/>
      </w:pPr>
      <w:r>
        <w:rPr>
          <w:spacing w:val="-4"/>
        </w:rPr>
        <w:t>元，借款期限</w:t>
      </w:r>
      <w:r>
        <w:rPr>
          <w:spacing w:val="-54"/>
        </w:rPr>
        <w:t> </w:t>
      </w:r>
      <w:r>
        <w:rPr>
          <w:rFonts w:ascii="宋体" w:hAnsi="宋体" w:cs="宋体" w:eastAsia="宋体" w:hint="default"/>
        </w:rPr>
        <w:t>2017.9.22-2023.9.22</w:t>
      </w:r>
      <w:r>
        <w:rPr/>
        <w:t>，截止到</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spacing w:val="-3"/>
        </w:rPr>
        <w:t>日，已经发放贷款</w:t>
      </w:r>
      <w:r>
        <w:rPr>
          <w:spacing w:val="-54"/>
        </w:rPr>
        <w:t> </w:t>
      </w:r>
      <w:r>
        <w:rPr>
          <w:rFonts w:ascii="宋体" w:hAnsi="宋体" w:cs="宋体" w:eastAsia="宋体" w:hint="default"/>
        </w:rPr>
        <w:t>83,860,000.00</w:t>
      </w:r>
      <w:r>
        <w:rPr>
          <w:rFonts w:ascii="宋体" w:hAnsi="宋体" w:cs="宋体" w:eastAsia="宋体" w:hint="default"/>
          <w:spacing w:val="-54"/>
        </w:rPr>
        <w:t> </w:t>
      </w:r>
      <w:r>
        <w:rPr>
          <w:spacing w:val="-6"/>
        </w:rPr>
        <w:t>元。由湖</w:t>
      </w:r>
      <w:r>
        <w:rPr/>
        <w:t> 北索瑞电气有限公司，龙昌明以及熊珂作为担保人并且承担连带保证责任。</w:t>
      </w:r>
    </w:p>
    <w:p>
      <w:pPr>
        <w:pStyle w:val="Heading4"/>
        <w:spacing w:line="240" w:lineRule="auto" w:before="46"/>
        <w:ind w:left="1133" w:right="1121"/>
        <w:jc w:val="left"/>
        <w:rPr>
          <w:b w:val="0"/>
          <w:bCs w:val="0"/>
        </w:rPr>
      </w:pPr>
      <w:bookmarkStart w:name="46、应付债券" w:id="342"/>
      <w:bookmarkEnd w:id="342"/>
      <w:r>
        <w:rPr>
          <w:b w:val="0"/>
          <w:bCs w:val="0"/>
        </w:rPr>
      </w:r>
      <w:r>
        <w:rPr>
          <w:rFonts w:ascii="宋体" w:hAnsi="宋体" w:cs="宋体" w:eastAsia="宋体" w:hint="default"/>
        </w:rPr>
        <w:t>46</w:t>
      </w:r>
      <w:r>
        <w:rPr/>
        <w:t>、应付债券</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7、长期应付款" w:id="343"/>
      <w:bookmarkEnd w:id="343"/>
      <w:r>
        <w:rPr>
          <w:rFonts w:ascii="宋体" w:hAnsi="宋体" w:cs="宋体" w:eastAsia="宋体" w:hint="default"/>
          <w:sz w:val="21"/>
          <w:szCs w:val="21"/>
        </w:rPr>
      </w:r>
      <w:r>
        <w:rPr>
          <w:rFonts w:ascii="宋体" w:hAnsi="宋体" w:cs="宋体" w:eastAsia="宋体"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408" w:lineRule="auto" w:before="46"/>
        <w:ind w:left="1134" w:right="864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8、长期应付职工薪酬" w:id="344"/>
      <w:bookmarkEnd w:id="344"/>
      <w:r>
        <w:rPr>
          <w:rFonts w:ascii="宋体" w:hAnsi="宋体" w:cs="宋体" w:eastAsia="宋体" w:hint="default"/>
          <w:sz w:val="21"/>
          <w:szCs w:val="21"/>
        </w:rPr>
      </w:r>
      <w:r>
        <w:rPr>
          <w:rFonts w:ascii="宋体" w:hAnsi="宋体" w:cs="宋体" w:eastAsia="宋体"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9、专项应付款" w:id="345"/>
      <w:bookmarkEnd w:id="345"/>
      <w:r>
        <w:rPr>
          <w:rFonts w:ascii="宋体" w:hAnsi="宋体" w:cs="宋体" w:eastAsia="宋体" w:hint="default"/>
          <w:sz w:val="21"/>
          <w:szCs w:val="21"/>
        </w:rPr>
      </w:r>
      <w:r>
        <w:rPr>
          <w:rFonts w:ascii="宋体" w:hAnsi="宋体" w:cs="宋体" w:eastAsia="宋体"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0、预计负债" w:id="346"/>
      <w:bookmarkEnd w:id="346"/>
      <w:r>
        <w:rPr>
          <w:rFonts w:ascii="宋体" w:hAnsi="宋体" w:cs="宋体" w:eastAsia="宋体" w:hint="default"/>
          <w:sz w:val="21"/>
          <w:szCs w:val="21"/>
        </w:rPr>
      </w:r>
      <w:r>
        <w:rPr>
          <w:rFonts w:ascii="宋体" w:hAnsi="宋体" w:cs="宋体" w:eastAsia="宋体"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1、递延收益" w:id="347"/>
      <w:bookmarkEnd w:id="347"/>
      <w:r>
        <w:rPr>
          <w:rFonts w:ascii="宋体" w:hAnsi="宋体" w:cs="宋体" w:eastAsia="宋体" w:hint="default"/>
          <w:sz w:val="21"/>
          <w:szCs w:val="21"/>
        </w:rPr>
      </w:r>
      <w:r>
        <w:rPr>
          <w:rFonts w:ascii="宋体" w:hAnsi="宋体" w:cs="宋体" w:eastAsia="宋体"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983" w:type="dxa"/>
        <w:tblLayout w:type="fixed"/>
        <w:tblCellMar>
          <w:top w:w="0" w:type="dxa"/>
          <w:left w:w="0" w:type="dxa"/>
          <w:bottom w:w="0" w:type="dxa"/>
          <w:right w:w="0" w:type="dxa"/>
        </w:tblCellMar>
        <w:tblLook w:val="01E0"/>
      </w:tblPr>
      <w:tblGrid>
        <w:gridCol w:w="1719"/>
        <w:gridCol w:w="1606"/>
        <w:gridCol w:w="1347"/>
        <w:gridCol w:w="1418"/>
        <w:gridCol w:w="1418"/>
        <w:gridCol w:w="2194"/>
      </w:tblGrid>
      <w:tr>
        <w:trPr>
          <w:trHeight w:val="415" w:hRule="exact"/>
        </w:trPr>
        <w:tc>
          <w:tcPr>
            <w:tcW w:w="17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7" w:hRule="exact"/>
        </w:trPr>
        <w:tc>
          <w:tcPr>
            <w:tcW w:w="17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6"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16,406,925.79</w:t>
            </w:r>
          </w:p>
        </w:tc>
        <w:tc>
          <w:tcPr>
            <w:tcW w:w="134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sz w:val="18"/>
              </w:rPr>
              <w:t>3,747,506.90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12,659,418.89</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根据受益期计入其他收益</w:t>
            </w:r>
          </w:p>
        </w:tc>
      </w:tr>
      <w:tr>
        <w:trPr>
          <w:trHeight w:val="415" w:hRule="exact"/>
        </w:trPr>
        <w:tc>
          <w:tcPr>
            <w:tcW w:w="17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1"/>
              <w:ind w:left="398" w:right="0"/>
              <w:jc w:val="left"/>
              <w:rPr>
                <w:rFonts w:ascii="宋体" w:hAnsi="宋体" w:cs="宋体" w:eastAsia="宋体" w:hint="default"/>
                <w:sz w:val="18"/>
                <w:szCs w:val="18"/>
              </w:rPr>
            </w:pPr>
            <w:r>
              <w:rPr>
                <w:rFonts w:ascii="宋体"/>
                <w:sz w:val="18"/>
              </w:rPr>
              <w:t>16,406,925.79</w:t>
            </w:r>
          </w:p>
        </w:tc>
        <w:tc>
          <w:tcPr>
            <w:tcW w:w="1347"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sz w:val="18"/>
              </w:rPr>
              <w:t>3,747,506.90</w:t>
            </w:r>
          </w:p>
        </w:tc>
        <w:tc>
          <w:tcPr>
            <w:tcW w:w="1418"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12,659,418.89</w:t>
            </w:r>
          </w:p>
        </w:tc>
        <w:tc>
          <w:tcPr>
            <w:tcW w:w="2194"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747" w:footer="1000" w:top="1040" w:bottom="1180" w:left="0" w:right="0"/>
        </w:sectPr>
      </w:pPr>
    </w:p>
    <w:p>
      <w:pPr>
        <w:pStyle w:val="BodyText"/>
        <w:spacing w:line="240" w:lineRule="auto" w:before="35"/>
        <w:ind w:left="1134" w:right="-20"/>
        <w:jc w:val="left"/>
      </w:pPr>
      <w:r>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235" w:space="5685"/>
            <w:col w:w="2990"/>
          </w:cols>
        </w:sectPr>
      </w:pPr>
    </w:p>
    <w:p>
      <w:pPr>
        <w:spacing w:line="240" w:lineRule="auto" w:before="1"/>
        <w:rPr>
          <w:rFonts w:ascii="宋体" w:hAnsi="宋体" w:cs="宋体" w:eastAsia="宋体" w:hint="default"/>
          <w:sz w:val="8"/>
          <w:szCs w:val="8"/>
        </w:rPr>
      </w:pPr>
    </w:p>
    <w:tbl>
      <w:tblPr>
        <w:tblW w:w="0" w:type="auto"/>
        <w:jc w:val="left"/>
        <w:tblInd w:w="976" w:type="dxa"/>
        <w:tblLayout w:type="fixed"/>
        <w:tblCellMar>
          <w:top w:w="0" w:type="dxa"/>
          <w:left w:w="0" w:type="dxa"/>
          <w:bottom w:w="0" w:type="dxa"/>
          <w:right w:w="0" w:type="dxa"/>
        </w:tblCellMar>
        <w:tblLook w:val="01E0"/>
      </w:tblPr>
      <w:tblGrid>
        <w:gridCol w:w="1277"/>
        <w:gridCol w:w="1276"/>
        <w:gridCol w:w="781"/>
        <w:gridCol w:w="1346"/>
        <w:gridCol w:w="994"/>
        <w:gridCol w:w="1134"/>
        <w:gridCol w:w="567"/>
        <w:gridCol w:w="1276"/>
        <w:gridCol w:w="1063"/>
      </w:tblGrid>
      <w:tr>
        <w:trPr>
          <w:trHeight w:val="725" w:hRule="exact"/>
        </w:trPr>
        <w:tc>
          <w:tcPr>
            <w:tcW w:w="127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8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3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05" w:right="33"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9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8" w:right="3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109" w:right="10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5" w:right="94"/>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4" w:right="18"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343"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3" w:right="114"/>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年度国家 智能电网产业 集聚发展试点 重点项目补助</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14,406,925.79</w:t>
            </w:r>
          </w:p>
        </w:tc>
        <w:tc>
          <w:tcPr>
            <w:tcW w:w="781" w:type="dxa"/>
            <w:tcBorders>
              <w:top w:val="single" w:sz="6" w:space="0" w:color="000000"/>
              <w:left w:val="single" w:sz="6" w:space="0" w:color="000000"/>
              <w:bottom w:val="single" w:sz="6"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3,540,328.43</w:t>
            </w:r>
          </w:p>
        </w:tc>
        <w:tc>
          <w:tcPr>
            <w:tcW w:w="99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sz w:val="18"/>
              </w:rPr>
              <w:t>10,866,597.36</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28" w:hRule="exact"/>
        </w:trPr>
        <w:tc>
          <w:tcPr>
            <w:tcW w:w="1277"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2"/>
              <w:ind w:left="13" w:right="159"/>
              <w:jc w:val="left"/>
              <w:rPr>
                <w:rFonts w:ascii="宋体" w:hAnsi="宋体" w:cs="宋体" w:eastAsia="宋体" w:hint="default"/>
                <w:sz w:val="18"/>
                <w:szCs w:val="18"/>
              </w:rPr>
            </w:pPr>
            <w:r>
              <w:rPr>
                <w:rFonts w:ascii="宋体" w:hAnsi="宋体" w:cs="宋体" w:eastAsia="宋体" w:hint="default"/>
                <w:sz w:val="18"/>
                <w:szCs w:val="18"/>
              </w:rPr>
              <w:t>自动化改造研 究经费补助</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2,000,000.00</w:t>
            </w:r>
          </w:p>
        </w:tc>
        <w:tc>
          <w:tcPr>
            <w:tcW w:w="781" w:type="dxa"/>
            <w:tcBorders>
              <w:top w:val="single" w:sz="6" w:space="0" w:color="000000"/>
              <w:left w:val="single" w:sz="6" w:space="0" w:color="000000"/>
              <w:bottom w:val="single" w:sz="12" w:space="0" w:color="000000"/>
              <w:right w:val="single" w:sz="6" w:space="0" w:color="000000"/>
            </w:tcBorders>
          </w:tcPr>
          <w:p>
            <w:pP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207,178.47</w:t>
            </w:r>
          </w:p>
        </w:tc>
        <w:tc>
          <w:tcPr>
            <w:tcW w:w="994"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1,792,821.53</w:t>
            </w:r>
          </w:p>
        </w:tc>
        <w:tc>
          <w:tcPr>
            <w:tcW w:w="10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976" w:type="dxa"/>
        <w:tblLayout w:type="fixed"/>
        <w:tblCellMar>
          <w:top w:w="0" w:type="dxa"/>
          <w:left w:w="0" w:type="dxa"/>
          <w:bottom w:w="0" w:type="dxa"/>
          <w:right w:w="0" w:type="dxa"/>
        </w:tblCellMar>
        <w:tblLook w:val="01E0"/>
      </w:tblPr>
      <w:tblGrid>
        <w:gridCol w:w="1277"/>
        <w:gridCol w:w="1286"/>
        <w:gridCol w:w="771"/>
        <w:gridCol w:w="1345"/>
        <w:gridCol w:w="993"/>
        <w:gridCol w:w="1134"/>
        <w:gridCol w:w="557"/>
        <w:gridCol w:w="1297"/>
        <w:gridCol w:w="1046"/>
      </w:tblGrid>
      <w:tr>
        <w:trPr>
          <w:trHeight w:val="171" w:hRule="exact"/>
        </w:trPr>
        <w:tc>
          <w:tcPr>
            <w:tcW w:w="1277"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286" w:type="dxa"/>
            <w:tcBorders>
              <w:top w:val="single" w:sz="12" w:space="0" w:color="000000"/>
              <w:left w:val="single" w:sz="6" w:space="0" w:color="000000"/>
              <w:bottom w:val="nil" w:sz="6" w:space="0" w:color="auto"/>
              <w:right w:val="single" w:sz="6" w:space="0" w:color="000000"/>
            </w:tcBorders>
            <w:shd w:val="clear" w:color="auto" w:fill="D2D2D2"/>
          </w:tcPr>
          <w:p>
            <w:pPr/>
          </w:p>
        </w:tc>
        <w:tc>
          <w:tcPr>
            <w:tcW w:w="771"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13" w:right="21"/>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345"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305" w:right="33"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993"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38" w:right="3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109" w:right="10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57"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96" w:right="84"/>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97" w:type="dxa"/>
            <w:tcBorders>
              <w:top w:val="single" w:sz="12" w:space="0" w:color="000000"/>
              <w:left w:val="single" w:sz="6" w:space="0" w:color="000000"/>
              <w:bottom w:val="nil" w:sz="6" w:space="0" w:color="auto"/>
              <w:right w:val="single" w:sz="6" w:space="0" w:color="000000"/>
            </w:tcBorders>
            <w:shd w:val="clear" w:color="auto" w:fill="D2D2D2"/>
          </w:tcPr>
          <w:p>
            <w:pPr/>
          </w:p>
        </w:tc>
        <w:tc>
          <w:tcPr>
            <w:tcW w:w="1046"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51"/>
              <w:ind w:left="63" w:right="12"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392" w:hRule="exact"/>
        </w:trPr>
        <w:tc>
          <w:tcPr>
            <w:tcW w:w="1277"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771" w:type="dxa"/>
            <w:vMerge/>
            <w:tcBorders>
              <w:left w:val="single" w:sz="6" w:space="0" w:color="000000"/>
              <w:right w:val="single" w:sz="6" w:space="0" w:color="000000"/>
            </w:tcBorders>
            <w:shd w:val="clear" w:color="auto" w:fill="D2D2D2"/>
          </w:tcPr>
          <w:p>
            <w:pPr/>
          </w:p>
        </w:tc>
        <w:tc>
          <w:tcPr>
            <w:tcW w:w="1345" w:type="dxa"/>
            <w:vMerge/>
            <w:tcBorders>
              <w:left w:val="single" w:sz="6" w:space="0" w:color="000000"/>
              <w:right w:val="single" w:sz="6" w:space="0" w:color="000000"/>
            </w:tcBorders>
            <w:shd w:val="clear" w:color="auto" w:fill="D2D2D2"/>
          </w:tcPr>
          <w:p>
            <w:pPr/>
          </w:p>
        </w:tc>
        <w:tc>
          <w:tcPr>
            <w:tcW w:w="993"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557" w:type="dxa"/>
            <w:vMerge/>
            <w:tcBorders>
              <w:left w:val="single" w:sz="6" w:space="0" w:color="000000"/>
              <w:right w:val="single" w:sz="6" w:space="0" w:color="000000"/>
            </w:tcBorders>
            <w:shd w:val="clear" w:color="auto" w:fill="D2D2D2"/>
          </w:tcPr>
          <w:p>
            <w:pPr/>
          </w:p>
        </w:tc>
        <w:tc>
          <w:tcPr>
            <w:tcW w:w="129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46" w:type="dxa"/>
            <w:vMerge/>
            <w:tcBorders>
              <w:left w:val="single" w:sz="6" w:space="0" w:color="000000"/>
              <w:right w:val="single" w:sz="12" w:space="0" w:color="000000"/>
            </w:tcBorders>
            <w:shd w:val="clear" w:color="auto" w:fill="D2D2D2"/>
          </w:tcPr>
          <w:p>
            <w:pPr/>
          </w:p>
        </w:tc>
      </w:tr>
      <w:tr>
        <w:trPr>
          <w:trHeight w:val="163" w:hRule="exact"/>
        </w:trPr>
        <w:tc>
          <w:tcPr>
            <w:tcW w:w="1277" w:type="dxa"/>
            <w:tcBorders>
              <w:top w:val="nil" w:sz="6" w:space="0" w:color="auto"/>
              <w:left w:val="single" w:sz="12" w:space="0" w:color="000000"/>
              <w:bottom w:val="single" w:sz="6" w:space="0" w:color="000000"/>
              <w:right w:val="single" w:sz="6" w:space="0" w:color="000000"/>
            </w:tcBorders>
            <w:shd w:val="clear" w:color="auto" w:fill="D2D2D2"/>
          </w:tcPr>
          <w:p>
            <w:pPr/>
          </w:p>
        </w:tc>
        <w:tc>
          <w:tcPr>
            <w:tcW w:w="1286" w:type="dxa"/>
            <w:tcBorders>
              <w:top w:val="nil" w:sz="6" w:space="0" w:color="auto"/>
              <w:left w:val="single" w:sz="6" w:space="0" w:color="000000"/>
              <w:bottom w:val="single" w:sz="6" w:space="0" w:color="000000"/>
              <w:right w:val="single" w:sz="6" w:space="0" w:color="000000"/>
            </w:tcBorders>
            <w:shd w:val="clear" w:color="auto" w:fill="D2D2D2"/>
          </w:tcPr>
          <w:p>
            <w:pPr/>
          </w:p>
        </w:tc>
        <w:tc>
          <w:tcPr>
            <w:tcW w:w="771" w:type="dxa"/>
            <w:vMerge/>
            <w:tcBorders>
              <w:left w:val="single" w:sz="6" w:space="0" w:color="000000"/>
              <w:bottom w:val="single" w:sz="6" w:space="0" w:color="000000"/>
              <w:right w:val="single" w:sz="6" w:space="0" w:color="000000"/>
            </w:tcBorders>
            <w:shd w:val="clear" w:color="auto" w:fill="D2D2D2"/>
          </w:tcPr>
          <w:p>
            <w:pPr/>
          </w:p>
        </w:tc>
        <w:tc>
          <w:tcPr>
            <w:tcW w:w="1345" w:type="dxa"/>
            <w:vMerge/>
            <w:tcBorders>
              <w:left w:val="single" w:sz="6" w:space="0" w:color="000000"/>
              <w:bottom w:val="single" w:sz="6" w:space="0" w:color="000000"/>
              <w:right w:val="single" w:sz="6" w:space="0" w:color="000000"/>
            </w:tcBorders>
            <w:shd w:val="clear" w:color="auto" w:fill="D2D2D2"/>
          </w:tcPr>
          <w:p>
            <w:pPr/>
          </w:p>
        </w:tc>
        <w:tc>
          <w:tcPr>
            <w:tcW w:w="993"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557" w:type="dxa"/>
            <w:vMerge/>
            <w:tcBorders>
              <w:left w:val="single" w:sz="6" w:space="0" w:color="000000"/>
              <w:bottom w:val="single" w:sz="6" w:space="0" w:color="000000"/>
              <w:right w:val="single" w:sz="6" w:space="0" w:color="000000"/>
            </w:tcBorders>
            <w:shd w:val="clear" w:color="auto" w:fill="D2D2D2"/>
          </w:tcPr>
          <w:p>
            <w:pPr/>
          </w:p>
        </w:tc>
        <w:tc>
          <w:tcPr>
            <w:tcW w:w="129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6" w:type="dxa"/>
            <w:vMerge/>
            <w:tcBorders>
              <w:left w:val="single" w:sz="6" w:space="0" w:color="000000"/>
              <w:bottom w:val="single" w:sz="6" w:space="0" w:color="000000"/>
              <w:right w:val="single" w:sz="12" w:space="0" w:color="000000"/>
            </w:tcBorders>
            <w:shd w:val="clear" w:color="auto" w:fill="D2D2D2"/>
          </w:tcPr>
          <w:p>
            <w:pPr/>
          </w:p>
        </w:tc>
      </w:tr>
      <w:tr>
        <w:trPr>
          <w:trHeight w:val="415" w:hRule="exact"/>
        </w:trPr>
        <w:tc>
          <w:tcPr>
            <w:tcW w:w="127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29" w:right="0"/>
              <w:jc w:val="center"/>
              <w:rPr>
                <w:rFonts w:ascii="宋体" w:hAnsi="宋体" w:cs="宋体" w:eastAsia="宋体" w:hint="default"/>
                <w:sz w:val="18"/>
                <w:szCs w:val="18"/>
              </w:rPr>
            </w:pPr>
            <w:r>
              <w:rPr>
                <w:rFonts w:ascii="宋体"/>
                <w:sz w:val="18"/>
              </w:rPr>
              <w:t>16,406,925.79</w:t>
            </w:r>
          </w:p>
        </w:tc>
        <w:tc>
          <w:tcPr>
            <w:tcW w:w="771" w:type="dxa"/>
            <w:tcBorders>
              <w:top w:val="single" w:sz="6" w:space="0" w:color="000000"/>
              <w:left w:val="single" w:sz="6" w:space="0" w:color="000000"/>
              <w:bottom w:val="single" w:sz="12" w:space="0" w:color="000000"/>
              <w:right w:val="single" w:sz="6" w:space="0" w:color="000000"/>
            </w:tcBorders>
          </w:tcPr>
          <w:p>
            <w:pP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29" w:right="0"/>
              <w:jc w:val="left"/>
              <w:rPr>
                <w:rFonts w:ascii="宋体" w:hAnsi="宋体" w:cs="宋体" w:eastAsia="宋体" w:hint="default"/>
                <w:sz w:val="18"/>
                <w:szCs w:val="18"/>
              </w:rPr>
            </w:pPr>
            <w:r>
              <w:rPr>
                <w:rFonts w:ascii="宋体"/>
                <w:sz w:val="18"/>
              </w:rPr>
              <w:t>3,747,506.90</w:t>
            </w:r>
          </w:p>
        </w:tc>
        <w:tc>
          <w:tcPr>
            <w:tcW w:w="993"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57" w:type="dxa"/>
            <w:tcBorders>
              <w:top w:val="single" w:sz="6" w:space="0" w:color="000000"/>
              <w:left w:val="single" w:sz="6" w:space="0" w:color="000000"/>
              <w:bottom w:val="single" w:sz="12" w:space="0" w:color="000000"/>
              <w:right w:val="single" w:sz="6" w:space="0" w:color="000000"/>
            </w:tcBorders>
          </w:tcPr>
          <w:p>
            <w:pPr/>
          </w:p>
        </w:tc>
        <w:tc>
          <w:tcPr>
            <w:tcW w:w="1297"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1"/>
              <w:ind w:left="53" w:right="0"/>
              <w:jc w:val="center"/>
              <w:rPr>
                <w:rFonts w:ascii="宋体" w:hAnsi="宋体" w:cs="宋体" w:eastAsia="宋体" w:hint="default"/>
                <w:sz w:val="18"/>
                <w:szCs w:val="18"/>
              </w:rPr>
            </w:pPr>
            <w:r>
              <w:rPr>
                <w:rFonts w:ascii="宋体"/>
                <w:sz w:val="18"/>
              </w:rPr>
              <w:t>12,659,418.89</w:t>
            </w:r>
          </w:p>
        </w:tc>
        <w:tc>
          <w:tcPr>
            <w:tcW w:w="104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r>
    </w:tbl>
    <w:p>
      <w:pPr>
        <w:pStyle w:val="Heading4"/>
        <w:spacing w:line="240" w:lineRule="auto" w:before="63"/>
        <w:ind w:right="1121"/>
        <w:jc w:val="left"/>
        <w:rPr>
          <w:b w:val="0"/>
          <w:bCs w:val="0"/>
        </w:rPr>
      </w:pPr>
      <w:bookmarkStart w:name="52、其他非流动负债" w:id="348"/>
      <w:bookmarkEnd w:id="348"/>
      <w:r>
        <w:rPr>
          <w:b w:val="0"/>
          <w:bCs w:val="0"/>
        </w:rPr>
      </w:r>
      <w:r>
        <w:rPr>
          <w:rFonts w:ascii="宋体" w:hAnsi="宋体" w:cs="宋体" w:eastAsia="宋体" w:hint="default"/>
        </w:rPr>
        <w:t>52</w:t>
      </w:r>
      <w:r>
        <w:rPr/>
        <w:t>、其他非流动负债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3、股本" w:id="349"/>
      <w:bookmarkEnd w:id="349"/>
      <w:r>
        <w:rPr>
          <w:rFonts w:ascii="宋体" w:hAnsi="宋体" w:cs="宋体" w:eastAsia="宋体" w:hint="default"/>
          <w:sz w:val="21"/>
          <w:szCs w:val="21"/>
        </w:rPr>
      </w:r>
      <w:r>
        <w:rPr>
          <w:rFonts w:ascii="宋体" w:hAnsi="宋体" w:cs="宋体" w:eastAsia="宋体"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983" w:type="dxa"/>
        <w:tblLayout w:type="fixed"/>
        <w:tblCellMar>
          <w:top w:w="0" w:type="dxa"/>
          <w:left w:w="0" w:type="dxa"/>
          <w:bottom w:w="0" w:type="dxa"/>
          <w:right w:w="0" w:type="dxa"/>
        </w:tblCellMar>
        <w:tblLook w:val="01E0"/>
      </w:tblPr>
      <w:tblGrid>
        <w:gridCol w:w="1270"/>
        <w:gridCol w:w="1429"/>
        <w:gridCol w:w="1025"/>
        <w:gridCol w:w="665"/>
        <w:gridCol w:w="1417"/>
        <w:gridCol w:w="1134"/>
        <w:gridCol w:w="1408"/>
        <w:gridCol w:w="1355"/>
      </w:tblGrid>
      <w:tr>
        <w:trPr>
          <w:trHeight w:val="219" w:hRule="exact"/>
        </w:trPr>
        <w:tc>
          <w:tcPr>
            <w:tcW w:w="127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429" w:type="dxa"/>
            <w:tcBorders>
              <w:top w:val="single" w:sz="12" w:space="0" w:color="000000"/>
              <w:left w:val="single" w:sz="6" w:space="0" w:color="000000"/>
              <w:bottom w:val="nil" w:sz="6" w:space="0" w:color="auto"/>
              <w:right w:val="single" w:sz="6" w:space="0" w:color="000000"/>
            </w:tcBorders>
            <w:shd w:val="clear" w:color="auto" w:fill="D2D2D2"/>
          </w:tcPr>
          <w:p>
            <w:pPr/>
          </w:p>
        </w:tc>
        <w:tc>
          <w:tcPr>
            <w:tcW w:w="5650" w:type="dxa"/>
            <w:gridSpan w:val="5"/>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87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355"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270" w:type="dxa"/>
            <w:vMerge w:val="restart"/>
            <w:tcBorders>
              <w:top w:val="nil" w:sz="6" w:space="0" w:color="auto"/>
              <w:left w:val="single" w:sz="12" w:space="0" w:color="000000"/>
              <w:right w:val="single" w:sz="6" w:space="0" w:color="000000"/>
            </w:tcBorders>
            <w:shd w:val="clear" w:color="auto" w:fill="D2D2D2"/>
          </w:tcPr>
          <w:p>
            <w:pPr/>
          </w:p>
        </w:tc>
        <w:tc>
          <w:tcPr>
            <w:tcW w:w="142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50" w:type="dxa"/>
            <w:gridSpan w:val="5"/>
            <w:vMerge/>
            <w:tcBorders>
              <w:left w:val="single" w:sz="6" w:space="0" w:color="000000"/>
              <w:bottom w:val="single" w:sz="6" w:space="0" w:color="000000"/>
              <w:right w:val="single" w:sz="6" w:space="0" w:color="000000"/>
            </w:tcBorders>
            <w:shd w:val="clear" w:color="auto" w:fill="D2D2D2"/>
          </w:tcPr>
          <w:p>
            <w:pPr/>
          </w:p>
        </w:tc>
        <w:tc>
          <w:tcPr>
            <w:tcW w:w="135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270" w:type="dxa"/>
            <w:vMerge/>
            <w:tcBorders>
              <w:left w:val="single" w:sz="12" w:space="0" w:color="000000"/>
              <w:bottom w:val="nil" w:sz="6" w:space="0" w:color="auto"/>
              <w:right w:val="single" w:sz="6" w:space="0" w:color="000000"/>
            </w:tcBorders>
            <w:shd w:val="clear" w:color="auto" w:fill="D2D2D2"/>
          </w:tcPr>
          <w:p>
            <w:pPr/>
          </w:p>
        </w:tc>
        <w:tc>
          <w:tcPr>
            <w:tcW w:w="1429" w:type="dxa"/>
            <w:vMerge/>
            <w:tcBorders>
              <w:left w:val="single" w:sz="6" w:space="0" w:color="000000"/>
              <w:bottom w:val="nil" w:sz="6" w:space="0" w:color="auto"/>
              <w:right w:val="single" w:sz="6" w:space="0" w:color="000000"/>
            </w:tcBorders>
            <w:shd w:val="clear" w:color="auto" w:fill="D2D2D2"/>
          </w:tcPr>
          <w:p>
            <w:pPr/>
          </w:p>
        </w:tc>
        <w:tc>
          <w:tcPr>
            <w:tcW w:w="102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4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0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5" w:type="dxa"/>
            <w:vMerge/>
            <w:tcBorders>
              <w:left w:val="single" w:sz="6" w:space="0" w:color="000000"/>
              <w:bottom w:val="nil" w:sz="6" w:space="0" w:color="auto"/>
              <w:right w:val="single" w:sz="12" w:space="0" w:color="000000"/>
            </w:tcBorders>
            <w:shd w:val="clear" w:color="auto" w:fill="D2D2D2"/>
          </w:tcPr>
          <w:p>
            <w:pPr/>
          </w:p>
        </w:tc>
      </w:tr>
      <w:tr>
        <w:trPr>
          <w:trHeight w:val="210" w:hRule="exact"/>
        </w:trPr>
        <w:tc>
          <w:tcPr>
            <w:tcW w:w="127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29" w:type="dxa"/>
            <w:tcBorders>
              <w:top w:val="nil" w:sz="6" w:space="0" w:color="auto"/>
              <w:left w:val="single" w:sz="6" w:space="0" w:color="000000"/>
              <w:bottom w:val="single" w:sz="6" w:space="0" w:color="000000"/>
              <w:right w:val="single" w:sz="6" w:space="0" w:color="000000"/>
            </w:tcBorders>
            <w:shd w:val="clear" w:color="auto" w:fill="D2D2D2"/>
          </w:tcPr>
          <w:p>
            <w:pPr/>
          </w:p>
        </w:tc>
        <w:tc>
          <w:tcPr>
            <w:tcW w:w="1025" w:type="dxa"/>
            <w:vMerge/>
            <w:tcBorders>
              <w:left w:val="single" w:sz="6" w:space="0" w:color="000000"/>
              <w:bottom w:val="single" w:sz="6" w:space="0" w:color="000000"/>
              <w:right w:val="single" w:sz="6" w:space="0" w:color="000000"/>
            </w:tcBorders>
            <w:shd w:val="clear" w:color="auto" w:fill="D2D2D2"/>
          </w:tcPr>
          <w:p>
            <w:pPr/>
          </w:p>
        </w:tc>
        <w:tc>
          <w:tcPr>
            <w:tcW w:w="665"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1408" w:type="dxa"/>
            <w:vMerge/>
            <w:tcBorders>
              <w:left w:val="single" w:sz="6" w:space="0" w:color="000000"/>
              <w:bottom w:val="single" w:sz="6" w:space="0" w:color="000000"/>
              <w:right w:val="single" w:sz="6" w:space="0" w:color="000000"/>
            </w:tcBorders>
            <w:shd w:val="clear" w:color="auto" w:fill="D2D2D2"/>
          </w:tcPr>
          <w:p>
            <w:pPr/>
          </w:p>
        </w:tc>
        <w:tc>
          <w:tcPr>
            <w:tcW w:w="1355"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5" w:hRule="exact"/>
        </w:trPr>
        <w:tc>
          <w:tcPr>
            <w:tcW w:w="127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2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sz w:val="18"/>
              </w:rPr>
              <w:t>166,121,848.00</w:t>
            </w:r>
          </w:p>
        </w:tc>
        <w:tc>
          <w:tcPr>
            <w:tcW w:w="1025" w:type="dxa"/>
            <w:tcBorders>
              <w:top w:val="single" w:sz="6" w:space="0" w:color="000000"/>
              <w:left w:val="single" w:sz="6" w:space="0" w:color="000000"/>
              <w:bottom w:val="single" w:sz="12" w:space="0" w:color="000000"/>
              <w:right w:val="single" w:sz="6" w:space="0" w:color="000000"/>
            </w:tcBorders>
          </w:tcPr>
          <w:p>
            <w:pPr/>
          </w:p>
        </w:tc>
        <w:tc>
          <w:tcPr>
            <w:tcW w:w="665"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sz w:val="18"/>
              </w:rPr>
              <w:t>249,182,772.00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sz w:val="18"/>
              </w:rPr>
              <w:t>-455,000.00</w:t>
            </w:r>
          </w:p>
        </w:tc>
        <w:tc>
          <w:tcPr>
            <w:tcW w:w="1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sz w:val="18"/>
              </w:rPr>
              <w:t>248,727,772.00</w:t>
            </w:r>
          </w:p>
        </w:tc>
        <w:tc>
          <w:tcPr>
            <w:tcW w:w="13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61" w:right="0"/>
              <w:jc w:val="left"/>
              <w:rPr>
                <w:rFonts w:ascii="宋体" w:hAnsi="宋体" w:cs="宋体" w:eastAsia="宋体" w:hint="default"/>
                <w:sz w:val="18"/>
                <w:szCs w:val="18"/>
              </w:rPr>
            </w:pPr>
            <w:r>
              <w:rPr>
                <w:rFonts w:ascii="宋体"/>
                <w:sz w:val="18"/>
              </w:rPr>
              <w:t>414,849,620.00</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11" w:firstLine="420"/>
        <w:jc w:val="both"/>
      </w:pPr>
      <w:r>
        <w:rPr/>
        <w:t>根据公司</w:t>
      </w:r>
      <w:r>
        <w:rPr>
          <w:rFonts w:ascii="宋体" w:hAnsi="宋体" w:cs="宋体" w:eastAsia="宋体" w:hint="default"/>
        </w:rPr>
        <w:t>2016</w:t>
      </w:r>
      <w:r>
        <w:rPr/>
        <w:t>年年度股东大会审议通过的《关于</w:t>
      </w:r>
      <w:r>
        <w:rPr>
          <w:rFonts w:ascii="宋体" w:hAnsi="宋体" w:cs="宋体" w:eastAsia="宋体" w:hint="default"/>
        </w:rPr>
        <w:t>2016</w:t>
      </w:r>
      <w:r>
        <w:rPr/>
        <w:t>年度利润分配及资本公积金转增股本的议案》， </w:t>
      </w:r>
      <w:r>
        <w:rPr>
          <w:spacing w:val="-3"/>
        </w:rPr>
        <w:t>公司以总股本</w:t>
      </w:r>
      <w:r>
        <w:rPr>
          <w:rFonts w:ascii="宋体" w:hAnsi="宋体" w:cs="宋体" w:eastAsia="宋体" w:hint="default"/>
          <w:spacing w:val="-3"/>
        </w:rPr>
        <w:t>166,121,848</w:t>
      </w:r>
      <w:r>
        <w:rPr>
          <w:spacing w:val="-3"/>
        </w:rPr>
        <w:t>股为基数，用资本公积金向全体股东每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15</w:t>
      </w:r>
      <w:r>
        <w:rPr>
          <w:spacing w:val="-3"/>
        </w:rPr>
        <w:t>股，共计转增</w:t>
      </w:r>
      <w:r>
        <w:rPr>
          <w:rFonts w:ascii="宋体" w:hAnsi="宋体" w:cs="宋体" w:eastAsia="宋体" w:hint="default"/>
          <w:spacing w:val="-3"/>
        </w:rPr>
        <w:t>249,182,772.00</w:t>
      </w:r>
      <w:r>
        <w:rPr>
          <w:rFonts w:ascii="宋体" w:hAnsi="宋体" w:cs="宋体" w:eastAsia="宋体" w:hint="default"/>
          <w:spacing w:val="-55"/>
        </w:rPr>
        <w:t> </w:t>
      </w:r>
      <w:r>
        <w:rPr/>
        <w:t>股；因员工离职回购限制性股票共计</w:t>
      </w:r>
      <w:r>
        <w:rPr>
          <w:rFonts w:ascii="宋体" w:hAnsi="宋体" w:cs="宋体" w:eastAsia="宋体" w:hint="default"/>
        </w:rPr>
        <w:t>455,000.00</w:t>
      </w:r>
      <w:r>
        <w:rPr/>
        <w:t>股。</w:t>
      </w:r>
    </w:p>
    <w:p>
      <w:pPr>
        <w:pStyle w:val="Heading4"/>
        <w:spacing w:line="240" w:lineRule="auto" w:before="46"/>
        <w:ind w:right="1121"/>
        <w:jc w:val="left"/>
        <w:rPr>
          <w:b w:val="0"/>
          <w:bCs w:val="0"/>
        </w:rPr>
      </w:pPr>
      <w:bookmarkStart w:name="54、其他权益工具" w:id="350"/>
      <w:bookmarkEnd w:id="350"/>
      <w:r>
        <w:rPr>
          <w:b w:val="0"/>
          <w:bCs w:val="0"/>
        </w:rPr>
      </w:r>
      <w:r>
        <w:rPr>
          <w:rFonts w:ascii="宋体" w:hAnsi="宋体" w:cs="宋体" w:eastAsia="宋体" w:hint="default"/>
        </w:rPr>
        <w:t>54</w:t>
      </w:r>
      <w:r>
        <w:rPr/>
        <w:t>、其他权益工具</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5、资本公积" w:id="351"/>
      <w:bookmarkEnd w:id="351"/>
      <w:r>
        <w:rPr>
          <w:rFonts w:ascii="宋体" w:hAnsi="宋体" w:cs="宋体" w:eastAsia="宋体" w:hint="default"/>
          <w:sz w:val="21"/>
          <w:szCs w:val="21"/>
        </w:rPr>
      </w:r>
      <w:r>
        <w:rPr>
          <w:rFonts w:ascii="宋体" w:hAnsi="宋体" w:cs="宋体" w:eastAsia="宋体"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5"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1,019,586,720.88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9,943,450.20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289,663,153.46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739,867,017.62</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17,345,625.32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21,929,960.79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9,943,450.20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29,332,135.91</w:t>
            </w: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1,036,932,346.20</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31,873,410.99</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299,606,603.66</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769,199,153.53</w:t>
            </w:r>
          </w:p>
        </w:tc>
      </w:tr>
    </w:tbl>
    <w:p>
      <w:pPr>
        <w:pStyle w:val="BodyText"/>
        <w:spacing w:line="408" w:lineRule="auto" w:before="63"/>
        <w:ind w:left="1554" w:right="4557" w:hanging="420"/>
        <w:jc w:val="left"/>
      </w:pPr>
      <w:r>
        <w:rPr/>
        <w:t>其他说明，包括本期增减变动情况、变动原因说明： </w:t>
      </w:r>
      <w:r>
        <w:rPr>
          <w:rFonts w:ascii="宋体" w:hAnsi="宋体" w:cs="宋体" w:eastAsia="宋体" w:hint="default"/>
        </w:rPr>
        <w:t>1</w:t>
      </w:r>
      <w:r>
        <w:rPr/>
        <w:t>、报告期内公司以资本公积转增股本共计</w:t>
      </w:r>
      <w:r>
        <w:rPr>
          <w:rFonts w:ascii="宋体" w:hAnsi="宋体" w:cs="宋体" w:eastAsia="宋体" w:hint="default"/>
        </w:rPr>
        <w:t>249,182,772.00</w:t>
      </w:r>
      <w:r>
        <w:rPr/>
        <w:t>元；</w:t>
      </w:r>
    </w:p>
    <w:p>
      <w:pPr>
        <w:pStyle w:val="BodyText"/>
        <w:spacing w:line="240" w:lineRule="auto"/>
        <w:ind w:left="1553" w:right="1121"/>
        <w:jc w:val="left"/>
      </w:pPr>
      <w:r>
        <w:rPr>
          <w:rFonts w:ascii="宋体" w:hAnsi="宋体" w:cs="宋体" w:eastAsia="宋体" w:hint="default"/>
        </w:rPr>
        <w:t>2</w:t>
      </w:r>
      <w:r>
        <w:rPr/>
        <w:t>、报告期内限制性股票第一期解锁，其他资本公积转入股本溢价</w:t>
      </w:r>
      <w:r>
        <w:rPr>
          <w:rFonts w:ascii="宋体" w:hAnsi="宋体" w:cs="宋体" w:eastAsia="宋体" w:hint="default"/>
        </w:rPr>
        <w:t>9,943,450.20</w:t>
      </w:r>
      <w:r>
        <w:rPr/>
        <w:t>元；</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3</w:t>
      </w:r>
      <w:r>
        <w:rPr/>
        <w:t>、报告期内限制性股票授予计入归属于母公司部分金额为</w:t>
      </w:r>
      <w:r>
        <w:rPr>
          <w:rFonts w:ascii="宋体" w:hAnsi="宋体" w:cs="宋体" w:eastAsia="宋体" w:hint="default"/>
        </w:rPr>
        <w:t>3,343,383.10</w:t>
      </w:r>
      <w:r>
        <w:rPr/>
        <w:t>元；</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spacing w:val="11"/>
        </w:rPr>
        <w:t>4</w:t>
      </w:r>
      <w:r>
        <w:rPr>
          <w:spacing w:val="11"/>
        </w:rPr>
        <w:t>、报告期内收购索瑞少数股东股权支付对价与少数股东账面价值的差额减少资本公积的金额为</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rFonts w:ascii="宋体" w:hAnsi="宋体" w:cs="宋体" w:eastAsia="宋体" w:hint="default"/>
        </w:rPr>
        <w:t>37,390,021.46</w:t>
      </w:r>
      <w:r>
        <w:rPr/>
        <w:t>元；</w:t>
      </w:r>
    </w:p>
    <w:p>
      <w:pPr>
        <w:spacing w:line="240" w:lineRule="auto" w:before="10"/>
        <w:rPr>
          <w:rFonts w:ascii="宋体" w:hAnsi="宋体" w:cs="宋体" w:eastAsia="宋体" w:hint="default"/>
          <w:sz w:val="14"/>
          <w:szCs w:val="14"/>
        </w:rPr>
      </w:pPr>
    </w:p>
    <w:p>
      <w:pPr>
        <w:pStyle w:val="BodyText"/>
        <w:spacing w:line="240" w:lineRule="auto" w:before="0"/>
        <w:ind w:left="1554" w:right="1121"/>
        <w:jc w:val="left"/>
      </w:pPr>
      <w:r>
        <w:rPr>
          <w:rFonts w:ascii="宋体" w:hAnsi="宋体" w:cs="宋体" w:eastAsia="宋体" w:hint="default"/>
        </w:rPr>
        <w:t>5</w:t>
      </w:r>
      <w:r>
        <w:rPr/>
        <w:t>、报告期内限制性股票回购减少股本溢价</w:t>
      </w:r>
      <w:r>
        <w:rPr>
          <w:rFonts w:ascii="宋体" w:hAnsi="宋体" w:cs="宋体" w:eastAsia="宋体" w:hint="default"/>
        </w:rPr>
        <w:t>3,090,360.00</w:t>
      </w:r>
      <w:r>
        <w:rPr/>
        <w:t>元；</w:t>
      </w:r>
    </w:p>
    <w:p>
      <w:pPr>
        <w:spacing w:line="240" w:lineRule="auto" w:before="10"/>
        <w:rPr>
          <w:rFonts w:ascii="宋体" w:hAnsi="宋体" w:cs="宋体" w:eastAsia="宋体" w:hint="default"/>
          <w:sz w:val="14"/>
          <w:szCs w:val="14"/>
        </w:rPr>
      </w:pPr>
    </w:p>
    <w:p>
      <w:pPr>
        <w:pStyle w:val="BodyText"/>
        <w:spacing w:line="240" w:lineRule="auto" w:before="0"/>
        <w:ind w:left="1553" w:right="1121"/>
        <w:jc w:val="left"/>
      </w:pPr>
      <w:r>
        <w:rPr>
          <w:rFonts w:ascii="宋体" w:hAnsi="宋体" w:cs="宋体" w:eastAsia="宋体" w:hint="default"/>
        </w:rPr>
        <w:t>6</w:t>
      </w:r>
      <w:r>
        <w:rPr/>
        <w:t>、报告期内因参股公司中云文化大数据接受其他股东增资，增加其他资本公积</w:t>
      </w:r>
      <w:r>
        <w:rPr>
          <w:rFonts w:ascii="宋体" w:hAnsi="宋体" w:cs="宋体" w:eastAsia="宋体" w:hint="default"/>
        </w:rPr>
        <w:t>18,586,577.69</w:t>
      </w:r>
      <w:r>
        <w:rPr/>
        <w:t>元。</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56、库存股" w:id="352"/>
      <w:bookmarkEnd w:id="352"/>
      <w:r>
        <w:rPr>
          <w:b w:val="0"/>
          <w:bCs w:val="0"/>
        </w:rPr>
      </w:r>
      <w:r>
        <w:rPr>
          <w:rFonts w:ascii="宋体" w:hAnsi="宋体" w:cs="宋体" w:eastAsia="宋体" w:hint="default"/>
        </w:rPr>
        <w:t>56</w:t>
      </w:r>
      <w:r>
        <w:rPr/>
        <w:t>、库存股</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413" w:hRule="exact"/>
        </w:trPr>
        <w:tc>
          <w:tcPr>
            <w:tcW w:w="19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限制性股权激励</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95,452,000.00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41,336,560.00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54,115,440.00</w:t>
            </w:r>
          </w:p>
        </w:tc>
      </w:tr>
      <w:tr>
        <w:trPr>
          <w:trHeight w:val="416"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95,452,000.00</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41,336,560.00</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54,115,440.00</w:t>
            </w:r>
          </w:p>
        </w:tc>
      </w:tr>
    </w:tbl>
    <w:p>
      <w:pPr>
        <w:pStyle w:val="BodyText"/>
        <w:spacing w:line="408" w:lineRule="auto" w:before="63"/>
        <w:ind w:left="1554" w:right="1121" w:hanging="420"/>
        <w:jc w:val="left"/>
      </w:pPr>
      <w:r>
        <w:rPr/>
        <w:t>其他说明，包括本期增减变动情况、变动原因说明： </w:t>
      </w:r>
      <w:r>
        <w:rPr>
          <w:spacing w:val="-1"/>
        </w:rPr>
        <w:t>本期减少系因为第一期限制性股票解锁以及员工离职，回购授予的限制性股票，造成本期相应的回购</w:t>
      </w:r>
    </w:p>
    <w:p>
      <w:pPr>
        <w:spacing w:line="408" w:lineRule="auto" w:before="46"/>
        <w:ind w:left="1134" w:right="9065" w:firstLine="0"/>
        <w:jc w:val="left"/>
        <w:rPr>
          <w:rFonts w:ascii="宋体" w:hAnsi="宋体" w:cs="宋体" w:eastAsia="宋体" w:hint="default"/>
          <w:sz w:val="21"/>
          <w:szCs w:val="21"/>
        </w:rPr>
      </w:pPr>
      <w:r>
        <w:rPr>
          <w:rFonts w:ascii="宋体" w:hAnsi="宋体" w:cs="宋体" w:eastAsia="宋体" w:hint="default"/>
          <w:sz w:val="21"/>
          <w:szCs w:val="21"/>
        </w:rPr>
        <w:t>义务减少。 </w:t>
      </w:r>
      <w:bookmarkStart w:name="57、其他综合收益" w:id="353"/>
      <w:bookmarkEnd w:id="353"/>
      <w:r>
        <w:rPr>
          <w:rFonts w:ascii="宋体" w:hAnsi="宋体" w:cs="宋体" w:eastAsia="宋体" w:hint="default"/>
          <w:sz w:val="21"/>
          <w:szCs w:val="21"/>
        </w:rPr>
      </w:r>
      <w:r>
        <w:rPr>
          <w:rFonts w:ascii="宋体" w:hAnsi="宋体" w:cs="宋体" w:eastAsia="宋体"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8、专项储备" w:id="354"/>
      <w:bookmarkEnd w:id="354"/>
      <w:r>
        <w:rPr>
          <w:rFonts w:ascii="宋体" w:hAnsi="宋体" w:cs="宋体" w:eastAsia="宋体" w:hint="default"/>
          <w:sz w:val="21"/>
          <w:szCs w:val="21"/>
        </w:rPr>
      </w:r>
      <w:r>
        <w:rPr>
          <w:rFonts w:ascii="宋体" w:hAnsi="宋体" w:cs="宋体" w:eastAsia="宋体"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9、盈余公积" w:id="355"/>
      <w:bookmarkEnd w:id="355"/>
      <w:r>
        <w:rPr>
          <w:rFonts w:ascii="宋体" w:hAnsi="宋体" w:cs="宋体" w:eastAsia="宋体" w:hint="default"/>
          <w:sz w:val="21"/>
          <w:szCs w:val="21"/>
        </w:rPr>
      </w:r>
      <w:r>
        <w:rPr>
          <w:rFonts w:ascii="宋体" w:hAnsi="宋体" w:cs="宋体" w:eastAsia="宋体"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5"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21,281,039.35</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21,281,039.35</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21,281,039.35</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21,281,039.35</w:t>
            </w:r>
          </w:p>
        </w:tc>
      </w:tr>
    </w:tbl>
    <w:p>
      <w:pPr>
        <w:pStyle w:val="BodyText"/>
        <w:spacing w:line="408" w:lineRule="auto" w:before="63"/>
        <w:ind w:left="1554" w:right="4872" w:hanging="420"/>
        <w:jc w:val="left"/>
      </w:pPr>
      <w:r>
        <w:rPr/>
        <w:t>盈余公积说明，包括本期增减变动情况、变动原因说明： 报告期内应母公司净利润为负数，故而无需计提盈余公积。</w:t>
      </w:r>
    </w:p>
    <w:p>
      <w:pPr>
        <w:pStyle w:val="Heading4"/>
        <w:spacing w:line="240" w:lineRule="auto" w:before="46"/>
        <w:ind w:left="1133" w:right="1121"/>
        <w:jc w:val="left"/>
        <w:rPr>
          <w:b w:val="0"/>
          <w:bCs w:val="0"/>
        </w:rPr>
      </w:pPr>
      <w:bookmarkStart w:name="60、未分配利润" w:id="356"/>
      <w:bookmarkEnd w:id="356"/>
      <w:r>
        <w:rPr>
          <w:b w:val="0"/>
          <w:bCs w:val="0"/>
        </w:rPr>
      </w:r>
      <w:r>
        <w:rPr>
          <w:rFonts w:ascii="宋体" w:hAnsi="宋体" w:cs="宋体" w:eastAsia="宋体" w:hint="default"/>
        </w:rPr>
        <w:t>60</w:t>
      </w:r>
      <w:r>
        <w:rPr/>
        <w:t>、未分配利润</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709"/>
        <w:gridCol w:w="2935"/>
        <w:gridCol w:w="2918"/>
      </w:tblGrid>
      <w:tr>
        <w:trPr>
          <w:trHeight w:val="414" w:hRule="exact"/>
        </w:trPr>
        <w:tc>
          <w:tcPr>
            <w:tcW w:w="370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280,439,222.81</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220,734,558.59</w:t>
            </w:r>
          </w:p>
        </w:tc>
      </w:tr>
      <w:tr>
        <w:trPr>
          <w:trHeight w:val="408"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935" w:type="dxa"/>
            <w:tcBorders>
              <w:top w:val="single" w:sz="6" w:space="0" w:color="000000"/>
              <w:left w:val="single" w:sz="8" w:space="0" w:color="D2D2D2"/>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280,439,222.81</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220,734,558.59</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-392,404,175.23</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63,786,713.83</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6" w:space="0" w:color="000000"/>
              <w:left w:val="single" w:sz="8" w:space="0" w:color="D2D2D2"/>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857,612.65</w:t>
            </w:r>
          </w:p>
        </w:tc>
      </w:tr>
      <w:tr>
        <w:trPr>
          <w:trHeight w:val="414" w:hRule="exact"/>
        </w:trPr>
        <w:tc>
          <w:tcPr>
            <w:tcW w:w="370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5" w:type="dxa"/>
            <w:tcBorders>
              <w:top w:val="single" w:sz="6" w:space="0" w:color="000000"/>
              <w:left w:val="single" w:sz="8" w:space="0" w:color="D2D2D2"/>
              <w:bottom w:val="single" w:sz="12" w:space="0" w:color="000000"/>
              <w:right w:val="single" w:sz="6" w:space="0" w:color="000000"/>
            </w:tcBorders>
          </w:tcPr>
          <w:p>
            <w:pPr/>
          </w:p>
        </w:tc>
        <w:tc>
          <w:tcPr>
            <w:tcW w:w="291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3709"/>
        <w:gridCol w:w="2935"/>
        <w:gridCol w:w="2918"/>
      </w:tblGrid>
      <w:tr>
        <w:trPr>
          <w:trHeight w:val="415" w:hRule="exact"/>
        </w:trPr>
        <w:tc>
          <w:tcPr>
            <w:tcW w:w="370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5" w:type="dxa"/>
            <w:tcBorders>
              <w:top w:val="single" w:sz="6" w:space="0" w:color="000000"/>
              <w:left w:val="single" w:sz="8" w:space="0" w:color="D2D2D2"/>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4,894,855.44</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3,224,436.96</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5" w:type="dxa"/>
            <w:tcBorders>
              <w:top w:val="single" w:sz="6" w:space="0" w:color="000000"/>
              <w:left w:val="single" w:sz="8" w:space="0" w:color="D2D2D2"/>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370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-116,859,807.86</w:t>
            </w:r>
          </w:p>
        </w:tc>
        <w:tc>
          <w:tcPr>
            <w:tcW w:w="29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280,439,222.81</w:t>
            </w:r>
          </w:p>
        </w:tc>
      </w:tr>
    </w:tbl>
    <w:p>
      <w:pPr>
        <w:pStyle w:val="BodyText"/>
        <w:spacing w:line="408" w:lineRule="auto" w:before="63"/>
        <w:ind w:left="1134" w:right="2668"/>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52"/>
        </w:rPr>
        <w:t>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40" w:lineRule="auto"/>
        <w:ind w:right="1121"/>
        <w:jc w:val="left"/>
      </w:pPr>
      <w:r>
        <w:rPr>
          <w:rFonts w:ascii="宋体" w:hAnsi="宋体" w:cs="宋体" w:eastAsia="宋体" w:hint="default"/>
        </w:rPr>
        <w:t>2)</w:t>
      </w:r>
      <w:r>
        <w:rPr/>
        <w:t>由于会计政策变更，影响期初未分配利润</w:t>
      </w:r>
      <w:r>
        <w:rPr>
          <w:spacing w:val="-54"/>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rFonts w:ascii="宋体" w:hAnsi="宋体" w:cs="宋体" w:eastAsia="宋体" w:hint="default"/>
        </w:rPr>
        <w:t>3)</w:t>
      </w:r>
      <w:r>
        <w:rPr/>
        <w:t>由于重大会计差错更正，影响期初未分配利润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rFonts w:ascii="宋体" w:hAnsi="宋体" w:cs="宋体" w:eastAsia="宋体" w:hint="default"/>
        </w:rPr>
        <w:t>4)</w:t>
      </w:r>
      <w:r>
        <w:rPr/>
        <w:t>由于同一控制导致的合并范围变更，影响期初未分配利润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right="1121"/>
        <w:jc w:val="left"/>
      </w:pPr>
      <w:r>
        <w:rPr>
          <w:rFonts w:ascii="宋体" w:hAnsi="宋体" w:cs="宋体" w:eastAsia="宋体" w:hint="default"/>
        </w:rPr>
        <w:t>5)</w:t>
      </w:r>
      <w:r>
        <w:rPr/>
        <w:t>其他调整合计影响期初未分配利润</w:t>
      </w:r>
      <w:r>
        <w:rPr>
          <w:spacing w:val="-53"/>
        </w:rPr>
        <w:t> </w:t>
      </w:r>
      <w:r>
        <w:rPr>
          <w:rFonts w:ascii="宋体" w:hAnsi="宋体" w:cs="宋体" w:eastAsia="宋体" w:hint="default"/>
        </w:rPr>
        <w:t>0.00</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61、营业收入和营业成本" w:id="357"/>
      <w:bookmarkEnd w:id="357"/>
      <w:r>
        <w:rPr>
          <w:b w:val="0"/>
          <w:bCs w:val="0"/>
        </w:rPr>
      </w:r>
      <w:r>
        <w:rPr>
          <w:rFonts w:ascii="宋体" w:hAnsi="宋体" w:cs="宋体" w:eastAsia="宋体" w:hint="default"/>
        </w:rPr>
        <w:t>61</w:t>
      </w:r>
      <w:r>
        <w:rPr/>
        <w:t>、营业收入和营业成本</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219" w:hRule="exact"/>
        </w:trPr>
        <w:tc>
          <w:tcPr>
            <w:tcW w:w="191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3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6" w:space="0" w:color="000000"/>
              <w:bottom w:val="single" w:sz="6" w:space="0" w:color="000000"/>
              <w:right w:val="single" w:sz="6" w:space="0" w:color="000000"/>
            </w:tcBorders>
            <w:shd w:val="clear" w:color="auto" w:fill="D2D2D2"/>
          </w:tcPr>
          <w:p>
            <w:pPr/>
          </w:p>
        </w:tc>
        <w:tc>
          <w:tcPr>
            <w:tcW w:w="3828" w:type="dxa"/>
            <w:gridSpan w:val="2"/>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1913" w:type="dxa"/>
            <w:vMerge/>
            <w:tcBorders>
              <w:left w:val="single" w:sz="12" w:space="0" w:color="000000"/>
              <w:bottom w:val="nil" w:sz="6" w:space="0" w:color="auto"/>
              <w:right w:val="single" w:sz="6" w:space="0" w:color="000000"/>
            </w:tcBorders>
            <w:shd w:val="clear" w:color="auto" w:fill="D2D2D2"/>
          </w:tcPr>
          <w:p>
            <w:pPr/>
          </w:p>
        </w:tc>
        <w:tc>
          <w:tcPr>
            <w:tcW w:w="19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1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528,723,540.39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370,505,117.93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810,287,335.64</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560,743,695.62</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11,500,668.17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6,975,693.34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4,010,743.53</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3,197,096.60</w:t>
            </w:r>
          </w:p>
        </w:tc>
      </w:tr>
      <w:tr>
        <w:trPr>
          <w:trHeight w:val="415"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540,224,208.56</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377,480,811.27</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814,298,079.17</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563,940,792.22</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62、税金及附加" w:id="358"/>
      <w:bookmarkEnd w:id="358"/>
      <w:r>
        <w:rPr>
          <w:b w:val="0"/>
          <w:bCs w:val="0"/>
        </w:rPr>
      </w:r>
      <w:r>
        <w:rPr>
          <w:rFonts w:ascii="宋体" w:hAnsi="宋体" w:cs="宋体" w:eastAsia="宋体" w:hint="default"/>
          <w:w w:val="95"/>
        </w:rPr>
        <w:t>62</w:t>
      </w:r>
      <w:r>
        <w:rPr>
          <w:w w:val="95"/>
        </w:rPr>
        <w:t>、税金及附加</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610" w:space="6220"/>
            <w:col w:w="308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1,021,216.98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1,734,802.07</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850,133.59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1,139,338.89</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1,730,280.09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802,046.94</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1,199,591.77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891,101.74</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34,580.40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15,297.90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432,192.67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127,695.41</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103,906.11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186,344.86</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506,810.48</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5,371,901.61</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5,403,438.29</w:t>
            </w:r>
          </w:p>
        </w:tc>
      </w:tr>
    </w:tbl>
    <w:p>
      <w:pPr>
        <w:spacing w:after="0" w:line="240" w:lineRule="auto"/>
        <w:jc w:val="right"/>
        <w:rPr>
          <w:rFonts w:ascii="宋体" w:hAnsi="宋体" w:cs="宋体" w:eastAsia="宋体" w:hint="default"/>
          <w:sz w:val="18"/>
          <w:szCs w:val="18"/>
        </w:rPr>
        <w:sectPr>
          <w:type w:val="continuous"/>
          <w:pgSz w:w="11910" w:h="16840"/>
          <w:pgMar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21" w:firstLine="420"/>
        <w:jc w:val="left"/>
      </w:pPr>
      <w:r>
        <w:rPr>
          <w:rFonts w:ascii="宋体" w:hAnsi="宋体" w:cs="宋体" w:eastAsia="宋体" w:hint="default"/>
          <w:spacing w:val="-1"/>
        </w:rPr>
        <w:t>2017</w:t>
      </w:r>
      <w:r>
        <w:rPr>
          <w:spacing w:val="-1"/>
        </w:rPr>
        <w:t>年度较</w:t>
      </w:r>
      <w:r>
        <w:rPr>
          <w:rFonts w:ascii="宋体" w:hAnsi="宋体" w:cs="宋体" w:eastAsia="宋体" w:hint="default"/>
          <w:spacing w:val="-1"/>
        </w:rPr>
        <w:t>2016</w:t>
      </w:r>
      <w:r>
        <w:rPr>
          <w:spacing w:val="-1"/>
        </w:rPr>
        <w:t>年度减少</w:t>
      </w:r>
      <w:r>
        <w:rPr>
          <w:rFonts w:ascii="宋体" w:hAnsi="宋体" w:cs="宋体" w:eastAsia="宋体" w:hint="default"/>
          <w:spacing w:val="-1"/>
        </w:rPr>
        <w:t>31,536.68</w:t>
      </w:r>
      <w:r>
        <w:rPr>
          <w:spacing w:val="-1"/>
        </w:rPr>
        <w:t>元，减少</w:t>
      </w:r>
      <w:r>
        <w:rPr>
          <w:rFonts w:ascii="宋体" w:hAnsi="宋体" w:cs="宋体" w:eastAsia="宋体" w:hint="default"/>
          <w:spacing w:val="-1"/>
        </w:rPr>
        <w:t>0.58%</w:t>
      </w:r>
      <w:r>
        <w:rPr>
          <w:spacing w:val="-1"/>
        </w:rPr>
        <w:t>，系当期应交增值税减少，对应的附加税同步减少</w:t>
      </w:r>
      <w:r>
        <w:rPr/>
        <w:t> 所致。</w:t>
      </w:r>
    </w:p>
    <w:p>
      <w:pPr>
        <w:pStyle w:val="Heading4"/>
        <w:spacing w:line="240" w:lineRule="auto" w:before="46"/>
        <w:ind w:left="1133" w:right="1121"/>
        <w:jc w:val="left"/>
        <w:rPr>
          <w:b w:val="0"/>
          <w:bCs w:val="0"/>
        </w:rPr>
      </w:pPr>
      <w:bookmarkStart w:name="63、销售费用" w:id="359"/>
      <w:bookmarkEnd w:id="359"/>
      <w:r>
        <w:rPr>
          <w:b w:val="0"/>
          <w:bCs w:val="0"/>
        </w:rPr>
      </w:r>
      <w:r>
        <w:rPr>
          <w:rFonts w:ascii="宋体" w:hAnsi="宋体" w:cs="宋体" w:eastAsia="宋体" w:hint="default"/>
        </w:rPr>
        <w:t>63</w:t>
      </w:r>
      <w:r>
        <w:rPr/>
        <w:t>、销售费用</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3"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14,989,233.60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14,799,849.95</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6,213,885.45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9,325,556.01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咨询、中标服务费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3,486,369.72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5,271,790.72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4,211,460.87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3,512,573.51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5,153,027.34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3,283,242.04</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3,303,704.91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3,220,914.75</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414,770.87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354,660.84</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7,799,089.28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4,168,060.80</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45,571,542.04</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43,936,648.62</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240" w:lineRule="auto" w:before="0"/>
        <w:ind w:left="1239" w:right="0"/>
        <w:jc w:val="left"/>
      </w:pPr>
      <w:r>
        <w:rPr>
          <w:rFonts w:ascii="宋体" w:hAnsi="宋体" w:cs="宋体" w:eastAsia="宋体" w:hint="default"/>
        </w:rPr>
        <w:t>2017</w:t>
      </w:r>
      <w:r>
        <w:rPr/>
        <w:t>年度销售费用较</w:t>
      </w:r>
      <w:r>
        <w:rPr>
          <w:rFonts w:ascii="宋体" w:hAnsi="宋体" w:cs="宋体" w:eastAsia="宋体" w:hint="default"/>
        </w:rPr>
        <w:t>2016</w:t>
      </w:r>
      <w:r>
        <w:rPr/>
        <w:t>年度增加</w:t>
      </w:r>
      <w:r>
        <w:rPr>
          <w:rFonts w:ascii="宋体" w:hAnsi="宋体" w:cs="宋体" w:eastAsia="宋体" w:hint="default"/>
        </w:rPr>
        <w:t>1,634,893.42</w:t>
      </w:r>
      <w:r>
        <w:rPr>
          <w:rFonts w:ascii="宋体" w:hAnsi="宋体" w:cs="宋体" w:eastAsia="宋体" w:hint="default"/>
          <w:spacing w:val="-26"/>
        </w:rPr>
        <w:t> </w:t>
      </w:r>
      <w:r>
        <w:rPr/>
        <w:t>元，增加比例为</w:t>
      </w:r>
      <w:r>
        <w:rPr>
          <w:rFonts w:ascii="宋体" w:hAnsi="宋体" w:cs="宋体" w:eastAsia="宋体" w:hint="default"/>
        </w:rPr>
        <w:t>3.72%</w:t>
      </w:r>
      <w:r>
        <w:rPr/>
        <w:t>，主要系售后服务费用增加所致。</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64、管理费用" w:id="360"/>
      <w:bookmarkEnd w:id="360"/>
      <w:r>
        <w:rPr>
          <w:b w:val="0"/>
          <w:bCs w:val="0"/>
        </w:rPr>
      </w:r>
      <w:r>
        <w:rPr>
          <w:rFonts w:ascii="宋体" w:hAnsi="宋体" w:cs="宋体" w:eastAsia="宋体" w:hint="default"/>
        </w:rPr>
        <w:t>64</w:t>
      </w:r>
      <w:r>
        <w:rPr/>
        <w:t>、管理费用</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9"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18,040,840.66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20,924,327.96</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限制性股份支付</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3,519,723.81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10,033,660.20</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3,516,554.53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3,718,170.86</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864,407.15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627,440.53</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742,919.47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611,286.95</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3,678,325.42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2,068,012.07</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2,928,169.27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3,750,438.65</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857,223.25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1,797,593.69</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4,392,886.73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4,263,273.95</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6,060.00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1,084,310.16</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2,234,376.65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1,991,940.45</w:t>
            </w:r>
          </w:p>
        </w:tc>
      </w:tr>
      <w:tr>
        <w:trPr>
          <w:trHeight w:val="419"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814,133.90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432,470.00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9"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房租物业水电</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5,187,303.86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4,058,217.33</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2,678,216.01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3,692,334.85</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47,206,543.39</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43,960,059.07</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105,000.00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196,178.69</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7,498,984.14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8,441,589.23</w:t>
            </w:r>
          </w:p>
        </w:tc>
      </w:tr>
      <w:tr>
        <w:trPr>
          <w:trHeight w:val="419"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104,271,668.24</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111,651,304.64</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98" w:firstLine="420"/>
        <w:jc w:val="left"/>
      </w:pPr>
      <w:r>
        <w:rPr>
          <w:rFonts w:ascii="宋体" w:hAnsi="宋体" w:cs="宋体" w:eastAsia="宋体" w:hint="default"/>
        </w:rPr>
        <w:t>2017</w:t>
      </w:r>
      <w:r>
        <w:rPr/>
        <w:t>年度较</w:t>
      </w:r>
      <w:r>
        <w:rPr>
          <w:rFonts w:ascii="宋体" w:hAnsi="宋体" w:cs="宋体" w:eastAsia="宋体" w:hint="default"/>
        </w:rPr>
        <w:t>2016</w:t>
      </w:r>
      <w:r>
        <w:rPr/>
        <w:t>年度减少</w:t>
      </w:r>
      <w:r>
        <w:rPr>
          <w:rFonts w:ascii="宋体" w:hAnsi="宋体" w:cs="宋体" w:eastAsia="宋体" w:hint="default"/>
        </w:rPr>
        <w:t>7,379,636.40</w:t>
      </w:r>
      <w:r>
        <w:rPr/>
        <w:t>元，减少比例为</w:t>
      </w:r>
      <w:r>
        <w:rPr>
          <w:rFonts w:ascii="宋体" w:hAnsi="宋体" w:cs="宋体" w:eastAsia="宋体" w:hint="default"/>
        </w:rPr>
        <w:t>6.61%</w:t>
      </w:r>
      <w:r>
        <w:rPr/>
        <w:t>，主要原因系将限制性股票激励的股份 支付确认管理费用减少所致。</w:t>
      </w:r>
    </w:p>
    <w:p>
      <w:pPr>
        <w:pStyle w:val="Heading4"/>
        <w:spacing w:line="240" w:lineRule="auto" w:before="46"/>
        <w:ind w:left="1133" w:right="1121"/>
        <w:jc w:val="left"/>
        <w:rPr>
          <w:b w:val="0"/>
          <w:bCs w:val="0"/>
        </w:rPr>
      </w:pPr>
      <w:bookmarkStart w:name="65、财务费用" w:id="361"/>
      <w:bookmarkEnd w:id="361"/>
      <w:r>
        <w:rPr>
          <w:b w:val="0"/>
          <w:bCs w:val="0"/>
        </w:rPr>
      </w:r>
      <w:r>
        <w:rPr>
          <w:rFonts w:ascii="宋体" w:hAnsi="宋体" w:cs="宋体" w:eastAsia="宋体" w:hint="default"/>
        </w:rPr>
        <w:t>65</w:t>
      </w:r>
      <w:r>
        <w:rPr/>
        <w:t>、财务费用</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10,339,681.87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8,205,792.97</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1,430,537.47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2,442,682.28</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8,909,144.40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5,763,110.69</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325,195.90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166,382.55</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9,234,340.30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5,929,493.24</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66、资产减值损失" w:id="362"/>
      <w:bookmarkEnd w:id="362"/>
      <w:r>
        <w:rPr>
          <w:b w:val="0"/>
          <w:bCs w:val="0"/>
        </w:rPr>
      </w:r>
      <w:r>
        <w:rPr>
          <w:rFonts w:ascii="宋体" w:hAnsi="宋体" w:cs="宋体" w:eastAsia="宋体" w:hint="default"/>
          <w:w w:val="95"/>
        </w:rPr>
        <w:t>66</w:t>
      </w:r>
      <w:r>
        <w:rPr>
          <w:w w:val="95"/>
        </w:rPr>
        <w:t>、资产减值损失</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821" w:space="6098"/>
            <w:col w:w="2991"/>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1,838,571.25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969,388.95</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-47,949.93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970,035.19</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204" w:type="dxa"/>
            <w:tcBorders>
              <w:top w:val="single" w:sz="6" w:space="0" w:color="000000"/>
              <w:left w:val="single" w:sz="9" w:space="0" w:color="D2D2D2"/>
              <w:bottom w:val="single" w:sz="12" w:space="0" w:color="000000"/>
              <w:right w:val="single" w:sz="6" w:space="0" w:color="000000"/>
            </w:tcBorders>
          </w:tcPr>
          <w:p>
            <w:pPr/>
          </w:p>
        </w:tc>
        <w:tc>
          <w:tcPr>
            <w:tcW w:w="3188"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54,117,647.24</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344,130,274.85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8,780,209.73</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400,038,543.41</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10,719,633.87</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left="1134" w:right="1132" w:firstLine="420"/>
        <w:jc w:val="both"/>
      </w:pPr>
      <w:r>
        <w:rPr/>
        <w:t>资产减值损失本期较上期增加</w:t>
      </w:r>
      <w:r>
        <w:rPr>
          <w:rFonts w:ascii="宋体" w:hAnsi="宋体" w:cs="宋体" w:eastAsia="宋体" w:hint="default"/>
        </w:rPr>
        <w:t>389,318,909.54</w:t>
      </w:r>
      <w:r>
        <w:rPr/>
        <w:t>元，增加比例为</w:t>
      </w:r>
      <w:r>
        <w:rPr>
          <w:rFonts w:ascii="宋体" w:hAnsi="宋体" w:cs="宋体" w:eastAsia="宋体" w:hint="default"/>
        </w:rPr>
        <w:t>3,631.83%</w:t>
      </w:r>
      <w:r>
        <w:rPr/>
        <w:t>，主要系当期计提对湖北索 </w:t>
      </w:r>
      <w:r>
        <w:rPr>
          <w:spacing w:val="3"/>
        </w:rPr>
        <w:t>瑞电气有限公司以及江苏德能电力设计咨询有限公司的商誉减值损失并计提了并购湖北索瑞电气有限公</w:t>
      </w:r>
      <w:r>
        <w:rPr>
          <w:spacing w:val="-82"/>
        </w:rPr>
        <w:t> </w:t>
      </w:r>
      <w:r>
        <w:rPr>
          <w:spacing w:val="-82"/>
        </w:rPr>
      </w:r>
      <w:r>
        <w:rPr/>
        <w:t>司所产生的</w:t>
      </w:r>
      <w:r>
        <w:rPr>
          <w:rFonts w:ascii="宋体" w:hAnsi="宋体" w:cs="宋体" w:eastAsia="宋体" w:hint="default"/>
        </w:rPr>
        <w:t>54,117,647.24</w:t>
      </w:r>
      <w:r>
        <w:rPr/>
        <w:t>元的商标与专利权减值损失所致。</w:t>
      </w:r>
    </w:p>
    <w:p>
      <w:pPr>
        <w:pStyle w:val="Heading4"/>
        <w:spacing w:line="240" w:lineRule="auto" w:before="46"/>
        <w:ind w:right="1121"/>
        <w:jc w:val="left"/>
        <w:rPr>
          <w:b w:val="0"/>
          <w:bCs w:val="0"/>
        </w:rPr>
      </w:pPr>
      <w:bookmarkStart w:name="67、公允价值变动收益" w:id="363"/>
      <w:bookmarkEnd w:id="363"/>
      <w:r>
        <w:rPr>
          <w:b w:val="0"/>
          <w:bCs w:val="0"/>
        </w:rPr>
      </w:r>
      <w:r>
        <w:rPr>
          <w:rFonts w:ascii="宋体" w:hAnsi="宋体" w:cs="宋体" w:eastAsia="宋体" w:hint="default"/>
        </w:rPr>
        <w:t>67</w:t>
      </w:r>
      <w:r>
        <w:rPr/>
        <w:t>、公允价值变动收益</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8、投资收益" w:id="364"/>
      <w:bookmarkEnd w:id="364"/>
      <w:r>
        <w:rPr>
          <w:rFonts w:ascii="宋体" w:hAnsi="宋体" w:cs="宋体" w:eastAsia="宋体" w:hint="default"/>
          <w:sz w:val="21"/>
          <w:szCs w:val="21"/>
        </w:rPr>
      </w:r>
      <w:r>
        <w:rPr>
          <w:rFonts w:ascii="宋体" w:hAnsi="宋体" w:cs="宋体" w:eastAsia="宋体"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29" w:lineRule="exact"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4521"/>
        <w:gridCol w:w="2527"/>
        <w:gridCol w:w="2515"/>
      </w:tblGrid>
      <w:tr>
        <w:trPr>
          <w:trHeight w:val="415" w:hRule="exact"/>
        </w:trPr>
        <w:tc>
          <w:tcPr>
            <w:tcW w:w="45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5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-3,009,764.86</w:t>
            </w:r>
          </w:p>
        </w:tc>
        <w:tc>
          <w:tcPr>
            <w:tcW w:w="25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-2,588,527.97</w:t>
            </w: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16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 有期间的投资收益</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720"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16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 取得的投资收益</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5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1,500,000.00</w:t>
            </w: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52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2527" w:type="dxa"/>
            <w:tcBorders>
              <w:top w:val="single" w:sz="6" w:space="0" w:color="000000"/>
              <w:left w:val="single" w:sz="14" w:space="0" w:color="D2D2D2"/>
              <w:bottom w:val="single" w:sz="6" w:space="0" w:color="000000"/>
              <w:right w:val="single" w:sz="6" w:space="0" w:color="000000"/>
            </w:tcBorders>
          </w:tcPr>
          <w:p>
            <w:pPr/>
          </w:p>
        </w:tc>
        <w:tc>
          <w:tcPr>
            <w:tcW w:w="2515"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52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-1,509,764.86</w:t>
            </w:r>
          </w:p>
        </w:tc>
        <w:tc>
          <w:tcPr>
            <w:tcW w:w="25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-2,588,527.97</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left="1134" w:right="1302" w:firstLine="420"/>
        <w:jc w:val="left"/>
      </w:pPr>
      <w:r>
        <w:rPr/>
        <w:t>期处置可供出售金融资产所产生的</w:t>
      </w:r>
      <w:r>
        <w:rPr>
          <w:rFonts w:ascii="宋体" w:hAnsi="宋体" w:cs="宋体" w:eastAsia="宋体" w:hint="default"/>
        </w:rPr>
        <w:t>1,500,000.00</w:t>
      </w:r>
      <w:r>
        <w:rPr/>
        <w:t>元收益系报告期内处置贵州大迈畅游科技有限公司 股权所致。</w:t>
      </w:r>
    </w:p>
    <w:p>
      <w:pPr>
        <w:pStyle w:val="Heading4"/>
        <w:spacing w:line="240" w:lineRule="auto" w:before="46"/>
        <w:ind w:right="1121"/>
        <w:jc w:val="left"/>
        <w:rPr>
          <w:b w:val="0"/>
          <w:bCs w:val="0"/>
        </w:rPr>
      </w:pPr>
      <w:bookmarkStart w:name="69、资产处置收益" w:id="365"/>
      <w:bookmarkEnd w:id="365"/>
      <w:r>
        <w:rPr>
          <w:b w:val="0"/>
          <w:bCs w:val="0"/>
        </w:rPr>
      </w:r>
      <w:r>
        <w:rPr>
          <w:rFonts w:ascii="宋体" w:hAnsi="宋体" w:cs="宋体" w:eastAsia="宋体" w:hint="default"/>
        </w:rPr>
        <w:t>69</w:t>
      </w:r>
      <w:r>
        <w:rPr/>
        <w:t>、资产处置收益</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9,701.31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125,938.73</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9,701.31</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125,938.73</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1000" w:top="1040" w:bottom="1180" w:left="0" w:right="0"/>
        </w:sectPr>
      </w:pPr>
    </w:p>
    <w:p>
      <w:pPr>
        <w:pStyle w:val="Heading4"/>
        <w:spacing w:line="240" w:lineRule="auto" w:before="35"/>
        <w:ind w:left="1133" w:right="0"/>
        <w:jc w:val="left"/>
        <w:rPr>
          <w:b w:val="0"/>
          <w:bCs w:val="0"/>
        </w:rPr>
      </w:pPr>
      <w:bookmarkStart w:name="70、其他收益" w:id="366"/>
      <w:bookmarkEnd w:id="366"/>
      <w:r>
        <w:rPr>
          <w:b w:val="0"/>
          <w:bCs w:val="0"/>
        </w:rPr>
      </w:r>
      <w:r>
        <w:rPr>
          <w:rFonts w:ascii="宋体" w:hAnsi="宋体" w:cs="宋体" w:eastAsia="宋体" w:hint="default"/>
          <w:w w:val="95"/>
        </w:rPr>
        <w:t>70</w:t>
      </w:r>
      <w:r>
        <w:rPr>
          <w:w w:val="95"/>
        </w:rPr>
        <w:t>、其他收益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399" w:space="6521"/>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5105"/>
        <w:gridCol w:w="2232"/>
        <w:gridCol w:w="2233"/>
      </w:tblGrid>
      <w:tr>
        <w:trPr>
          <w:trHeight w:val="413" w:hRule="exact"/>
        </w:trPr>
        <w:tc>
          <w:tcPr>
            <w:tcW w:w="510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2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双软企业增值税退税</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2,113,016.38</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年度国家智能电网产业集聚发展试点重点项目补助</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3,540,328.43</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知识产权战略专项</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355</w:t>
            </w:r>
            <w:r>
              <w:rPr>
                <w:rFonts w:ascii="宋体" w:hAnsi="宋体" w:cs="宋体" w:eastAsia="宋体" w:hint="default"/>
                <w:spacing w:val="-46"/>
                <w:sz w:val="18"/>
                <w:szCs w:val="18"/>
              </w:rPr>
              <w:t> </w:t>
            </w:r>
            <w:r>
              <w:rPr>
                <w:rFonts w:ascii="宋体" w:hAnsi="宋体" w:cs="宋体" w:eastAsia="宋体" w:hint="default"/>
                <w:sz w:val="18"/>
                <w:szCs w:val="18"/>
              </w:rPr>
              <w:t>号科技局</w:t>
            </w:r>
            <w:r>
              <w:rPr>
                <w:rFonts w:ascii="宋体" w:hAnsi="宋体" w:cs="宋体" w:eastAsia="宋体" w:hint="default"/>
                <w:sz w:val="18"/>
                <w:szCs w:val="18"/>
              </w:rPr>
              <w:t>-</w:t>
            </w:r>
            <w:r>
              <w:rPr>
                <w:rFonts w:ascii="宋体" w:hAnsi="宋体" w:cs="宋体" w:eastAsia="宋体" w:hint="default"/>
                <w:sz w:val="18"/>
                <w:szCs w:val="18"/>
              </w:rPr>
              <w:t>科技创新券</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软件信息产业专项资金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专利产业化</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专利补助经费</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43,200.00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江宁开发区</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年知识产权奖励</w:t>
            </w:r>
            <w:r>
              <w:rPr>
                <w:rFonts w:ascii="宋体" w:hAnsi="宋体" w:cs="宋体" w:eastAsia="宋体" w:hint="default"/>
                <w:sz w:val="18"/>
                <w:szCs w:val="18"/>
              </w:rPr>
              <w:t>-</w:t>
            </w:r>
            <w:r>
              <w:rPr>
                <w:rFonts w:ascii="宋体" w:hAnsi="宋体" w:cs="宋体" w:eastAsia="宋体" w:hint="default"/>
                <w:sz w:val="18"/>
                <w:szCs w:val="18"/>
              </w:rPr>
              <w:t>其他技术研究与技术开发支出</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43,900.00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新兴产业引导专项资金项目（第二批）</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企业稳定岗位补贴</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183,279.89</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年省级工业和信息产业转型升级专项</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年度知识产权创造与运用专项资金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年省共建重点特色产业资金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东山科协街道创新发展补助资金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软件信息产业专项资金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262,500.00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苏南自主创新示范区建设专项资金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知识产权创新成果补助资金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科技型中小企业技术创新资金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科技创业企业培育计划</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高新企业补助</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自动化项目集中供料系统政府补助</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207,178.47</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激光气体传感器研制项目专款</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三级干部会议奖励</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创新创业基地建设经费</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软件和信息发展专项资金</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智能变电站电力巡检机器人研制与开发应用项目专项补助款</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510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11,730,503.17</w:t>
            </w:r>
          </w:p>
        </w:tc>
        <w:tc>
          <w:tcPr>
            <w:tcW w:w="223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0"/>
        <w:jc w:val="left"/>
        <w:rPr>
          <w:b w:val="0"/>
          <w:bCs w:val="0"/>
        </w:rPr>
      </w:pPr>
      <w:bookmarkStart w:name="71、营业外收入" w:id="367"/>
      <w:bookmarkEnd w:id="367"/>
      <w:r>
        <w:rPr>
          <w:b w:val="0"/>
          <w:bCs w:val="0"/>
        </w:rPr>
      </w:r>
      <w:r>
        <w:rPr>
          <w:rFonts w:ascii="宋体" w:hAnsi="宋体" w:cs="宋体" w:eastAsia="宋体" w:hint="default"/>
          <w:w w:val="95"/>
        </w:rPr>
        <w:t>71</w:t>
      </w:r>
      <w:r>
        <w:rPr>
          <w:w w:val="95"/>
        </w:rPr>
        <w:t>、营业外收入</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610" w:space="6310"/>
            <w:col w:w="2990"/>
          </w:cols>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2373"/>
        <w:gridCol w:w="2406"/>
        <w:gridCol w:w="1879"/>
        <w:gridCol w:w="2904"/>
      </w:tblGrid>
      <w:tr>
        <w:trPr>
          <w:trHeight w:val="415" w:hRule="exact"/>
        </w:trPr>
        <w:tc>
          <w:tcPr>
            <w:tcW w:w="23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7" w:hRule="exact"/>
        </w:trPr>
        <w:tc>
          <w:tcPr>
            <w:tcW w:w="23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406" w:type="dxa"/>
            <w:tcBorders>
              <w:top w:val="single" w:sz="6" w:space="0" w:color="000000"/>
              <w:left w:val="single" w:sz="9" w:space="0" w:color="D2D2D2"/>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9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406" w:type="dxa"/>
            <w:tcBorders>
              <w:top w:val="single" w:sz="6" w:space="0" w:color="000000"/>
              <w:left w:val="single" w:sz="9" w:space="0" w:color="D2D2D2"/>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9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406" w:type="dxa"/>
            <w:tcBorders>
              <w:top w:val="single" w:sz="6" w:space="0" w:color="000000"/>
              <w:left w:val="single" w:sz="9" w:space="0" w:color="D2D2D2"/>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29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6" w:type="dxa"/>
            <w:tcBorders>
              <w:top w:val="single" w:sz="6" w:space="0" w:color="000000"/>
              <w:left w:val="single" w:sz="9" w:space="0" w:color="D2D2D2"/>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5,827,341.68</w:t>
            </w:r>
          </w:p>
        </w:tc>
        <w:tc>
          <w:tcPr>
            <w:tcW w:w="2904"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268,440.86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1,278,875.90</w:t>
            </w:r>
          </w:p>
        </w:tc>
        <w:tc>
          <w:tcPr>
            <w:tcW w:w="2904"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429,094.28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18,222,773.87</w:t>
            </w:r>
          </w:p>
        </w:tc>
        <w:tc>
          <w:tcPr>
            <w:tcW w:w="29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429,094.28</w:t>
            </w:r>
          </w:p>
        </w:tc>
      </w:tr>
      <w:tr>
        <w:trPr>
          <w:trHeight w:val="415" w:hRule="exact"/>
        </w:trPr>
        <w:tc>
          <w:tcPr>
            <w:tcW w:w="23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697,535.14</w:t>
            </w:r>
          </w:p>
        </w:tc>
        <w:tc>
          <w:tcPr>
            <w:tcW w:w="18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25,328,991.45</w:t>
            </w:r>
          </w:p>
        </w:tc>
        <w:tc>
          <w:tcPr>
            <w:tcW w:w="29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429,094.28</w:t>
            </w:r>
          </w:p>
        </w:tc>
      </w:tr>
    </w:tbl>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1000" w:top="1040" w:bottom="1180" w:left="0" w:right="0"/>
        </w:sectPr>
      </w:pPr>
    </w:p>
    <w:p>
      <w:pPr>
        <w:pStyle w:val="BodyText"/>
        <w:spacing w:line="240" w:lineRule="auto" w:before="35"/>
        <w:ind w:left="1134" w:right="-20"/>
        <w:jc w:val="left"/>
      </w:pPr>
      <w:r>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655" w:space="5265"/>
            <w:col w:w="2990"/>
          </w:cols>
        </w:sectPr>
      </w:pPr>
    </w:p>
    <w:p>
      <w:pPr>
        <w:spacing w:line="240" w:lineRule="auto" w:before="0"/>
        <w:rPr>
          <w:rFonts w:ascii="宋体" w:hAnsi="宋体" w:cs="宋体" w:eastAsia="宋体" w:hint="default"/>
          <w:sz w:val="5"/>
          <w:szCs w:val="5"/>
        </w:rPr>
      </w:pPr>
      <w:r>
        <w:rPr/>
        <w:pict>
          <v:group style="position:absolute;margin-left:269.799988pt;margin-top:431.679993pt;width:52.45pt;height:23.4pt;mso-position-horizontal-relative:page;mso-position-vertical-relative:page;z-index:-1094464" coordorigin="5396,8634" coordsize="1049,468">
            <v:shape style="position:absolute;left:5396;top:8634;width:1049;height:468" coordorigin="5396,8634" coordsize="1049,468" path="m5396,9102l6445,9102,6445,8634,5396,8634,5396,9102xe" filled="true" fillcolor="#ffffff" stroked="false">
              <v:path arrowok="t"/>
              <v:fill type="solid"/>
            </v:shape>
            <w10:wrap type="none"/>
          </v:group>
        </w:pict>
      </w:r>
      <w:r>
        <w:rPr/>
        <w:pict>
          <v:group style="position:absolute;margin-left:269.799988pt;margin-top:617.559998pt;width:52.45pt;height:23.4pt;mso-position-horizontal-relative:page;mso-position-vertical-relative:page;z-index:-1094440" coordorigin="5396,12351" coordsize="1049,468">
            <v:shape style="position:absolute;left:5396;top:12351;width:1049;height:468" coordorigin="5396,12351" coordsize="1049,468" path="m5396,12819l6445,12819,6445,12351,5396,12351,5396,12819xe" filled="true" fillcolor="#ffffff" stroked="false">
              <v:path arrowok="t"/>
              <v:fill type="solid"/>
            </v:shape>
            <w10:wrap type="none"/>
          </v:group>
        </w:pict>
      </w:r>
    </w:p>
    <w:tbl>
      <w:tblPr>
        <w:tblW w:w="0" w:type="auto"/>
        <w:jc w:val="left"/>
        <w:tblInd w:w="1118" w:type="dxa"/>
        <w:tblLayout w:type="fixed"/>
        <w:tblCellMar>
          <w:top w:w="0" w:type="dxa"/>
          <w:left w:w="0" w:type="dxa"/>
          <w:bottom w:w="0" w:type="dxa"/>
          <w:right w:w="0" w:type="dxa"/>
        </w:tblCellMar>
        <w:tblLook w:val="01E0"/>
      </w:tblPr>
      <w:tblGrid>
        <w:gridCol w:w="1067"/>
        <w:gridCol w:w="1062"/>
        <w:gridCol w:w="1063"/>
        <w:gridCol w:w="1064"/>
        <w:gridCol w:w="1063"/>
        <w:gridCol w:w="637"/>
        <w:gridCol w:w="1276"/>
        <w:gridCol w:w="1276"/>
        <w:gridCol w:w="1063"/>
      </w:tblGrid>
      <w:tr>
        <w:trPr>
          <w:trHeight w:val="725" w:hRule="exact"/>
        </w:trPr>
        <w:tc>
          <w:tcPr>
            <w:tcW w:w="106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3" w:right="7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4" w:right="18"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2280"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3" w:right="84"/>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 家智能电网 产业集聚发 展试点重点 项目补助</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 w:right="125"/>
              <w:jc w:val="both"/>
              <w:rPr>
                <w:rFonts w:ascii="宋体" w:hAnsi="宋体" w:cs="宋体" w:eastAsia="宋体" w:hint="default"/>
                <w:sz w:val="18"/>
                <w:szCs w:val="18"/>
              </w:rPr>
            </w:pPr>
            <w:r>
              <w:rPr>
                <w:rFonts w:ascii="宋体" w:hAnsi="宋体" w:cs="宋体" w:eastAsia="宋体" w:hint="default"/>
                <w:sz w:val="18"/>
                <w:szCs w:val="18"/>
              </w:rPr>
              <w:t>江苏省发展 与改革委员 会</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3,156,074.21</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3" w:right="129"/>
              <w:jc w:val="left"/>
              <w:rPr>
                <w:rFonts w:ascii="宋体" w:hAnsi="宋体" w:cs="宋体" w:eastAsia="宋体" w:hint="default"/>
                <w:sz w:val="18"/>
                <w:szCs w:val="18"/>
              </w:rPr>
            </w:pPr>
            <w:r>
              <w:rPr>
                <w:rFonts w:ascii="宋体" w:hAnsi="宋体" w:cs="宋体" w:eastAsia="宋体" w:hint="default"/>
                <w:sz w:val="18"/>
                <w:szCs w:val="18"/>
              </w:rPr>
              <w:t>科协专利补 助</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125"/>
              <w:jc w:val="both"/>
              <w:rPr>
                <w:rFonts w:ascii="宋体" w:hAnsi="宋体" w:cs="宋体" w:eastAsia="宋体" w:hint="default"/>
                <w:sz w:val="18"/>
                <w:szCs w:val="18"/>
              </w:rPr>
            </w:pPr>
            <w:r>
              <w:rPr>
                <w:rFonts w:ascii="宋体" w:hAnsi="宋体" w:cs="宋体" w:eastAsia="宋体" w:hint="default"/>
                <w:sz w:val="18"/>
                <w:szCs w:val="18"/>
              </w:rPr>
              <w:t>江宁区人民 政府东山街 道办事处财 政所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 w:right="129"/>
              <w:jc w:val="both"/>
              <w:rPr>
                <w:rFonts w:ascii="宋体" w:hAnsi="宋体" w:cs="宋体" w:eastAsia="宋体" w:hint="default"/>
                <w:sz w:val="18"/>
                <w:szCs w:val="18"/>
              </w:rPr>
            </w:pPr>
            <w:r>
              <w:rPr>
                <w:rFonts w:ascii="宋体" w:hAnsi="宋体" w:cs="宋体" w:eastAsia="宋体" w:hint="default"/>
                <w:sz w:val="18"/>
                <w:szCs w:val="18"/>
              </w:rPr>
              <w:t>扶持中小微 工业企业加 快发展经费</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35"/>
              <w:jc w:val="left"/>
              <w:rPr>
                <w:rFonts w:ascii="宋体" w:hAnsi="宋体" w:cs="宋体" w:eastAsia="宋体" w:hint="default"/>
                <w:sz w:val="18"/>
                <w:szCs w:val="18"/>
              </w:rPr>
            </w:pPr>
            <w:r>
              <w:rPr>
                <w:rFonts w:ascii="宋体" w:hAnsi="宋体" w:cs="宋体" w:eastAsia="宋体" w:hint="default"/>
                <w:sz w:val="18"/>
                <w:szCs w:val="18"/>
              </w:rPr>
              <w:t>南京市经济 和信息化委 员会</w:t>
            </w:r>
            <w:r>
              <w:rPr>
                <w:rFonts w:ascii="宋体" w:hAnsi="宋体" w:cs="宋体" w:eastAsia="宋体" w:hint="default"/>
                <w:sz w:val="18"/>
                <w:szCs w:val="18"/>
              </w:rPr>
              <w:t>&amp;</w:t>
            </w:r>
            <w:r>
              <w:rPr>
                <w:rFonts w:ascii="宋体" w:hAnsi="宋体" w:cs="宋体" w:eastAsia="宋体" w:hint="default"/>
                <w:sz w:val="18"/>
                <w:szCs w:val="18"/>
              </w:rPr>
              <w:t>南京市 环境保护局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40,000.00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1"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29"/>
              <w:jc w:val="both"/>
              <w:rPr>
                <w:rFonts w:ascii="宋体" w:hAnsi="宋体" w:cs="宋体" w:eastAsia="宋体" w:hint="default"/>
                <w:sz w:val="18"/>
                <w:szCs w:val="18"/>
              </w:rPr>
            </w:pPr>
            <w:r>
              <w:rPr>
                <w:rFonts w:ascii="宋体" w:hAnsi="宋体" w:cs="宋体" w:eastAsia="宋体" w:hint="default"/>
                <w:sz w:val="18"/>
                <w:szCs w:val="18"/>
              </w:rPr>
              <w:t>科技局自主 知识产权开 发计划</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125"/>
              <w:jc w:val="both"/>
              <w:rPr>
                <w:rFonts w:ascii="宋体" w:hAnsi="宋体" w:cs="宋体" w:eastAsia="宋体" w:hint="default"/>
                <w:sz w:val="18"/>
                <w:szCs w:val="18"/>
              </w:rPr>
            </w:pPr>
            <w:r>
              <w:rPr>
                <w:rFonts w:ascii="宋体" w:hAnsi="宋体" w:cs="宋体" w:eastAsia="宋体" w:hint="default"/>
                <w:sz w:val="18"/>
                <w:szCs w:val="18"/>
              </w:rPr>
              <w:t>南京市江宁 区科学技术 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26,000.00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 w:right="129"/>
              <w:jc w:val="both"/>
              <w:rPr>
                <w:rFonts w:ascii="宋体" w:hAnsi="宋体" w:cs="宋体" w:eastAsia="宋体" w:hint="default"/>
                <w:sz w:val="18"/>
                <w:szCs w:val="18"/>
              </w:rPr>
            </w:pPr>
            <w:r>
              <w:rPr>
                <w:rFonts w:ascii="宋体" w:hAnsi="宋体" w:cs="宋体" w:eastAsia="宋体" w:hint="default"/>
                <w:sz w:val="18"/>
                <w:szCs w:val="18"/>
              </w:rPr>
              <w:t>科技局知识 产权战略专 项</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0" w:right="125"/>
              <w:jc w:val="left"/>
              <w:rPr>
                <w:rFonts w:ascii="宋体" w:hAnsi="宋体" w:cs="宋体" w:eastAsia="宋体" w:hint="default"/>
                <w:sz w:val="18"/>
                <w:szCs w:val="18"/>
              </w:rPr>
            </w:pPr>
            <w:r>
              <w:rPr>
                <w:rFonts w:ascii="宋体" w:hAnsi="宋体" w:cs="宋体" w:eastAsia="宋体" w:hint="default"/>
                <w:sz w:val="18"/>
                <w:szCs w:val="18"/>
              </w:rPr>
              <w:t>南京市江宁 区财政局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23" w:hRule="exact"/>
        </w:trPr>
        <w:tc>
          <w:tcPr>
            <w:tcW w:w="10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3" w:right="129"/>
              <w:jc w:val="left"/>
              <w:rPr>
                <w:rFonts w:ascii="宋体" w:hAnsi="宋体" w:cs="宋体" w:eastAsia="宋体" w:hint="default"/>
                <w:sz w:val="18"/>
                <w:szCs w:val="18"/>
              </w:rPr>
            </w:pPr>
            <w:r>
              <w:rPr>
                <w:rFonts w:ascii="宋体" w:hAnsi="宋体" w:cs="宋体" w:eastAsia="宋体" w:hint="default"/>
                <w:sz w:val="18"/>
                <w:szCs w:val="18"/>
              </w:rPr>
              <w:t>新兴产业转 型引导专项</w:t>
            </w:r>
          </w:p>
        </w:tc>
        <w:tc>
          <w:tcPr>
            <w:tcW w:w="1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0" w:right="125"/>
              <w:jc w:val="left"/>
              <w:rPr>
                <w:rFonts w:ascii="宋体" w:hAnsi="宋体" w:cs="宋体" w:eastAsia="宋体" w:hint="default"/>
                <w:sz w:val="18"/>
                <w:szCs w:val="18"/>
              </w:rPr>
            </w:pPr>
            <w:r>
              <w:rPr>
                <w:rFonts w:ascii="宋体" w:hAnsi="宋体" w:cs="宋体" w:eastAsia="宋体" w:hint="default"/>
                <w:sz w:val="18"/>
                <w:szCs w:val="18"/>
              </w:rPr>
              <w:t>南京市江宁 区财政局</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500,000.00</w:t>
            </w:r>
          </w:p>
        </w:tc>
        <w:tc>
          <w:tcPr>
            <w:tcW w:w="10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40" w:bottom="11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9.799988pt;margin-top:675.880005pt;width:52.45pt;height:23.4pt;mso-position-horizontal-relative:page;mso-position-vertical-relative:page;z-index:-1094416" coordorigin="5396,13518" coordsize="1049,468">
            <v:shape style="position:absolute;left:5396;top:13518;width:1049;height:468" coordorigin="5396,13518" coordsize="1049,468" path="m5396,13986l6445,13986,6445,13518,5396,13518,5396,13986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1067"/>
        <w:gridCol w:w="1062"/>
        <w:gridCol w:w="1063"/>
        <w:gridCol w:w="1064"/>
        <w:gridCol w:w="1063"/>
        <w:gridCol w:w="637"/>
        <w:gridCol w:w="1276"/>
        <w:gridCol w:w="1276"/>
        <w:gridCol w:w="1063"/>
      </w:tblGrid>
      <w:tr>
        <w:trPr>
          <w:trHeight w:val="727" w:hRule="exact"/>
        </w:trPr>
        <w:tc>
          <w:tcPr>
            <w:tcW w:w="106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3" w:right="7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4" w:right="18"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678" w:hRule="exact"/>
        </w:trPr>
        <w:tc>
          <w:tcPr>
            <w:tcW w:w="1067" w:type="dxa"/>
            <w:tcBorders>
              <w:top w:val="single" w:sz="6" w:space="0" w:color="000000"/>
              <w:left w:val="single" w:sz="12"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0"/>
              <w:ind w:left="74" w:right="72"/>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2280"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3" w:right="84"/>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年省级 工业和信息 产业转型升 级引导资金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0" w:right="125"/>
              <w:jc w:val="both"/>
              <w:rPr>
                <w:rFonts w:ascii="宋体" w:hAnsi="宋体" w:cs="宋体" w:eastAsia="宋体" w:hint="default"/>
                <w:sz w:val="18"/>
                <w:szCs w:val="18"/>
              </w:rPr>
            </w:pPr>
            <w:r>
              <w:rPr>
                <w:rFonts w:ascii="宋体" w:hAnsi="宋体" w:cs="宋体" w:eastAsia="宋体" w:hint="default"/>
                <w:sz w:val="18"/>
                <w:szCs w:val="18"/>
              </w:rPr>
              <w:t>江苏省经济 和信息化委 员会</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8"/>
              <w:jc w:val="right"/>
              <w:rPr>
                <w:rFonts w:ascii="宋体" w:hAnsi="宋体" w:cs="宋体" w:eastAsia="宋体" w:hint="default"/>
                <w:sz w:val="18"/>
                <w:szCs w:val="18"/>
              </w:rPr>
            </w:pPr>
            <w:r>
              <w:rPr>
                <w:rFonts w:ascii="宋体"/>
                <w:sz w:val="18"/>
              </w:rPr>
              <w:t>550,000.00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9"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129"/>
              <w:jc w:val="left"/>
              <w:rPr>
                <w:rFonts w:ascii="宋体" w:hAnsi="宋体" w:cs="宋体" w:eastAsia="宋体" w:hint="default"/>
                <w:sz w:val="18"/>
                <w:szCs w:val="18"/>
              </w:rPr>
            </w:pPr>
            <w:r>
              <w:rPr>
                <w:rFonts w:ascii="宋体" w:hAnsi="宋体" w:cs="宋体" w:eastAsia="宋体" w:hint="default"/>
                <w:sz w:val="18"/>
                <w:szCs w:val="18"/>
              </w:rPr>
              <w:t>企业品牌建 设奖</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125"/>
              <w:jc w:val="left"/>
              <w:rPr>
                <w:rFonts w:ascii="宋体" w:hAnsi="宋体" w:cs="宋体" w:eastAsia="宋体" w:hint="default"/>
                <w:sz w:val="18"/>
                <w:szCs w:val="18"/>
              </w:rPr>
            </w:pPr>
            <w:r>
              <w:rPr>
                <w:rFonts w:ascii="宋体" w:hAnsi="宋体" w:cs="宋体" w:eastAsia="宋体" w:hint="default"/>
                <w:sz w:val="18"/>
                <w:szCs w:val="18"/>
              </w:rPr>
              <w:t>公安县人民 政府</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1"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29"/>
              <w:jc w:val="both"/>
              <w:rPr>
                <w:rFonts w:ascii="宋体" w:hAnsi="宋体" w:cs="宋体" w:eastAsia="宋体" w:hint="default"/>
                <w:sz w:val="18"/>
                <w:szCs w:val="18"/>
              </w:rPr>
            </w:pPr>
            <w:r>
              <w:rPr>
                <w:rFonts w:ascii="宋体" w:hAnsi="宋体" w:cs="宋体" w:eastAsia="宋体" w:hint="default"/>
                <w:sz w:val="18"/>
                <w:szCs w:val="18"/>
              </w:rPr>
              <w:t>科技型中小 企业创新资 金</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0" w:right="125"/>
              <w:jc w:val="left"/>
              <w:rPr>
                <w:rFonts w:ascii="宋体" w:hAnsi="宋体" w:cs="宋体" w:eastAsia="宋体" w:hint="default"/>
                <w:sz w:val="18"/>
                <w:szCs w:val="18"/>
              </w:rPr>
            </w:pPr>
            <w:r>
              <w:rPr>
                <w:rFonts w:ascii="宋体" w:hAnsi="宋体" w:cs="宋体" w:eastAsia="宋体" w:hint="default"/>
                <w:sz w:val="18"/>
                <w:szCs w:val="18"/>
              </w:rPr>
              <w:t>南京市江宁 区科技局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140,000.00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1"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3" w:right="129"/>
              <w:jc w:val="left"/>
              <w:rPr>
                <w:rFonts w:ascii="宋体" w:hAnsi="宋体" w:cs="宋体" w:eastAsia="宋体" w:hint="default"/>
                <w:sz w:val="18"/>
                <w:szCs w:val="18"/>
              </w:rPr>
            </w:pPr>
            <w:r>
              <w:rPr>
                <w:rFonts w:ascii="宋体" w:hAnsi="宋体" w:cs="宋体" w:eastAsia="宋体" w:hint="default"/>
                <w:sz w:val="18"/>
                <w:szCs w:val="18"/>
              </w:rPr>
              <w:t>企业上市奖 励</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125"/>
              <w:jc w:val="both"/>
              <w:rPr>
                <w:rFonts w:ascii="宋体" w:hAnsi="宋体" w:cs="宋体" w:eastAsia="宋体" w:hint="default"/>
                <w:sz w:val="18"/>
                <w:szCs w:val="18"/>
              </w:rPr>
            </w:pPr>
            <w:r>
              <w:rPr>
                <w:rFonts w:ascii="宋体" w:hAnsi="宋体" w:cs="宋体" w:eastAsia="宋体" w:hint="default"/>
                <w:sz w:val="18"/>
                <w:szCs w:val="18"/>
              </w:rPr>
              <w:t>湖北荆州市 公安县人民 政府</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74" w:right="72"/>
              <w:jc w:val="center"/>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8"/>
              <w:jc w:val="right"/>
              <w:rPr>
                <w:rFonts w:ascii="宋体" w:hAnsi="宋体" w:cs="宋体" w:eastAsia="宋体" w:hint="default"/>
                <w:sz w:val="18"/>
                <w:szCs w:val="18"/>
              </w:rPr>
            </w:pPr>
            <w:r>
              <w:rPr>
                <w:rFonts w:ascii="宋体"/>
                <w:sz w:val="18"/>
              </w:rPr>
              <w:t>500,000.00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1"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3" w:right="0"/>
              <w:jc w:val="left"/>
              <w:rPr>
                <w:rFonts w:ascii="宋体" w:hAnsi="宋体" w:cs="宋体" w:eastAsia="宋体" w:hint="default"/>
                <w:sz w:val="18"/>
                <w:szCs w:val="18"/>
              </w:rPr>
            </w:pPr>
            <w:r>
              <w:rPr>
                <w:rFonts w:ascii="宋体" w:hAnsi="宋体" w:cs="宋体" w:eastAsia="宋体" w:hint="default"/>
                <w:sz w:val="18"/>
                <w:szCs w:val="18"/>
              </w:rPr>
              <w:t>专利奖励</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2"/>
              <w:ind w:left="20" w:right="18"/>
              <w:jc w:val="left"/>
              <w:rPr>
                <w:rFonts w:ascii="宋体" w:hAnsi="宋体" w:cs="宋体" w:eastAsia="宋体" w:hint="default"/>
                <w:sz w:val="18"/>
                <w:szCs w:val="18"/>
              </w:rPr>
            </w:pPr>
            <w:r>
              <w:rPr>
                <w:rFonts w:ascii="宋体" w:hAnsi="宋体" w:cs="宋体" w:eastAsia="宋体" w:hint="default"/>
                <w:sz w:val="18"/>
                <w:szCs w:val="18"/>
              </w:rPr>
              <w:t>荆州市人民 </w:t>
            </w:r>
            <w:r>
              <w:rPr>
                <w:rFonts w:ascii="宋体" w:hAnsi="宋体" w:cs="宋体" w:eastAsia="宋体" w:hint="default"/>
                <w:spacing w:val="-13"/>
                <w:sz w:val="18"/>
                <w:szCs w:val="18"/>
              </w:rPr>
              <w:t>政府、各地财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8"/>
              <w:jc w:val="right"/>
              <w:rPr>
                <w:rFonts w:ascii="宋体" w:hAnsi="宋体" w:cs="宋体" w:eastAsia="宋体" w:hint="default"/>
                <w:sz w:val="18"/>
                <w:szCs w:val="18"/>
              </w:rPr>
            </w:pPr>
            <w:r>
              <w:rPr>
                <w:rFonts w:ascii="宋体"/>
                <w:sz w:val="18"/>
              </w:rPr>
              <w:t>24,000.00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9"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3" w:right="38"/>
              <w:jc w:val="left"/>
              <w:rPr>
                <w:rFonts w:ascii="宋体" w:hAnsi="宋体" w:cs="宋体" w:eastAsia="宋体" w:hint="default"/>
                <w:sz w:val="18"/>
                <w:szCs w:val="18"/>
              </w:rPr>
            </w:pPr>
            <w:r>
              <w:rPr>
                <w:rFonts w:ascii="宋体" w:hAnsi="宋体" w:cs="宋体" w:eastAsia="宋体" w:hint="default"/>
                <w:sz w:val="18"/>
                <w:szCs w:val="18"/>
              </w:rPr>
              <w:t>科技局科技 型企业</w:t>
            </w:r>
            <w:r>
              <w:rPr>
                <w:rFonts w:ascii="宋体" w:hAnsi="宋体" w:cs="宋体" w:eastAsia="宋体" w:hint="default"/>
                <w:sz w:val="18"/>
                <w:szCs w:val="18"/>
              </w:rPr>
              <w:t>"</w:t>
            </w:r>
            <w:r>
              <w:rPr>
                <w:rFonts w:ascii="宋体" w:hAnsi="宋体" w:cs="宋体" w:eastAsia="宋体" w:hint="default"/>
                <w:sz w:val="18"/>
                <w:szCs w:val="18"/>
              </w:rPr>
              <w:t>小升 高</w:t>
            </w:r>
            <w:r>
              <w:rPr>
                <w:rFonts w:ascii="宋体" w:hAnsi="宋体" w:cs="宋体" w:eastAsia="宋体" w:hint="default"/>
                <w:sz w:val="18"/>
                <w:szCs w:val="18"/>
              </w:rPr>
              <w:t>"</w:t>
            </w:r>
            <w:r>
              <w:rPr>
                <w:rFonts w:ascii="宋体" w:hAnsi="宋体" w:cs="宋体" w:eastAsia="宋体" w:hint="default"/>
                <w:sz w:val="18"/>
                <w:szCs w:val="18"/>
              </w:rPr>
              <w:t>计划江宁 区科技发展 计划项目经 费</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0" w:right="125"/>
              <w:jc w:val="left"/>
              <w:rPr>
                <w:rFonts w:ascii="宋体" w:hAnsi="宋体" w:cs="宋体" w:eastAsia="宋体" w:hint="default"/>
                <w:sz w:val="18"/>
                <w:szCs w:val="18"/>
              </w:rPr>
            </w:pPr>
            <w:r>
              <w:rPr>
                <w:rFonts w:ascii="宋体" w:hAnsi="宋体" w:cs="宋体" w:eastAsia="宋体" w:hint="default"/>
                <w:sz w:val="18"/>
                <w:szCs w:val="18"/>
              </w:rPr>
              <w:t>南京市江宁 区财政局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8"/>
              <w:jc w:val="right"/>
              <w:rPr>
                <w:rFonts w:ascii="宋体" w:hAnsi="宋体" w:cs="宋体" w:eastAsia="宋体" w:hint="default"/>
                <w:sz w:val="18"/>
                <w:szCs w:val="18"/>
              </w:rPr>
            </w:pPr>
            <w:r>
              <w:rPr>
                <w:rFonts w:ascii="宋体"/>
                <w:sz w:val="18"/>
              </w:rPr>
              <w:t>50,000.00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0"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3" w:right="84"/>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年度南 京市科委自 主知识产权 项目</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0" w:right="125"/>
              <w:jc w:val="left"/>
              <w:rPr>
                <w:rFonts w:ascii="宋体" w:hAnsi="宋体" w:cs="宋体" w:eastAsia="宋体" w:hint="default"/>
                <w:sz w:val="18"/>
                <w:szCs w:val="18"/>
              </w:rPr>
            </w:pPr>
            <w:r>
              <w:rPr>
                <w:rFonts w:ascii="宋体" w:hAnsi="宋体" w:cs="宋体" w:eastAsia="宋体" w:hint="default"/>
                <w:sz w:val="18"/>
                <w:szCs w:val="18"/>
              </w:rPr>
              <w:t>江宁区科技 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33"/>
              <w:jc w:val="righ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8"/>
              <w:jc w:val="right"/>
              <w:rPr>
                <w:rFonts w:ascii="宋体" w:hAnsi="宋体" w:cs="宋体" w:eastAsia="宋体" w:hint="default"/>
                <w:sz w:val="18"/>
                <w:szCs w:val="18"/>
              </w:rPr>
            </w:pPr>
            <w:r>
              <w:rPr>
                <w:rFonts w:ascii="宋体"/>
                <w:sz w:val="18"/>
              </w:rPr>
              <w:t>500,000.00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3" w:right="129"/>
              <w:jc w:val="left"/>
              <w:rPr>
                <w:rFonts w:ascii="宋体" w:hAnsi="宋体" w:cs="宋体" w:eastAsia="宋体" w:hint="default"/>
                <w:sz w:val="18"/>
                <w:szCs w:val="18"/>
              </w:rPr>
            </w:pPr>
            <w:r>
              <w:rPr>
                <w:rFonts w:ascii="宋体" w:hAnsi="宋体" w:cs="宋体" w:eastAsia="宋体" w:hint="default"/>
                <w:sz w:val="18"/>
                <w:szCs w:val="18"/>
              </w:rPr>
              <w:t>软件信息发 展专项</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0" w:right="125"/>
              <w:jc w:val="left"/>
              <w:rPr>
                <w:rFonts w:ascii="宋体" w:hAnsi="宋体" w:cs="宋体" w:eastAsia="宋体" w:hint="default"/>
                <w:sz w:val="18"/>
                <w:szCs w:val="18"/>
              </w:rPr>
            </w:pPr>
            <w:r>
              <w:rPr>
                <w:rFonts w:ascii="宋体" w:hAnsi="宋体" w:cs="宋体" w:eastAsia="宋体" w:hint="default"/>
                <w:sz w:val="18"/>
                <w:szCs w:val="18"/>
              </w:rPr>
              <w:t>工业和信息 化局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宋体" w:hAnsi="宋体" w:cs="宋体" w:eastAsia="宋体" w:hint="default"/>
                <w:sz w:val="18"/>
                <w:szCs w:val="18"/>
              </w:rPr>
            </w:pPr>
            <w:r>
              <w:rPr>
                <w:rFonts w:ascii="宋体"/>
                <w:sz w:val="18"/>
              </w:rPr>
              <w:t>10,000.00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5" w:hRule="exact"/>
        </w:trPr>
        <w:tc>
          <w:tcPr>
            <w:tcW w:w="10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1"/>
              <w:ind w:left="13" w:right="0"/>
              <w:jc w:val="left"/>
              <w:rPr>
                <w:rFonts w:ascii="宋体" w:hAnsi="宋体" w:cs="宋体" w:eastAsia="宋体" w:hint="default"/>
                <w:sz w:val="18"/>
                <w:szCs w:val="18"/>
              </w:rPr>
            </w:pPr>
            <w:r>
              <w:rPr>
                <w:rFonts w:ascii="宋体" w:hAnsi="宋体" w:cs="宋体" w:eastAsia="宋体" w:hint="default"/>
                <w:sz w:val="18"/>
                <w:szCs w:val="18"/>
              </w:rPr>
              <w:t>软件企业补</w:t>
            </w:r>
          </w:p>
        </w:tc>
        <w:tc>
          <w:tcPr>
            <w:tcW w:w="10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right="125"/>
              <w:jc w:val="right"/>
              <w:rPr>
                <w:rFonts w:ascii="宋体" w:hAnsi="宋体" w:cs="宋体" w:eastAsia="宋体" w:hint="default"/>
                <w:sz w:val="18"/>
                <w:szCs w:val="18"/>
              </w:rPr>
            </w:pPr>
            <w:r>
              <w:rPr>
                <w:rFonts w:ascii="宋体" w:hAnsi="宋体" w:cs="宋体" w:eastAsia="宋体" w:hint="default"/>
                <w:sz w:val="18"/>
                <w:szCs w:val="18"/>
              </w:rPr>
              <w:t>湖北软件评</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12" w:space="0" w:color="000000"/>
              <w:right w:val="single" w:sz="14" w:space="0" w:color="FFFFFF"/>
            </w:tcBorders>
          </w:tcPr>
          <w:p>
            <w:pPr>
              <w:pStyle w:val="TableParagraph"/>
              <w:spacing w:line="240" w:lineRule="auto" w:before="71"/>
              <w:ind w:right="115"/>
              <w:jc w:val="righ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6" w:space="0" w:color="000000"/>
              <w:left w:val="single" w:sz="14" w:space="0" w:color="FFFFFF"/>
              <w:bottom w:val="single" w:sz="12" w:space="0" w:color="000000"/>
              <w:right w:val="single" w:sz="6" w:space="0" w:color="000000"/>
            </w:tcBorders>
          </w:tcPr>
          <w:p>
            <w:pPr>
              <w:pStyle w:val="TableParagraph"/>
              <w:tabs>
                <w:tab w:pos="422" w:val="left" w:leader="none"/>
              </w:tabs>
              <w:spacing w:line="240" w:lineRule="auto" w:before="51"/>
              <w:ind w:left="-153" w:right="433"/>
              <w:jc w:val="right"/>
              <w:rPr>
                <w:rFonts w:ascii="宋体" w:hAnsi="宋体" w:cs="宋体" w:eastAsia="宋体" w:hint="default"/>
                <w:sz w:val="18"/>
                <w:szCs w:val="18"/>
              </w:rPr>
            </w:pPr>
            <w:r>
              <w:rPr>
                <w:rFonts w:ascii="宋体" w:hAnsi="宋体" w:cs="宋体" w:eastAsia="宋体" w:hint="default"/>
                <w:position w:val="-1"/>
                <w:sz w:val="18"/>
                <w:szCs w:val="18"/>
              </w:rPr>
              <w:t>、</w:t>
              <w:tab/>
            </w:r>
            <w:r>
              <w:rPr>
                <w:rFonts w:ascii="宋体" w:hAnsi="宋体" w:cs="宋体" w:eastAsia="宋体" w:hint="default"/>
                <w:sz w:val="18"/>
                <w:szCs w:val="18"/>
              </w:rPr>
              <w:t>否</w:t>
            </w:r>
          </w:p>
        </w:tc>
        <w:tc>
          <w:tcPr>
            <w:tcW w:w="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3,800.00</w:t>
            </w:r>
          </w:p>
        </w:tc>
        <w:tc>
          <w:tcPr>
            <w:tcW w:w="10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18" w:type="dxa"/>
        <w:tblLayout w:type="fixed"/>
        <w:tblCellMar>
          <w:top w:w="0" w:type="dxa"/>
          <w:left w:w="0" w:type="dxa"/>
          <w:bottom w:w="0" w:type="dxa"/>
          <w:right w:w="0" w:type="dxa"/>
        </w:tblCellMar>
        <w:tblLook w:val="01E0"/>
      </w:tblPr>
      <w:tblGrid>
        <w:gridCol w:w="1067"/>
        <w:gridCol w:w="1062"/>
        <w:gridCol w:w="1063"/>
        <w:gridCol w:w="1064"/>
        <w:gridCol w:w="1063"/>
        <w:gridCol w:w="637"/>
        <w:gridCol w:w="1276"/>
        <w:gridCol w:w="1276"/>
        <w:gridCol w:w="1063"/>
      </w:tblGrid>
      <w:tr>
        <w:trPr>
          <w:trHeight w:val="727" w:hRule="exact"/>
        </w:trPr>
        <w:tc>
          <w:tcPr>
            <w:tcW w:w="106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3" w:right="7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4" w:right="18" w:hanging="4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990"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测中心</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0"/>
              <w:ind w:left="74" w:right="72"/>
              <w:jc w:val="center"/>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12" w:space="0" w:color="000000"/>
            </w:tcBorders>
          </w:tcPr>
          <w:p>
            <w:pPr/>
          </w:p>
        </w:tc>
      </w:tr>
      <w:tr>
        <w:trPr>
          <w:trHeight w:val="1344"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3" w:right="129"/>
              <w:jc w:val="left"/>
              <w:rPr>
                <w:rFonts w:ascii="宋体" w:hAnsi="宋体" w:cs="宋体" w:eastAsia="宋体" w:hint="default"/>
                <w:sz w:val="18"/>
                <w:szCs w:val="18"/>
              </w:rPr>
            </w:pPr>
            <w:r>
              <w:rPr>
                <w:rFonts w:ascii="宋体" w:hAnsi="宋体" w:cs="宋体" w:eastAsia="宋体" w:hint="default"/>
                <w:sz w:val="18"/>
                <w:szCs w:val="18"/>
              </w:rPr>
              <w:t>自主知识产 权开发补助</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25"/>
              <w:jc w:val="both"/>
              <w:rPr>
                <w:rFonts w:ascii="宋体" w:hAnsi="宋体" w:cs="宋体" w:eastAsia="宋体" w:hint="default"/>
                <w:sz w:val="18"/>
                <w:szCs w:val="18"/>
              </w:rPr>
            </w:pPr>
            <w:r>
              <w:rPr>
                <w:rFonts w:ascii="宋体" w:hAnsi="宋体" w:cs="宋体" w:eastAsia="宋体" w:hint="default"/>
                <w:sz w:val="18"/>
                <w:szCs w:val="18"/>
              </w:rPr>
              <w:t>南京市江宁 区人民政府 东山街道办 事处</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72" w:hanging="53"/>
              <w:jc w:val="center"/>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宋体" w:hAnsi="宋体" w:cs="宋体" w:eastAsia="宋体" w:hint="default"/>
                <w:sz w:val="18"/>
                <w:szCs w:val="18"/>
              </w:rPr>
            </w:pPr>
            <w:r>
              <w:rPr>
                <w:rFonts w:ascii="宋体"/>
                <w:sz w:val="18"/>
              </w:rPr>
              <w:t>1,000.00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3"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3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中小微工业 企业发展专 项资金</w:t>
            </w:r>
            <w:r>
              <w:rPr>
                <w:rFonts w:ascii="宋体" w:hAnsi="宋体" w:cs="宋体" w:eastAsia="宋体" w:hint="default"/>
                <w:sz w:val="18"/>
                <w:szCs w:val="18"/>
              </w:rPr>
              <w:t>"</w:t>
            </w:r>
            <w:r>
              <w:rPr>
                <w:rFonts w:ascii="宋体" w:hAnsi="宋体" w:cs="宋体" w:eastAsia="宋体" w:hint="default"/>
                <w:sz w:val="18"/>
                <w:szCs w:val="18"/>
              </w:rPr>
              <w:t>清洁 生产项目</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0" w:right="125"/>
              <w:jc w:val="left"/>
              <w:rPr>
                <w:rFonts w:ascii="宋体" w:hAnsi="宋体" w:cs="宋体" w:eastAsia="宋体" w:hint="default"/>
                <w:sz w:val="18"/>
                <w:szCs w:val="18"/>
              </w:rPr>
            </w:pPr>
            <w:r>
              <w:rPr>
                <w:rFonts w:ascii="宋体" w:hAnsi="宋体" w:cs="宋体" w:eastAsia="宋体" w:hint="default"/>
                <w:sz w:val="18"/>
                <w:szCs w:val="18"/>
              </w:rPr>
              <w:t>江宁区财政 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10,000.00</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7" w:hRule="exact"/>
        </w:trPr>
        <w:tc>
          <w:tcPr>
            <w:tcW w:w="10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各地财政局</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214,467.47</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5" w:hRule="exact"/>
        </w:trPr>
        <w:tc>
          <w:tcPr>
            <w:tcW w:w="106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6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63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76"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5,827,341.68</w:t>
            </w:r>
          </w:p>
        </w:tc>
        <w:tc>
          <w:tcPr>
            <w:tcW w:w="106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left="1134" w:right="1121" w:firstLine="420"/>
        <w:jc w:val="left"/>
      </w:pPr>
      <w:r>
        <w:rPr/>
        <w:t>营业外收入本期发生额较上期减少</w:t>
      </w:r>
      <w:r>
        <w:rPr>
          <w:spacing w:val="-47"/>
        </w:rPr>
        <w:t> </w:t>
      </w:r>
      <w:r>
        <w:rPr>
          <w:rFonts w:ascii="宋体" w:hAnsi="宋体" w:cs="宋体" w:eastAsia="宋体" w:hint="default"/>
        </w:rPr>
        <w:t>24,631,456.31</w:t>
      </w:r>
      <w:r>
        <w:rPr>
          <w:rFonts w:ascii="宋体" w:hAnsi="宋体" w:cs="宋体" w:eastAsia="宋体" w:hint="default"/>
          <w:spacing w:val="-47"/>
        </w:rPr>
        <w:t> </w:t>
      </w:r>
      <w:r>
        <w:rPr>
          <w:spacing w:val="-6"/>
        </w:rPr>
        <w:t>元，减少比例为</w:t>
      </w:r>
      <w:r>
        <w:rPr>
          <w:spacing w:val="-49"/>
        </w:rPr>
        <w:t> </w:t>
      </w:r>
      <w:r>
        <w:rPr>
          <w:rFonts w:ascii="宋体" w:hAnsi="宋体" w:cs="宋体" w:eastAsia="宋体" w:hint="default"/>
          <w:spacing w:val="-3"/>
        </w:rPr>
        <w:t>97.25%</w:t>
      </w:r>
      <w:r>
        <w:rPr>
          <w:spacing w:val="-3"/>
        </w:rPr>
        <w:t>，系上期确认了无需支付的</w:t>
      </w:r>
      <w:r>
        <w:rPr/>
        <w:t> 收购对价</w:t>
      </w:r>
      <w:r>
        <w:rPr>
          <w:spacing w:val="-53"/>
        </w:rPr>
        <w:t> </w:t>
      </w:r>
      <w:r>
        <w:rPr>
          <w:rFonts w:ascii="宋体" w:hAnsi="宋体" w:cs="宋体" w:eastAsia="宋体" w:hint="default"/>
        </w:rPr>
        <w:t>1,770.12</w:t>
      </w:r>
      <w:r>
        <w:rPr>
          <w:rFonts w:ascii="宋体" w:hAnsi="宋体" w:cs="宋体" w:eastAsia="宋体" w:hint="default"/>
          <w:spacing w:val="-54"/>
        </w:rPr>
        <w:t> </w:t>
      </w:r>
      <w:r>
        <w:rPr/>
        <w:t>万的奖励对价以及本期与经营活动相关的政府补助计入其他收益科目所致。</w:t>
      </w:r>
    </w:p>
    <w:p>
      <w:pPr>
        <w:spacing w:after="0" w:line="408" w:lineRule="auto"/>
        <w:jc w:val="left"/>
        <w:sectPr>
          <w:pgSz w:w="11910" w:h="16840"/>
          <w:pgMar w:header="747" w:footer="1000" w:top="1040" w:bottom="1180" w:left="0" w:right="0"/>
        </w:sectPr>
      </w:pPr>
    </w:p>
    <w:p>
      <w:pPr>
        <w:pStyle w:val="Heading4"/>
        <w:spacing w:line="240" w:lineRule="auto" w:before="88"/>
        <w:ind w:right="0"/>
        <w:jc w:val="left"/>
        <w:rPr>
          <w:b w:val="0"/>
          <w:bCs w:val="0"/>
        </w:rPr>
      </w:pPr>
      <w:bookmarkStart w:name="72、营业外支出" w:id="368"/>
      <w:bookmarkEnd w:id="368"/>
      <w:r>
        <w:rPr>
          <w:b w:val="0"/>
          <w:bCs w:val="0"/>
        </w:rPr>
      </w:r>
      <w:r>
        <w:rPr>
          <w:rFonts w:ascii="宋体" w:hAnsi="宋体" w:cs="宋体" w:eastAsia="宋体" w:hint="default"/>
          <w:w w:val="95"/>
        </w:rPr>
        <w:t>72</w:t>
      </w:r>
      <w:r>
        <w:rPr>
          <w:w w:val="95"/>
        </w:rPr>
        <w:t>、营业外支出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7"/>
          <w:szCs w:val="17"/>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610" w:space="6310"/>
            <w:col w:w="2990"/>
          </w:cols>
        </w:sectPr>
      </w:pPr>
    </w:p>
    <w:p>
      <w:pPr>
        <w:spacing w:line="240" w:lineRule="auto" w:before="1"/>
        <w:rPr>
          <w:rFonts w:ascii="宋体" w:hAnsi="宋体" w:cs="宋体" w:eastAsia="宋体" w:hint="default"/>
          <w:sz w:val="8"/>
          <w:szCs w:val="8"/>
        </w:rPr>
      </w:pPr>
      <w:r>
        <w:rPr/>
        <w:pict>
          <v:group style="position:absolute;margin-left:269.799988pt;margin-top:159.019989pt;width:52.45pt;height:23.4pt;mso-position-horizontal-relative:page;mso-position-vertical-relative:page;z-index:-1094392" coordorigin="5396,3180" coordsize="1049,468">
            <v:shape style="position:absolute;left:5396;top:3180;width:1049;height:468" coordorigin="5396,3180" coordsize="1049,468" path="m5396,3648l6445,3648,6445,3180,5396,3180,5396,3648xe" filled="true" fillcolor="#ffffff" stroked="false">
              <v:path arrowok="t"/>
              <v:fill type="solid"/>
            </v:shape>
            <w10:wrap type="none"/>
          </v:group>
        </w:pict>
      </w:r>
    </w:p>
    <w:tbl>
      <w:tblPr>
        <w:tblW w:w="0" w:type="auto"/>
        <w:jc w:val="left"/>
        <w:tblInd w:w="1118" w:type="dxa"/>
        <w:tblLayout w:type="fixed"/>
        <w:tblCellMar>
          <w:top w:w="0" w:type="dxa"/>
          <w:left w:w="0" w:type="dxa"/>
          <w:bottom w:w="0" w:type="dxa"/>
          <w:right w:w="0" w:type="dxa"/>
        </w:tblCellMar>
        <w:tblLook w:val="01E0"/>
      </w:tblPr>
      <w:tblGrid>
        <w:gridCol w:w="2390"/>
        <w:gridCol w:w="2396"/>
        <w:gridCol w:w="2161"/>
        <w:gridCol w:w="2622"/>
      </w:tblGrid>
      <w:tr>
        <w:trPr>
          <w:trHeight w:val="413" w:hRule="exact"/>
        </w:trPr>
        <w:tc>
          <w:tcPr>
            <w:tcW w:w="239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8"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6" w:space="0" w:color="000000"/>
              <w:left w:val="single" w:sz="9" w:space="0" w:color="D2D2D2"/>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c>
          <w:tcPr>
            <w:tcW w:w="262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6" w:space="0" w:color="000000"/>
              <w:left w:val="single" w:sz="9" w:space="0" w:color="D2D2D2"/>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c>
          <w:tcPr>
            <w:tcW w:w="262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6" w:space="0" w:color="000000"/>
              <w:left w:val="single" w:sz="9" w:space="0" w:color="D2D2D2"/>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50,000.00</w:t>
            </w:r>
          </w:p>
        </w:tc>
        <w:tc>
          <w:tcPr>
            <w:tcW w:w="262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121,653.01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237,939.58</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121,653.01</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121,653.01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237,939.58</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121,653.01</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64,641.10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547,148.41</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64,641.10</w:t>
            </w:r>
          </w:p>
        </w:tc>
      </w:tr>
      <w:tr>
        <w:trPr>
          <w:trHeight w:val="416" w:hRule="exact"/>
        </w:trPr>
        <w:tc>
          <w:tcPr>
            <w:tcW w:w="23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186,294.11</w:t>
            </w:r>
          </w:p>
        </w:tc>
        <w:tc>
          <w:tcPr>
            <w:tcW w:w="21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835,087.99</w:t>
            </w:r>
          </w:p>
        </w:tc>
        <w:tc>
          <w:tcPr>
            <w:tcW w:w="2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186,294.11</w:t>
            </w:r>
          </w:p>
        </w:tc>
      </w:tr>
    </w:tbl>
    <w:p>
      <w:pPr>
        <w:pStyle w:val="Heading4"/>
        <w:spacing w:line="240" w:lineRule="auto" w:before="63"/>
        <w:ind w:right="1121"/>
        <w:jc w:val="left"/>
        <w:rPr>
          <w:b w:val="0"/>
          <w:bCs w:val="0"/>
        </w:rPr>
      </w:pPr>
      <w:bookmarkStart w:name="73、所得税费用" w:id="369"/>
      <w:bookmarkEnd w:id="369"/>
      <w:r>
        <w:rPr>
          <w:b w:val="0"/>
          <w:bCs w:val="0"/>
        </w:rPr>
      </w:r>
      <w:r>
        <w:rPr>
          <w:rFonts w:ascii="Times New Roman" w:hAnsi="Times New Roman" w:cs="Times New Roman" w:eastAsia="Times New Roman" w:hint="default"/>
        </w:rPr>
        <w:t>7</w:t>
      </w:r>
      <w:r>
        <w:rPr>
          <w:rFonts w:ascii="宋体" w:hAnsi="宋体" w:cs="宋体" w:eastAsia="宋体" w:hint="default"/>
        </w:rPr>
        <w:t>3</w:t>
      </w:r>
      <w:r>
        <w:rPr/>
        <w:t>、所得税费用</w:t>
      </w:r>
      <w:r>
        <w:rPr>
          <w:b w:val="0"/>
          <w:bCs w:val="0"/>
        </w:rPr>
      </w:r>
    </w:p>
    <w:p>
      <w:pPr>
        <w:pStyle w:val="Heading4"/>
        <w:spacing w:line="240" w:lineRule="auto" w:before="177"/>
        <w:ind w:right="1121"/>
        <w:jc w:val="left"/>
        <w:rPr>
          <w:b w:val="0"/>
          <w:bCs w:val="0"/>
        </w:rPr>
      </w:pPr>
      <w:bookmarkStart w:name="（1）所得税费用表" w:id="370"/>
      <w:bookmarkEnd w:id="370"/>
      <w:r>
        <w:rPr>
          <w:b w:val="0"/>
          <w:bCs w:val="0"/>
        </w:rPr>
      </w:r>
      <w:r>
        <w:rPr/>
        <w:t>（</w:t>
      </w:r>
      <w:r>
        <w:rPr>
          <w:rFonts w:ascii="宋体" w:hAnsi="宋体" w:cs="宋体" w:eastAsia="宋体" w:hint="default"/>
        </w:rPr>
        <w:t>1</w:t>
      </w:r>
      <w:r>
        <w:rPr/>
        <w:t>）所得税费用表</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2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6,194,161.51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16,594,419.53</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-1,431,686.30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-2,469,189.81</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4,762,475.21</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14,125,229.72</w:t>
            </w:r>
          </w:p>
        </w:tc>
      </w:tr>
    </w:tbl>
    <w:p>
      <w:pPr>
        <w:spacing w:after="0" w:line="240" w:lineRule="auto"/>
        <w:jc w:val="right"/>
        <w:rPr>
          <w:rFonts w:ascii="宋体" w:hAnsi="宋体" w:cs="宋体" w:eastAsia="宋体" w:hint="default"/>
          <w:sz w:val="18"/>
          <w:szCs w:val="18"/>
        </w:rPr>
        <w:sectPr>
          <w:type w:val="continuous"/>
          <w:pgSz w:w="11910" w:h="16840"/>
          <w:pgMar w:top="1040" w:bottom="1180" w:left="0" w:right="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1000" w:top="1040" w:bottom="1180" w:left="0" w:right="0"/>
        </w:sectPr>
      </w:pPr>
    </w:p>
    <w:p>
      <w:pPr>
        <w:pStyle w:val="Heading4"/>
        <w:spacing w:line="240" w:lineRule="auto" w:before="35"/>
        <w:ind w:left="1133" w:right="0"/>
        <w:jc w:val="left"/>
        <w:rPr>
          <w:b w:val="0"/>
          <w:bCs w:val="0"/>
        </w:rPr>
      </w:pPr>
      <w:bookmarkStart w:name="（2）会计利润与所得税费用调整过程" w:id="371"/>
      <w:bookmarkEnd w:id="371"/>
      <w:r>
        <w:rPr>
          <w:b w:val="0"/>
          <w:bCs w:val="0"/>
        </w:rPr>
      </w:r>
      <w:r>
        <w:rPr>
          <w:w w:val="95"/>
        </w:rPr>
        <w:t>（</w:t>
      </w:r>
      <w:r>
        <w:rPr>
          <w:rFonts w:ascii="宋体" w:hAnsi="宋体" w:cs="宋体" w:eastAsia="宋体" w:hint="default"/>
          <w:w w:val="95"/>
        </w:rPr>
        <w:t>2</w:t>
      </w:r>
      <w:r>
        <w:rPr>
          <w:w w:val="95"/>
        </w:rPr>
        <w:t>）会计利润与所得税费用调整过程</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611" w:space="4309"/>
            <w:col w:w="2990"/>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4764"/>
        <w:gridCol w:w="4799"/>
      </w:tblGrid>
      <w:tr>
        <w:trPr>
          <w:trHeight w:val="414" w:hRule="exact"/>
        </w:trPr>
        <w:tc>
          <w:tcPr>
            <w:tcW w:w="47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-391,002,917.66</w:t>
            </w:r>
          </w:p>
        </w:tc>
      </w:tr>
      <w:tr>
        <w:trPr>
          <w:trHeight w:val="408"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-58,650,437.65</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-1,521,145.44</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-703,466.54</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6" w:space="0" w:color="000000"/>
              <w:left w:val="single" w:sz="14" w:space="0" w:color="D2D2D2"/>
              <w:bottom w:val="single" w:sz="6" w:space="0" w:color="000000"/>
              <w:right w:val="single" w:sz="12" w:space="0" w:color="000000"/>
            </w:tcBorders>
          </w:tcPr>
          <w:p>
            <w:pP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1,824,111.00</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-665,834.19</w:t>
            </w:r>
          </w:p>
        </w:tc>
      </w:tr>
      <w:tr>
        <w:trPr>
          <w:trHeight w:val="719"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67,933,905.13</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研发加计扣除</w:t>
            </w:r>
          </w:p>
        </w:tc>
        <w:tc>
          <w:tcPr>
            <w:tcW w:w="47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-3,454,657.10</w:t>
            </w:r>
          </w:p>
        </w:tc>
      </w:tr>
      <w:tr>
        <w:trPr>
          <w:trHeight w:val="414" w:hRule="exact"/>
        </w:trPr>
        <w:tc>
          <w:tcPr>
            <w:tcW w:w="476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4,762,475.21</w:t>
            </w:r>
          </w:p>
        </w:tc>
      </w:tr>
    </w:tbl>
    <w:p>
      <w:pPr>
        <w:pStyle w:val="Heading4"/>
        <w:spacing w:line="240" w:lineRule="auto" w:before="63"/>
        <w:ind w:right="1121"/>
        <w:jc w:val="left"/>
        <w:rPr>
          <w:b w:val="0"/>
          <w:bCs w:val="0"/>
        </w:rPr>
      </w:pPr>
      <w:bookmarkStart w:name="74、其他综合收益" w:id="372"/>
      <w:bookmarkEnd w:id="372"/>
      <w:r>
        <w:rPr>
          <w:b w:val="0"/>
          <w:bCs w:val="0"/>
        </w:rPr>
      </w:r>
      <w:r>
        <w:rPr>
          <w:rFonts w:ascii="宋体" w:hAnsi="宋体" w:cs="宋体" w:eastAsia="宋体" w:hint="default"/>
        </w:rPr>
        <w:t>74</w:t>
      </w:r>
      <w:r>
        <w:rPr/>
        <w:t>、其他综合收益</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85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5、现金流量表项目" w:id="373"/>
      <w:bookmarkEnd w:id="373"/>
      <w:r>
        <w:rPr>
          <w:rFonts w:ascii="宋体" w:hAnsi="宋体" w:cs="宋体" w:eastAsia="宋体" w:hint="default"/>
          <w:sz w:val="21"/>
          <w:szCs w:val="21"/>
        </w:rPr>
      </w:r>
      <w:r>
        <w:rPr>
          <w:rFonts w:ascii="宋体" w:hAnsi="宋体" w:cs="宋体" w:eastAsia="宋体"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46"/>
        <w:ind w:left="1133" w:right="1121"/>
        <w:jc w:val="left"/>
        <w:rPr>
          <w:b w:val="0"/>
          <w:bCs w:val="0"/>
        </w:rPr>
      </w:pPr>
      <w:bookmarkStart w:name="（1）收到的其他与经营活动有关的现金" w:id="374"/>
      <w:bookmarkEnd w:id="374"/>
      <w:r>
        <w:rPr>
          <w:b w:val="0"/>
          <w:bCs w:val="0"/>
        </w:rPr>
      </w:r>
      <w:r>
        <w:rPr/>
        <w:t>（</w:t>
      </w:r>
      <w:r>
        <w:rPr>
          <w:rFonts w:ascii="宋体" w:hAnsi="宋体" w:cs="宋体" w:eastAsia="宋体" w:hint="default"/>
        </w:rPr>
        <w:t>1</w:t>
      </w:r>
      <w:r>
        <w:rPr/>
        <w:t>）收到的其他与经营活动有关的现金</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6,106,028.64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4,671,267.47</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1,734,134.13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2,749,207.08</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员工还款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3,728,134.51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7,351,477.93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50,012,779.00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50,367,531.70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17,380,073.24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85,697,766.31</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78,961,149.52</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150,837,250.49</w:t>
            </w:r>
          </w:p>
        </w:tc>
      </w:tr>
    </w:tbl>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040" w:bottom="1180" w:left="0" w:right="0"/>
        </w:sectPr>
      </w:pPr>
    </w:p>
    <w:p>
      <w:pPr>
        <w:pStyle w:val="Heading4"/>
        <w:spacing w:line="240" w:lineRule="auto" w:before="35"/>
        <w:ind w:right="0"/>
        <w:jc w:val="left"/>
        <w:rPr>
          <w:b w:val="0"/>
          <w:bCs w:val="0"/>
        </w:rPr>
      </w:pPr>
      <w:bookmarkStart w:name="（2）支付的其他与经营活动有关的现金" w:id="375"/>
      <w:bookmarkEnd w:id="375"/>
      <w:r>
        <w:rPr>
          <w:b w:val="0"/>
          <w:bCs w:val="0"/>
        </w:rPr>
      </w:r>
      <w:r>
        <w:rPr>
          <w:w w:val="95"/>
        </w:rPr>
        <w:t>（</w:t>
      </w:r>
      <w:r>
        <w:rPr>
          <w:rFonts w:ascii="宋体" w:hAnsi="宋体" w:cs="宋体" w:eastAsia="宋体" w:hint="default"/>
          <w:w w:val="95"/>
        </w:rPr>
        <w:t>2</w:t>
      </w:r>
      <w:r>
        <w:rPr>
          <w:w w:val="95"/>
        </w:rPr>
        <w:t>）支付的其他与经营活动有关的现金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822" w:space="4098"/>
            <w:col w:w="2990"/>
          </w:cols>
        </w:sectPr>
      </w:pP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29,718,733.74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20,906,155.54</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20,689,379.53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22,024,467.13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325,195.90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166,382.55</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14,514,477.38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15,438,148.57</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57,165,767.96</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43,599,789.35</w:t>
            </w:r>
          </w:p>
        </w:tc>
      </w:tr>
    </w:tbl>
    <w:p>
      <w:pPr>
        <w:spacing w:after="0" w:line="240" w:lineRule="auto"/>
        <w:jc w:val="right"/>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16,241,481.41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3,357,699.05</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138,655,035.92</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105,542,642.19</w:t>
            </w:r>
          </w:p>
        </w:tc>
      </w:tr>
    </w:tbl>
    <w:p>
      <w:pPr>
        <w:pStyle w:val="Heading4"/>
        <w:spacing w:line="240" w:lineRule="auto" w:before="63"/>
        <w:ind w:right="1121"/>
        <w:jc w:val="left"/>
        <w:rPr>
          <w:b w:val="0"/>
          <w:bCs w:val="0"/>
        </w:rPr>
      </w:pPr>
      <w:bookmarkStart w:name="（3）收到的其他与投资活动有关的现金" w:id="376"/>
      <w:bookmarkEnd w:id="376"/>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支付的其他与投资活动有关的现金" w:id="377"/>
      <w:bookmarkEnd w:id="377"/>
      <w:r>
        <w:rPr>
          <w:b w:val="0"/>
          <w:bCs w:val="0"/>
        </w:rPr>
      </w:r>
      <w:r>
        <w:rPr/>
        <w:t>（</w:t>
      </w:r>
      <w:r>
        <w:rPr>
          <w:rFonts w:ascii="宋体" w:hAnsi="宋体" w:cs="宋体" w:eastAsia="宋体" w:hint="default"/>
        </w:rPr>
        <w:t>4</w:t>
      </w:r>
      <w:r>
        <w:rPr/>
        <w:t>）支付的其他与投资活动有关的现金</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5,000,000.00</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5,000,000.00</w:t>
            </w:r>
          </w:p>
        </w:tc>
      </w:tr>
    </w:tbl>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1000" w:top="1040" w:bottom="1180" w:left="0" w:right="0"/>
        </w:sectPr>
      </w:pPr>
    </w:p>
    <w:p>
      <w:pPr>
        <w:pStyle w:val="Heading4"/>
        <w:spacing w:line="240" w:lineRule="auto" w:before="35"/>
        <w:ind w:right="0"/>
        <w:jc w:val="left"/>
        <w:rPr>
          <w:b w:val="0"/>
          <w:bCs w:val="0"/>
        </w:rPr>
      </w:pPr>
      <w:bookmarkStart w:name="（5）收到的其他与筹资活动有关的现金" w:id="378"/>
      <w:bookmarkEnd w:id="378"/>
      <w:r>
        <w:rPr>
          <w:b w:val="0"/>
          <w:bCs w:val="0"/>
        </w:rPr>
      </w:r>
      <w:r>
        <w:rPr>
          <w:w w:val="95"/>
        </w:rPr>
        <w:t>（</w:t>
      </w:r>
      <w:r>
        <w:rPr>
          <w:rFonts w:ascii="宋体" w:hAnsi="宋体" w:cs="宋体" w:eastAsia="宋体" w:hint="default"/>
          <w:w w:val="95"/>
        </w:rPr>
        <w:t>5</w:t>
      </w:r>
      <w:r>
        <w:rPr>
          <w:w w:val="95"/>
        </w:rPr>
        <w:t>）收到的其他与筹资活动有关的现金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822" w:space="4098"/>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现金股利分配保证金及利息</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1,034,111.60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1,000,111.22</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1,034,111.60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1,000,111.22</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40" w:bottom="1180" w:left="0" w:right="0"/>
        </w:sectPr>
      </w:pPr>
    </w:p>
    <w:p>
      <w:pPr>
        <w:pStyle w:val="Heading4"/>
        <w:spacing w:line="240" w:lineRule="auto" w:before="35"/>
        <w:ind w:right="0"/>
        <w:jc w:val="left"/>
        <w:rPr>
          <w:b w:val="0"/>
          <w:bCs w:val="0"/>
        </w:rPr>
      </w:pPr>
      <w:bookmarkStart w:name="（6）支付的其他与筹资活动有关的现金" w:id="379"/>
      <w:bookmarkEnd w:id="379"/>
      <w:r>
        <w:rPr>
          <w:b w:val="0"/>
          <w:bCs w:val="0"/>
        </w:rPr>
      </w:r>
      <w:r>
        <w:rPr>
          <w:w w:val="95"/>
        </w:rPr>
        <w:t>（</w:t>
      </w:r>
      <w:r>
        <w:rPr>
          <w:rFonts w:ascii="宋体" w:hAnsi="宋体" w:cs="宋体" w:eastAsia="宋体" w:hint="default"/>
          <w:w w:val="95"/>
        </w:rPr>
        <w:t>6</w:t>
      </w:r>
      <w:r>
        <w:rPr>
          <w:w w:val="95"/>
        </w:rPr>
        <w:t>）支付的其他与筹资活动有关的现金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822" w:space="4098"/>
            <w:col w:w="2990"/>
          </w:cols>
        </w:sectPr>
      </w:pP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分配现金股利保证金及手续费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1,272,596.98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1,000,387.65</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上市公司法披媒体费用</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105,000.00</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3,539,900.00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限制性股票授予登记费</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4,900.00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支付索瑞</w:t>
            </w:r>
            <w:r>
              <w:rPr>
                <w:rFonts w:ascii="宋体" w:hAnsi="宋体" w:cs="宋体" w:eastAsia="宋体" w:hint="default"/>
                <w:spacing w:val="-46"/>
                <w:sz w:val="18"/>
                <w:szCs w:val="18"/>
              </w:rPr>
              <w:t> </w:t>
            </w:r>
            <w:r>
              <w:rPr>
                <w:rFonts w:ascii="宋体" w:hAnsi="宋体" w:cs="宋体" w:eastAsia="宋体" w:hint="default"/>
                <w:sz w:val="18"/>
                <w:szCs w:val="18"/>
              </w:rPr>
              <w:t>14-16</w:t>
            </w:r>
            <w:r>
              <w:rPr>
                <w:rFonts w:ascii="宋体" w:hAnsi="宋体" w:cs="宋体" w:eastAsia="宋体" w:hint="default"/>
                <w:spacing w:val="-46"/>
                <w:sz w:val="18"/>
                <w:szCs w:val="18"/>
              </w:rPr>
              <w:t> </w:t>
            </w:r>
            <w:r>
              <w:rPr>
                <w:rFonts w:ascii="宋体" w:hAnsi="宋体" w:cs="宋体" w:eastAsia="宋体" w:hint="default"/>
                <w:sz w:val="18"/>
                <w:szCs w:val="18"/>
              </w:rPr>
              <w:t>年业绩奖励款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2,298,781.41</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购买索瑞剩余少数股东权益价款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129,500,000.00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136,611,278.39</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1,110,287.65</w:t>
            </w: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76、现金流量表补充资料" w:id="380"/>
      <w:bookmarkEnd w:id="380"/>
      <w:r>
        <w:rPr>
          <w:b w:val="0"/>
          <w:bCs w:val="0"/>
        </w:rPr>
      </w:r>
      <w:r>
        <w:rPr>
          <w:rFonts w:ascii="宋体" w:hAnsi="宋体" w:cs="宋体" w:eastAsia="宋体" w:hint="default"/>
        </w:rPr>
        <w:t>76</w:t>
      </w:r>
      <w:r>
        <w:rPr/>
        <w:t>、现金流量表补充资料</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133" w:right="1121"/>
        <w:jc w:val="left"/>
        <w:rPr>
          <w:b w:val="0"/>
          <w:bCs w:val="0"/>
        </w:rPr>
      </w:pPr>
      <w:bookmarkStart w:name="（1）现金流量表补充资料" w:id="381"/>
      <w:bookmarkEnd w:id="381"/>
      <w:r>
        <w:rPr>
          <w:b w:val="0"/>
          <w:bCs w:val="0"/>
        </w:rPr>
      </w:r>
      <w:r>
        <w:rPr/>
        <w:t>（</w:t>
      </w:r>
      <w:r>
        <w:rPr>
          <w:rFonts w:ascii="宋体" w:hAnsi="宋体" w:cs="宋体" w:eastAsia="宋体" w:hint="default"/>
        </w:rPr>
        <w:t>1</w:t>
      </w:r>
      <w:r>
        <w:rPr/>
        <w:t>）现金流量表补充资料</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823"/>
        <w:gridCol w:w="2556"/>
        <w:gridCol w:w="3177"/>
      </w:tblGrid>
      <w:tr>
        <w:trPr>
          <w:trHeight w:val="415" w:hRule="exact"/>
        </w:trPr>
        <w:tc>
          <w:tcPr>
            <w:tcW w:w="382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382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77"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sz w:val="18"/>
              </w:rPr>
              <w:t>--</w:t>
            </w:r>
          </w:p>
        </w:tc>
      </w:tr>
      <w:tr>
        <w:trPr>
          <w:trHeight w:val="414" w:hRule="exact"/>
        </w:trPr>
        <w:tc>
          <w:tcPr>
            <w:tcW w:w="382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left="1159" w:right="0"/>
              <w:jc w:val="left"/>
              <w:rPr>
                <w:rFonts w:ascii="宋体" w:hAnsi="宋体" w:cs="宋体" w:eastAsia="宋体" w:hint="default"/>
                <w:sz w:val="18"/>
                <w:szCs w:val="18"/>
              </w:rPr>
            </w:pPr>
            <w:r>
              <w:rPr>
                <w:rFonts w:ascii="宋体"/>
                <w:sz w:val="18"/>
              </w:rPr>
              <w:t>-395,765,392.87</w:t>
            </w:r>
          </w:p>
        </w:tc>
        <w:tc>
          <w:tcPr>
            <w:tcW w:w="31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1979" w:right="0"/>
              <w:jc w:val="left"/>
              <w:rPr>
                <w:rFonts w:ascii="宋体" w:hAnsi="宋体" w:cs="宋体" w:eastAsia="宋体" w:hint="default"/>
                <w:sz w:val="18"/>
                <w:szCs w:val="18"/>
              </w:rPr>
            </w:pPr>
            <w:r>
              <w:rPr>
                <w:rFonts w:ascii="宋体"/>
                <w:sz w:val="18"/>
              </w:rPr>
              <w:t>80,622,852.79</w:t>
            </w:r>
          </w:p>
        </w:tc>
      </w:tr>
    </w:tbl>
    <w:p>
      <w:pPr>
        <w:spacing w:after="0" w:line="240" w:lineRule="auto"/>
        <w:jc w:val="left"/>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3813"/>
        <w:gridCol w:w="2566"/>
        <w:gridCol w:w="3183"/>
      </w:tblGrid>
      <w:tr>
        <w:trPr>
          <w:trHeight w:val="415" w:hRule="exact"/>
        </w:trPr>
        <w:tc>
          <w:tcPr>
            <w:tcW w:w="38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400,038,543.41</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10,719,633.87</w:t>
            </w:r>
          </w:p>
        </w:tc>
      </w:tr>
      <w:tr>
        <w:trPr>
          <w:trHeight w:val="719"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1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20,279,538.41</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19,953,046.03</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5,762,795.41</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5,994,798.35</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6"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-4,552,147.94</w:t>
            </w: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118,430.34</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112,000.85</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66"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10,339,681.87</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8,205,792.97</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1,509,764.86</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2,588,527.97</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547,930.98</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-1,621,848.75</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-1,981,032.16</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-847,341.06</w:t>
            </w:r>
          </w:p>
        </w:tc>
      </w:tr>
      <w:tr>
        <w:trPr>
          <w:trHeight w:val="408"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-10,135,239.15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18,680,251.78</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147,385,015.27</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74,980,040.04</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-187,678,541.92</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-74,200,195.51</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3,519,723.81</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10,033,660.20</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-10,610,929.68</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155,221,219.53</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c>
          <w:tcPr>
            <w:tcW w:w="31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r>
        <w:trPr>
          <w:trHeight w:val="408"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66"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66"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66"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5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sz w:val="18"/>
              </w:rPr>
              <w:t>--</w:t>
            </w:r>
          </w:p>
        </w:tc>
        <w:tc>
          <w:tcPr>
            <w:tcW w:w="31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sz w:val="18"/>
              </w:rPr>
              <w:t>--</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189,290,276.68</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290,575,198.65</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290,575,198.65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192,835,261.45</w:t>
            </w:r>
          </w:p>
        </w:tc>
      </w:tr>
      <w:tr>
        <w:trPr>
          <w:trHeight w:val="408"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66"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66"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38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-101,284,921.97</w:t>
            </w:r>
          </w:p>
        </w:tc>
        <w:tc>
          <w:tcPr>
            <w:tcW w:w="31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97,739,937.20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ind w:left="1133" w:right="1121"/>
        <w:jc w:val="left"/>
        <w:rPr>
          <w:b w:val="0"/>
          <w:bCs w:val="0"/>
        </w:rPr>
      </w:pPr>
      <w:bookmarkStart w:name="（2）本期支付的取得子公司的现金净额" w:id="382"/>
      <w:bookmarkEnd w:id="382"/>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本期收到的处置子公司的现金净额" w:id="383"/>
      <w:bookmarkEnd w:id="383"/>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4）现金和现金等价物的构成" w:id="384"/>
      <w:bookmarkEnd w:id="384"/>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311"/>
        <w:gridCol w:w="3068"/>
        <w:gridCol w:w="3183"/>
      </w:tblGrid>
      <w:tr>
        <w:trPr>
          <w:trHeight w:val="413" w:hRule="exact"/>
        </w:trPr>
        <w:tc>
          <w:tcPr>
            <w:tcW w:w="33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189,290,276.68</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290,575,198.65</w:t>
            </w:r>
          </w:p>
        </w:tc>
      </w:tr>
      <w:tr>
        <w:trPr>
          <w:trHeight w:val="408"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335,216.33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180,364.03</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188,955,060.35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290,394,834.62</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8"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8"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8"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8"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8"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189,290,276.68</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290,575,198.65</w:t>
            </w:r>
          </w:p>
        </w:tc>
      </w:tr>
      <w:tr>
        <w:trPr>
          <w:trHeight w:val="727" w:hRule="exact"/>
        </w:trPr>
        <w:tc>
          <w:tcPr>
            <w:tcW w:w="33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51"/>
              <w:ind w:left="6" w:right="4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8" w:type="dxa"/>
            <w:tcBorders>
              <w:top w:val="single" w:sz="6" w:space="0" w:color="000000"/>
              <w:left w:val="single" w:sz="14" w:space="0" w:color="D2D2D2"/>
              <w:bottom w:val="single" w:sz="12" w:space="0" w:color="000000"/>
              <w:right w:val="single" w:sz="6" w:space="0" w:color="000000"/>
            </w:tcBorders>
          </w:tcPr>
          <w:p>
            <w:pPr/>
          </w:p>
        </w:tc>
        <w:tc>
          <w:tcPr>
            <w:tcW w:w="3183"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1"/>
        <w:jc w:val="left"/>
        <w:rPr>
          <w:b w:val="0"/>
          <w:bCs w:val="0"/>
        </w:rPr>
      </w:pPr>
      <w:bookmarkStart w:name="77、所有者权益变动表项目注释" w:id="385"/>
      <w:bookmarkEnd w:id="385"/>
      <w:r>
        <w:rPr>
          <w:b w:val="0"/>
          <w:bCs w:val="0"/>
        </w:rPr>
      </w:r>
      <w:r>
        <w:rPr>
          <w:rFonts w:ascii="宋体" w:hAnsi="宋体" w:cs="宋体" w:eastAsia="宋体" w:hint="default"/>
        </w:rPr>
        <w:t>77</w:t>
      </w:r>
      <w:r>
        <w:rPr/>
        <w:t>、所有者权益变动表项目注释</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737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8、所有权或使用权受到限制的资产" w:id="386"/>
      <w:bookmarkEnd w:id="386"/>
      <w:r>
        <w:rPr>
          <w:rFonts w:ascii="宋体" w:hAnsi="宋体" w:cs="宋体" w:eastAsia="宋体" w:hint="default"/>
          <w:sz w:val="21"/>
          <w:szCs w:val="21"/>
        </w:rPr>
      </w:r>
      <w:r>
        <w:rPr>
          <w:rFonts w:ascii="宋体" w:hAnsi="宋体" w:cs="宋体" w:eastAsia="宋体"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329"/>
        <w:gridCol w:w="3057"/>
        <w:gridCol w:w="3183"/>
      </w:tblGrid>
      <w:tr>
        <w:trPr>
          <w:trHeight w:val="413" w:hRule="exact"/>
        </w:trPr>
        <w:tc>
          <w:tcPr>
            <w:tcW w:w="33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8"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11,365,009.55</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承兑汇票、保函、履约保证金</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5,200,000.00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6" w:space="0" w:color="000000"/>
              <w:left w:val="single" w:sz="14" w:space="0" w:color="D2D2D2"/>
              <w:bottom w:val="single" w:sz="6" w:space="0" w:color="000000"/>
              <w:right w:val="single" w:sz="6" w:space="0" w:color="000000"/>
            </w:tcBorders>
          </w:tcPr>
          <w:p>
            <w:pPr/>
          </w:p>
        </w:tc>
        <w:tc>
          <w:tcPr>
            <w:tcW w:w="31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12,756,420.67</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20,601,548.24</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55,968,087.89</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408"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w:t>
            </w:r>
            <w:r>
              <w:rPr>
                <w:rFonts w:ascii="宋体" w:hAnsi="宋体" w:cs="宋体" w:eastAsia="宋体" w:hint="default"/>
                <w:sz w:val="18"/>
                <w:szCs w:val="18"/>
              </w:rPr>
              <w:t>索瑞电气</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611,310,800.00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407" w:hRule="exact"/>
        </w:trPr>
        <w:tc>
          <w:tcPr>
            <w:tcW w:w="33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3,850.00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415" w:hRule="exact"/>
        </w:trPr>
        <w:tc>
          <w:tcPr>
            <w:tcW w:w="33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717,205,716.35</w:t>
            </w:r>
          </w:p>
        </w:tc>
        <w:tc>
          <w:tcPr>
            <w:tcW w:w="318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bl>
    <w:p>
      <w:pPr>
        <w:pStyle w:val="Heading4"/>
        <w:spacing w:line="240" w:lineRule="auto" w:before="63"/>
        <w:ind w:right="1121"/>
        <w:jc w:val="left"/>
        <w:rPr>
          <w:b w:val="0"/>
          <w:bCs w:val="0"/>
        </w:rPr>
      </w:pPr>
      <w:bookmarkStart w:name="79、外币货币性项目" w:id="387"/>
      <w:bookmarkEnd w:id="387"/>
      <w:r>
        <w:rPr>
          <w:b w:val="0"/>
          <w:bCs w:val="0"/>
        </w:rPr>
      </w:r>
      <w:r>
        <w:rPr>
          <w:rFonts w:ascii="宋体" w:hAnsi="宋体" w:cs="宋体" w:eastAsia="宋体" w:hint="default"/>
        </w:rPr>
        <w:t>79</w:t>
      </w:r>
      <w:r>
        <w:rPr/>
        <w:t>、外币货币性项目</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133" w:right="1121"/>
        <w:jc w:val="left"/>
        <w:rPr>
          <w:b w:val="0"/>
          <w:bCs w:val="0"/>
        </w:rPr>
      </w:pPr>
      <w:bookmarkStart w:name="（1）外币货币性项目" w:id="388"/>
      <w:bookmarkEnd w:id="388"/>
      <w:r>
        <w:rPr>
          <w:b w:val="0"/>
          <w:bCs w:val="0"/>
        </w:rPr>
      </w:r>
      <w:r>
        <w:rPr/>
        <w:t>（</w:t>
      </w:r>
      <w:r>
        <w:rPr>
          <w:rFonts w:ascii="宋体" w:hAnsi="宋体" w:cs="宋体" w:eastAsia="宋体" w:hint="default"/>
        </w:rPr>
        <w:t>1</w:t>
      </w:r>
      <w:r>
        <w:rPr/>
        <w:t>）外币货币性项目</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408" w:lineRule="auto"/>
        <w:ind w:left="1133" w:right="1121"/>
        <w:jc w:val="left"/>
        <w:rPr>
          <w:b w:val="0"/>
          <w:bCs w:val="0"/>
        </w:rPr>
      </w:pPr>
      <w:bookmarkStart w:name="（2）境外经营实体说明，包括对于重要的境外经营实体，应披露其境外主要经营地、记账" w:id="389"/>
      <w:bookmarkEnd w:id="389"/>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0、套期" w:id="390"/>
      <w:bookmarkEnd w:id="390"/>
      <w:r>
        <w:rPr>
          <w:rFonts w:ascii="宋体" w:hAnsi="宋体" w:cs="宋体" w:eastAsia="宋体" w:hint="default"/>
          <w:sz w:val="21"/>
          <w:szCs w:val="21"/>
        </w:rPr>
      </w:r>
      <w:r>
        <w:rPr>
          <w:rFonts w:ascii="宋体" w:hAnsi="宋体" w:cs="宋体" w:eastAsia="宋体" w:hint="default"/>
          <w:b/>
          <w:bCs/>
          <w:sz w:val="21"/>
          <w:szCs w:val="21"/>
        </w:rPr>
        <w:t>80</w:t>
      </w:r>
      <w:r>
        <w:rPr>
          <w:rFonts w:ascii="宋体" w:hAnsi="宋体" w:cs="宋体" w:eastAsia="宋体" w:hint="default"/>
          <w:b/>
          <w:bCs/>
          <w:sz w:val="21"/>
          <w:szCs w:val="21"/>
        </w:rPr>
        <w:t>、套期</w:t>
      </w:r>
      <w:r>
        <w:rPr>
          <w:rFonts w:ascii="宋体" w:hAnsi="宋体" w:cs="宋体" w:eastAsia="宋体" w:hint="default"/>
          <w:sz w:val="21"/>
          <w:szCs w:val="21"/>
        </w:rPr>
      </w:r>
    </w:p>
    <w:p>
      <w:pPr>
        <w:pStyle w:val="BodyText"/>
        <w:spacing w:line="408" w:lineRule="auto"/>
        <w:ind w:right="3613"/>
        <w:jc w:val="left"/>
        <w:rPr>
          <w:rFonts w:ascii="宋体" w:hAnsi="宋体" w:cs="宋体" w:eastAsia="宋体" w:hint="default"/>
        </w:rPr>
      </w:pPr>
      <w:r>
        <w:rPr/>
        <w:t>按照套期类别披露套期项目及相关套期工具、被套期风险的定性和定量信息： </w:t>
      </w:r>
      <w:bookmarkStart w:name="81、其他" w:id="391"/>
      <w:bookmarkEnd w:id="391"/>
      <w:r>
        <w:rPr/>
      </w:r>
      <w:r>
        <w:rPr>
          <w:rFonts w:ascii="宋体" w:hAnsi="宋体" w:cs="宋体" w:eastAsia="宋体" w:hint="default"/>
          <w:b/>
          <w:bCs/>
        </w:rPr>
        <w:t>81</w:t>
      </w:r>
      <w:r>
        <w:rPr>
          <w:rFonts w:ascii="宋体" w:hAnsi="宋体" w:cs="宋体" w:eastAsia="宋体" w:hint="default"/>
          <w:b/>
          <w:bCs/>
        </w:rPr>
        <w:t>、其他</w:t>
      </w:r>
      <w:r>
        <w:rPr>
          <w:rFonts w:ascii="宋体" w:hAnsi="宋体" w:cs="宋体" w:eastAsia="宋体" w:hint="default"/>
        </w:rPr>
      </w:r>
    </w:p>
    <w:p>
      <w:pPr>
        <w:pStyle w:val="Heading2"/>
        <w:spacing w:line="240" w:lineRule="auto" w:before="23"/>
        <w:ind w:left="1133" w:right="1121"/>
        <w:jc w:val="left"/>
        <w:rPr>
          <w:b w:val="0"/>
          <w:bCs w:val="0"/>
        </w:rPr>
      </w:pPr>
      <w:bookmarkStart w:name="八、合并范围的变更" w:id="392"/>
      <w:bookmarkEnd w:id="392"/>
      <w:r>
        <w:rPr>
          <w:b w:val="0"/>
          <w:bCs w:val="0"/>
        </w:rPr>
      </w:r>
      <w:r>
        <w:rPr/>
        <w:t>八、合并范围的变更</w:t>
      </w:r>
      <w:r>
        <w:rPr>
          <w:b w:val="0"/>
          <w:bCs w:val="0"/>
        </w:rPr>
      </w:r>
    </w:p>
    <w:p>
      <w:pPr>
        <w:pStyle w:val="Heading4"/>
        <w:spacing w:line="240" w:lineRule="auto" w:before="177"/>
        <w:ind w:left="1133" w:right="1121"/>
        <w:jc w:val="left"/>
        <w:rPr>
          <w:b w:val="0"/>
          <w:bCs w:val="0"/>
        </w:rPr>
      </w:pPr>
      <w:bookmarkStart w:name="1、非同一控制下企业合并" w:id="393"/>
      <w:bookmarkEnd w:id="393"/>
      <w:r>
        <w:rPr>
          <w:b w:val="0"/>
          <w:bCs w:val="0"/>
        </w:rPr>
      </w:r>
      <w:r>
        <w:rPr>
          <w:rFonts w:ascii="宋体" w:hAnsi="宋体" w:cs="宋体" w:eastAsia="宋体" w:hint="default"/>
        </w:rPr>
        <w:t>1</w:t>
      </w:r>
      <w:r>
        <w:rPr/>
        <w:t>、非同一控制下企业合并</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133" w:right="1121"/>
        <w:jc w:val="left"/>
        <w:rPr>
          <w:b w:val="0"/>
          <w:bCs w:val="0"/>
        </w:rPr>
      </w:pPr>
      <w:bookmarkStart w:name="（1）本期发生的非同一控制下企业合并" w:id="394"/>
      <w:bookmarkEnd w:id="394"/>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9"/>
        <w:rPr>
          <w:rFonts w:ascii="宋体" w:hAnsi="宋体" w:cs="宋体" w:eastAsia="宋体" w:hint="default"/>
          <w:sz w:val="16"/>
          <w:szCs w:val="16"/>
        </w:rPr>
      </w:pPr>
    </w:p>
    <w:p>
      <w:pPr>
        <w:spacing w:before="0"/>
        <w:ind w:left="1134" w:right="11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right="1121"/>
        <w:jc w:val="left"/>
      </w:pPr>
      <w:r>
        <w:rPr/>
        <w:t>本期无非同一控制下企业合并。</w:t>
      </w:r>
    </w:p>
    <w:p>
      <w:pPr>
        <w:spacing w:line="240" w:lineRule="auto" w:before="10"/>
        <w:rPr>
          <w:rFonts w:ascii="宋体" w:hAnsi="宋体" w:cs="宋体" w:eastAsia="宋体" w:hint="default"/>
          <w:sz w:val="14"/>
          <w:szCs w:val="14"/>
        </w:rPr>
      </w:pPr>
    </w:p>
    <w:p>
      <w:pPr>
        <w:pStyle w:val="Heading4"/>
        <w:spacing w:line="240" w:lineRule="auto"/>
        <w:ind w:left="1133" w:right="1121"/>
        <w:jc w:val="left"/>
        <w:rPr>
          <w:b w:val="0"/>
          <w:bCs w:val="0"/>
        </w:rPr>
      </w:pPr>
      <w:bookmarkStart w:name="（2）合并成本及商誉" w:id="395"/>
      <w:bookmarkEnd w:id="395"/>
      <w:r>
        <w:rPr>
          <w:b w:val="0"/>
          <w:bCs w:val="0"/>
        </w:rPr>
      </w:r>
      <w:r>
        <w:rPr/>
        <w:t>（</w:t>
      </w:r>
      <w:r>
        <w:rPr>
          <w:rFonts w:ascii="宋体" w:hAnsi="宋体" w:cs="宋体" w:eastAsia="宋体" w:hint="default"/>
        </w:rPr>
        <w:t>2</w:t>
      </w:r>
      <w:r>
        <w:rPr/>
        <w:t>）合并成本及商誉</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2"/>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被购买方于购买日可辨认资产、负债" w:id="396"/>
      <w:bookmarkEnd w:id="396"/>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134" w:right="4032" w:firstLine="0"/>
        <w:jc w:val="left"/>
        <w:rPr>
          <w:rFonts w:ascii="宋体" w:hAnsi="宋体" w:cs="宋体" w:eastAsia="宋体" w:hint="default"/>
          <w:sz w:val="21"/>
          <w:szCs w:val="21"/>
        </w:rPr>
      </w:pPr>
      <w:bookmarkStart w:name="（4）购买日之前持有的股权按照公允价值重新计量产生的利得或损失" w:id="397"/>
      <w:bookmarkEnd w:id="397"/>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40" w:lineRule="auto"/>
        <w:ind w:left="1134" w:right="1121"/>
        <w:jc w:val="left"/>
      </w:pPr>
      <w:r>
        <w:rPr/>
        <w:t>□ 是 √ 否</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5）购买日或合并当期期末无法合理确定合并对价或被购买方可辨认资产、负债公允价值" w:id="398"/>
      <w:bookmarkEnd w:id="398"/>
      <w:r>
        <w:rPr>
          <w:b w:val="0"/>
          <w:bCs w:val="0"/>
        </w:rPr>
      </w: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6）其他说明" w:id="399"/>
      <w:bookmarkEnd w:id="399"/>
      <w:r>
        <w:rPr>
          <w:b w:val="0"/>
          <w:bCs w:val="0"/>
        </w:rPr>
      </w:r>
      <w:r>
        <w:rPr/>
        <w:t>（</w:t>
      </w:r>
      <w:r>
        <w:rPr>
          <w:rFonts w:ascii="宋体" w:hAnsi="宋体" w:cs="宋体" w:eastAsia="宋体" w:hint="default"/>
        </w:rPr>
        <w:t>6</w:t>
      </w:r>
      <w:r>
        <w:rPr/>
        <w:t>）其他说明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53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同一控制下企业合并" w:id="400"/>
      <w:bookmarkEnd w:id="400"/>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pStyle w:val="Heading4"/>
        <w:spacing w:line="240" w:lineRule="auto" w:before="46"/>
        <w:ind w:right="1121"/>
        <w:jc w:val="left"/>
        <w:rPr>
          <w:b w:val="0"/>
          <w:bCs w:val="0"/>
        </w:rPr>
      </w:pPr>
      <w:bookmarkStart w:name="（1）本期发生的同一控制下企业合并" w:id="401"/>
      <w:bookmarkEnd w:id="401"/>
      <w:r>
        <w:rPr>
          <w:b w:val="0"/>
          <w:bCs w:val="0"/>
        </w:rPr>
      </w:r>
      <w:r>
        <w:rPr/>
        <w:t>（</w:t>
      </w:r>
      <w:r>
        <w:rPr>
          <w:rFonts w:ascii="宋体" w:hAnsi="宋体" w:cs="宋体" w:eastAsia="宋体" w:hint="default"/>
        </w:rPr>
        <w:t>1</w:t>
      </w:r>
      <w:r>
        <w:rPr/>
        <w:t>）本期发生的同一控制下企业合并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9"/>
        <w:rPr>
          <w:rFonts w:ascii="宋体" w:hAnsi="宋体" w:cs="宋体" w:eastAsia="宋体" w:hint="default"/>
          <w:sz w:val="16"/>
          <w:szCs w:val="16"/>
        </w:rPr>
      </w:pPr>
    </w:p>
    <w:p>
      <w:pPr>
        <w:spacing w:before="0"/>
        <w:ind w:left="1134" w:right="112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right="1121"/>
        <w:jc w:val="left"/>
      </w:pPr>
      <w:r>
        <w:rPr/>
        <w:t>本报告期未发生同一控制下的企业合并。</w:t>
      </w:r>
    </w:p>
    <w:p>
      <w:pPr>
        <w:spacing w:line="240" w:lineRule="auto" w:before="10"/>
        <w:rPr>
          <w:rFonts w:ascii="宋体" w:hAnsi="宋体" w:cs="宋体" w:eastAsia="宋体" w:hint="default"/>
          <w:sz w:val="14"/>
          <w:szCs w:val="14"/>
        </w:rPr>
      </w:pPr>
    </w:p>
    <w:p>
      <w:pPr>
        <w:pStyle w:val="Heading4"/>
        <w:spacing w:line="240" w:lineRule="auto"/>
        <w:ind w:left="1133" w:right="1121"/>
        <w:jc w:val="left"/>
        <w:rPr>
          <w:b w:val="0"/>
          <w:bCs w:val="0"/>
        </w:rPr>
      </w:pPr>
      <w:bookmarkStart w:name="（2）合并成本" w:id="402"/>
      <w:bookmarkEnd w:id="402"/>
      <w:r>
        <w:rPr>
          <w:b w:val="0"/>
          <w:bCs w:val="0"/>
        </w:rPr>
      </w:r>
      <w:r>
        <w:rPr/>
        <w:t>（</w:t>
      </w:r>
      <w:r>
        <w:rPr>
          <w:rFonts w:ascii="宋体" w:hAnsi="宋体" w:cs="宋体" w:eastAsia="宋体" w:hint="default"/>
        </w:rPr>
        <w:t>2</w:t>
      </w:r>
      <w:r>
        <w:rPr/>
        <w:t>）合并成本</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3）合并日被合并方资产、负债的账面价值" w:id="403"/>
      <w:bookmarkEnd w:id="403"/>
      <w:r>
        <w:rPr>
          <w:b w:val="0"/>
          <w:bCs w:val="0"/>
        </w:rPr>
      </w:r>
      <w:r>
        <w:rPr/>
        <w:t>（</w:t>
      </w:r>
      <w:r>
        <w:rPr>
          <w:rFonts w:ascii="宋体" w:hAnsi="宋体" w:cs="宋体" w:eastAsia="宋体" w:hint="default"/>
        </w:rPr>
        <w:t>3</w:t>
      </w:r>
      <w:r>
        <w:rPr/>
        <w:t>）合并日被合并方资产、负债的账面价值</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反向购买" w:id="404"/>
      <w:bookmarkEnd w:id="404"/>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408" w:lineRule="auto"/>
        <w:ind w:left="1134" w:right="1121"/>
        <w:jc w:val="left"/>
      </w:pPr>
      <w:r>
        <w:rPr>
          <w:spacing w:val="-1"/>
        </w:rPr>
        <w:t>交易基本信息、交易构成反向购买的依据、上市公司保留的资产、负债是否构成业务及其依据、合并成本</w:t>
      </w:r>
      <w:r>
        <w:rPr>
          <w:spacing w:val="-86"/>
        </w:rPr>
        <w:t> </w:t>
      </w:r>
      <w:r>
        <w:rPr>
          <w:spacing w:val="-86"/>
        </w:rPr>
      </w:r>
      <w:r>
        <w:rPr/>
        <w:t>的确定、按照权益性交易处理时调整权益的金额及其计算：</w:t>
      </w:r>
    </w:p>
    <w:p>
      <w:pPr>
        <w:spacing w:line="408" w:lineRule="auto" w:before="46"/>
        <w:ind w:left="1133" w:right="5923" w:firstLine="0"/>
        <w:jc w:val="left"/>
        <w:rPr>
          <w:rFonts w:ascii="宋体" w:hAnsi="宋体" w:cs="宋体" w:eastAsia="宋体" w:hint="default"/>
          <w:sz w:val="21"/>
          <w:szCs w:val="21"/>
        </w:rPr>
      </w:pPr>
      <w:bookmarkStart w:name="4、处置子公司" w:id="405"/>
      <w:bookmarkEnd w:id="405"/>
      <w:r>
        <w:rPr/>
      </w:r>
      <w:r>
        <w:rPr>
          <w:rFonts w:ascii="宋体" w:hAnsi="宋体" w:cs="宋体" w:eastAsia="宋体"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408" w:lineRule="auto"/>
        <w:ind w:left="1134" w:right="4032"/>
        <w:jc w:val="left"/>
      </w:pPr>
      <w:r>
        <w:rPr/>
        <w:t>□ 是 √ 否 是否存在通过多次交易分步处置对子公司投资且在本期丧失控制权的情形</w:t>
      </w:r>
    </w:p>
    <w:p>
      <w:pPr>
        <w:spacing w:line="408" w:lineRule="auto" w:before="46"/>
        <w:ind w:left="1133" w:right="8117" w:firstLine="0"/>
        <w:jc w:val="left"/>
        <w:rPr>
          <w:rFonts w:ascii="宋体" w:hAnsi="宋体" w:cs="宋体" w:eastAsia="宋体" w:hint="default"/>
          <w:sz w:val="21"/>
          <w:szCs w:val="21"/>
        </w:rPr>
      </w:pPr>
      <w:r>
        <w:rPr>
          <w:rFonts w:ascii="宋体" w:hAnsi="宋体" w:cs="宋体" w:eastAsia="宋体" w:hint="default"/>
          <w:sz w:val="21"/>
          <w:szCs w:val="21"/>
        </w:rPr>
        <w:t>□ 是 √ 否 </w:t>
      </w:r>
      <w:bookmarkStart w:name="5、其他原因的合并范围变动" w:id="406"/>
      <w:bookmarkEnd w:id="406"/>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pStyle w:val="BodyText"/>
        <w:spacing w:line="408" w:lineRule="auto"/>
        <w:ind w:right="0" w:firstLine="420"/>
        <w:jc w:val="left"/>
      </w:pPr>
      <w:r>
        <w:rPr>
          <w:spacing w:val="-3"/>
        </w:rPr>
        <w:t>报告期内，公司参与设立光一数道（北京）科技有限公司，注册资本</w:t>
      </w:r>
      <w:r>
        <w:rPr>
          <w:rFonts w:ascii="宋体" w:hAnsi="宋体" w:cs="宋体" w:eastAsia="宋体" w:hint="default"/>
          <w:spacing w:val="-3"/>
        </w:rPr>
        <w:t>300</w:t>
      </w:r>
      <w:r>
        <w:rPr>
          <w:spacing w:val="-3"/>
        </w:rPr>
        <w:t>万元，公司持有</w:t>
      </w:r>
      <w:r>
        <w:rPr>
          <w:rFonts w:ascii="宋体" w:hAnsi="宋体" w:cs="宋体" w:eastAsia="宋体" w:hint="default"/>
          <w:spacing w:val="-3"/>
        </w:rPr>
        <w:t>70%</w:t>
      </w:r>
      <w:r>
        <w:rPr>
          <w:spacing w:val="-3"/>
        </w:rPr>
        <w:t>出资比例，</w:t>
      </w:r>
      <w:r>
        <w:rPr/>
        <w:t> 自成立时纳入公司合并范围。</w:t>
      </w:r>
    </w:p>
    <w:p>
      <w:pPr>
        <w:pStyle w:val="Heading4"/>
        <w:spacing w:line="240" w:lineRule="auto" w:before="46"/>
        <w:ind w:left="1133" w:right="1121"/>
        <w:jc w:val="left"/>
        <w:rPr>
          <w:b w:val="0"/>
          <w:bCs w:val="0"/>
        </w:rPr>
      </w:pPr>
      <w:bookmarkStart w:name="6、其他" w:id="407"/>
      <w:bookmarkEnd w:id="407"/>
      <w:r>
        <w:rPr>
          <w:b w:val="0"/>
          <w:bCs w:val="0"/>
        </w:rPr>
      </w:r>
      <w:r>
        <w:rPr>
          <w:rFonts w:ascii="宋体" w:hAnsi="宋体" w:cs="宋体" w:eastAsia="宋体" w:hint="default"/>
        </w:rPr>
        <w:t>6</w:t>
      </w:r>
      <w:r>
        <w:rPr/>
        <w:t>、其他</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32"/>
        <w:ind w:left="1133" w:right="1121"/>
        <w:jc w:val="left"/>
        <w:rPr>
          <w:b w:val="0"/>
          <w:bCs w:val="0"/>
        </w:rPr>
      </w:pPr>
      <w:bookmarkStart w:name="九、在其他主体中的权益" w:id="408"/>
      <w:bookmarkEnd w:id="40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3" w:right="1121"/>
        <w:jc w:val="left"/>
        <w:rPr>
          <w:b w:val="0"/>
          <w:bCs w:val="0"/>
        </w:rPr>
      </w:pPr>
      <w:bookmarkStart w:name="1、在子公司中的权益" w:id="409"/>
      <w:bookmarkEnd w:id="409"/>
      <w:r>
        <w:rPr>
          <w:b w:val="0"/>
          <w:bCs w:val="0"/>
        </w:rPr>
      </w:r>
      <w:r>
        <w:rPr>
          <w:rFonts w:ascii="宋体" w:hAnsi="宋体" w:cs="宋体" w:eastAsia="宋体" w:hint="default"/>
        </w:rPr>
        <w:t>1</w:t>
      </w:r>
      <w:r>
        <w:rPr/>
        <w:t>、在子公司中的权益</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133" w:right="1121"/>
        <w:jc w:val="left"/>
        <w:rPr>
          <w:b w:val="0"/>
          <w:bCs w:val="0"/>
        </w:rPr>
      </w:pPr>
      <w:bookmarkStart w:name="（1）企业集团的构成" w:id="410"/>
      <w:bookmarkEnd w:id="410"/>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118" w:type="dxa"/>
        <w:tblLayout w:type="fixed"/>
        <w:tblCellMar>
          <w:top w:w="0" w:type="dxa"/>
          <w:left w:w="0" w:type="dxa"/>
          <w:bottom w:w="0" w:type="dxa"/>
          <w:right w:w="0" w:type="dxa"/>
        </w:tblCellMar>
        <w:tblLook w:val="01E0"/>
      </w:tblPr>
      <w:tblGrid>
        <w:gridCol w:w="1373"/>
        <w:gridCol w:w="1038"/>
        <w:gridCol w:w="992"/>
        <w:gridCol w:w="2978"/>
        <w:gridCol w:w="993"/>
        <w:gridCol w:w="834"/>
        <w:gridCol w:w="1365"/>
      </w:tblGrid>
      <w:tr>
        <w:trPr>
          <w:trHeight w:val="415" w:hRule="exact"/>
        </w:trPr>
        <w:tc>
          <w:tcPr>
            <w:tcW w:w="137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97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27"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7" w:hRule="exact"/>
        </w:trPr>
        <w:tc>
          <w:tcPr>
            <w:tcW w:w="1373" w:type="dxa"/>
            <w:vMerge/>
            <w:tcBorders>
              <w:left w:val="single" w:sz="12" w:space="0" w:color="000000"/>
              <w:bottom w:val="single" w:sz="6" w:space="0" w:color="000000"/>
              <w:right w:val="single" w:sz="6" w:space="0" w:color="000000"/>
            </w:tcBorders>
            <w:shd w:val="clear" w:color="auto" w:fill="D2D2D2"/>
          </w:tcPr>
          <w:p>
            <w:pPr/>
          </w:p>
        </w:tc>
        <w:tc>
          <w:tcPr>
            <w:tcW w:w="1038" w:type="dxa"/>
            <w:vMerge/>
            <w:tcBorders>
              <w:left w:val="single" w:sz="6" w:space="0" w:color="000000"/>
              <w:bottom w:val="single" w:sz="6" w:space="0" w:color="000000"/>
              <w:right w:val="single" w:sz="6" w:space="0" w:color="000000"/>
            </w:tcBorders>
            <w:shd w:val="clear" w:color="auto" w:fill="D2D2D2"/>
          </w:tcPr>
          <w:p>
            <w:pPr/>
          </w:p>
        </w:tc>
        <w:tc>
          <w:tcPr>
            <w:tcW w:w="992" w:type="dxa"/>
            <w:vMerge/>
            <w:tcBorders>
              <w:left w:val="single" w:sz="6" w:space="0" w:color="000000"/>
              <w:bottom w:val="single" w:sz="6" w:space="0" w:color="000000"/>
              <w:right w:val="single" w:sz="6" w:space="0" w:color="000000"/>
            </w:tcBorders>
            <w:shd w:val="clear" w:color="auto" w:fill="D2D2D2"/>
          </w:tcPr>
          <w:p>
            <w:pPr/>
          </w:p>
        </w:tc>
        <w:tc>
          <w:tcPr>
            <w:tcW w:w="2978" w:type="dxa"/>
            <w:vMerge/>
            <w:tcBorders>
              <w:left w:val="single" w:sz="6" w:space="0" w:color="000000"/>
              <w:bottom w:val="single" w:sz="6" w:space="0" w:color="000000"/>
              <w:right w:val="single" w:sz="6" w:space="0" w:color="000000"/>
            </w:tcBorders>
            <w:shd w:val="clear" w:color="auto" w:fill="D2D2D2"/>
          </w:tcPr>
          <w:p>
            <w:pPr/>
          </w:p>
        </w:tc>
        <w:tc>
          <w:tcPr>
            <w:tcW w:w="9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6" w:space="0" w:color="000000"/>
              <w:bottom w:val="single" w:sz="6" w:space="0" w:color="000000"/>
              <w:right w:val="single" w:sz="12" w:space="0" w:color="000000"/>
            </w:tcBorders>
            <w:shd w:val="clear" w:color="auto" w:fill="D2D2D2"/>
          </w:tcPr>
          <w:p>
            <w:pPr/>
          </w:p>
        </w:tc>
      </w:tr>
      <w:tr>
        <w:trPr>
          <w:trHeight w:val="1031"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3" w:right="75"/>
              <w:jc w:val="left"/>
              <w:rPr>
                <w:rFonts w:ascii="宋体" w:hAnsi="宋体" w:cs="宋体" w:eastAsia="宋体" w:hint="default"/>
                <w:sz w:val="18"/>
                <w:szCs w:val="18"/>
              </w:rPr>
            </w:pPr>
            <w:r>
              <w:rPr>
                <w:rFonts w:ascii="宋体" w:hAnsi="宋体" w:cs="宋体" w:eastAsia="宋体" w:hint="default"/>
                <w:sz w:val="18"/>
                <w:szCs w:val="18"/>
              </w:rPr>
              <w:t>江苏苏源光一科 技有限公司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60"/>
              <w:jc w:val="both"/>
              <w:rPr>
                <w:rFonts w:ascii="宋体" w:hAnsi="宋体" w:cs="宋体" w:eastAsia="宋体" w:hint="default"/>
                <w:sz w:val="18"/>
                <w:szCs w:val="18"/>
              </w:rPr>
            </w:pPr>
            <w:r>
              <w:rPr>
                <w:rFonts w:ascii="宋体" w:hAnsi="宋体" w:cs="宋体" w:eastAsia="宋体" w:hint="default"/>
                <w:sz w:val="18"/>
                <w:szCs w:val="18"/>
              </w:rPr>
              <w:t>电子计算机软件系统开发、生产和销 售；能源管理；设备开发、生产、销 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9"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75"/>
              <w:jc w:val="left"/>
              <w:rPr>
                <w:rFonts w:ascii="宋体" w:hAnsi="宋体" w:cs="宋体" w:eastAsia="宋体" w:hint="default"/>
                <w:sz w:val="18"/>
                <w:szCs w:val="18"/>
              </w:rPr>
            </w:pPr>
            <w:r>
              <w:rPr>
                <w:rFonts w:ascii="宋体" w:hAnsi="宋体" w:cs="宋体" w:eastAsia="宋体" w:hint="default"/>
                <w:sz w:val="18"/>
                <w:szCs w:val="18"/>
              </w:rPr>
              <w:t>南京智友尚云信 息技术有限公司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信息技术的开发、服务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31"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74"/>
              <w:jc w:val="both"/>
              <w:rPr>
                <w:rFonts w:ascii="宋体" w:hAnsi="宋体" w:cs="宋体" w:eastAsia="宋体" w:hint="default"/>
                <w:sz w:val="18"/>
                <w:szCs w:val="18"/>
              </w:rPr>
            </w:pPr>
            <w:r>
              <w:rPr>
                <w:rFonts w:ascii="宋体" w:hAnsi="宋体" w:cs="宋体" w:eastAsia="宋体" w:hint="default"/>
                <w:sz w:val="18"/>
                <w:szCs w:val="18"/>
              </w:rPr>
              <w:t>江苏光一贵仁股 权投资基金管理 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0" w:right="60"/>
              <w:jc w:val="left"/>
              <w:rPr>
                <w:rFonts w:ascii="宋体" w:hAnsi="宋体" w:cs="宋体" w:eastAsia="宋体" w:hint="default"/>
                <w:sz w:val="18"/>
                <w:szCs w:val="18"/>
              </w:rPr>
            </w:pPr>
            <w:r>
              <w:rPr>
                <w:rFonts w:ascii="宋体" w:hAnsi="宋体" w:cs="宋体" w:eastAsia="宋体" w:hint="default"/>
                <w:sz w:val="18"/>
                <w:szCs w:val="18"/>
              </w:rPr>
              <w:t>受托管理私募股权投资基金，投资管 理及相关咨询服务。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投资成立</w:t>
            </w:r>
          </w:p>
        </w:tc>
      </w:tr>
      <w:tr>
        <w:trPr>
          <w:trHeight w:val="1032"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13" w:right="75"/>
              <w:jc w:val="left"/>
              <w:rPr>
                <w:rFonts w:ascii="宋体" w:hAnsi="宋体" w:cs="宋体" w:eastAsia="宋体" w:hint="default"/>
                <w:sz w:val="18"/>
                <w:szCs w:val="18"/>
              </w:rPr>
            </w:pPr>
            <w:r>
              <w:rPr>
                <w:rFonts w:ascii="宋体" w:hAnsi="宋体" w:cs="宋体" w:eastAsia="宋体" w:hint="default"/>
                <w:sz w:val="18"/>
                <w:szCs w:val="18"/>
              </w:rPr>
              <w:t>江苏光一德能电 气工程有限公司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3"/>
              <w:ind w:left="20" w:right="19"/>
              <w:jc w:val="both"/>
              <w:rPr>
                <w:rFonts w:ascii="宋体" w:hAnsi="宋体" w:cs="宋体" w:eastAsia="宋体" w:hint="default"/>
                <w:sz w:val="18"/>
                <w:szCs w:val="18"/>
              </w:rPr>
            </w:pPr>
            <w:r>
              <w:rPr>
                <w:rFonts w:ascii="宋体" w:hAnsi="宋体" w:cs="宋体" w:eastAsia="宋体" w:hint="default"/>
                <w:spacing w:val="-3"/>
                <w:sz w:val="18"/>
                <w:szCs w:val="18"/>
              </w:rPr>
              <w:t>承装</w:t>
            </w:r>
            <w:r>
              <w:rPr>
                <w:rFonts w:ascii="宋体" w:hAnsi="宋体" w:cs="宋体" w:eastAsia="宋体" w:hint="default"/>
                <w:spacing w:val="-3"/>
                <w:sz w:val="18"/>
                <w:szCs w:val="18"/>
              </w:rPr>
              <w:t>(</w:t>
            </w:r>
            <w:r>
              <w:rPr>
                <w:rFonts w:ascii="宋体" w:hAnsi="宋体" w:cs="宋体" w:eastAsia="宋体" w:hint="default"/>
                <w:spacing w:val="-3"/>
                <w:sz w:val="18"/>
                <w:szCs w:val="18"/>
              </w:rPr>
              <w:t>修</w:t>
            </w:r>
            <w:r>
              <w:rPr>
                <w:rFonts w:ascii="宋体" w:hAnsi="宋体" w:cs="宋体" w:eastAsia="宋体" w:hint="default"/>
                <w:spacing w:val="-3"/>
                <w:sz w:val="18"/>
                <w:szCs w:val="18"/>
              </w:rPr>
              <w:t>)</w:t>
            </w:r>
            <w:r>
              <w:rPr>
                <w:rFonts w:ascii="宋体" w:hAnsi="宋体" w:cs="宋体" w:eastAsia="宋体" w:hint="default"/>
                <w:spacing w:val="-3"/>
                <w:sz w:val="18"/>
                <w:szCs w:val="18"/>
              </w:rPr>
              <w:t>电力设施</w:t>
            </w:r>
            <w:r>
              <w:rPr>
                <w:rFonts w:ascii="宋体" w:hAnsi="宋体" w:cs="宋体" w:eastAsia="宋体" w:hint="default"/>
                <w:spacing w:val="-3"/>
                <w:sz w:val="18"/>
                <w:szCs w:val="18"/>
              </w:rPr>
              <w:t>,</w:t>
            </w:r>
            <w:r>
              <w:rPr>
                <w:rFonts w:ascii="宋体" w:hAnsi="宋体" w:cs="宋体" w:eastAsia="宋体" w:hint="default"/>
                <w:spacing w:val="-3"/>
                <w:sz w:val="18"/>
                <w:szCs w:val="18"/>
              </w:rPr>
              <w:t>电气工程、送变电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工程、机电设备安装工程的施工</w:t>
            </w:r>
            <w:r>
              <w:rPr>
                <w:rFonts w:ascii="宋体" w:hAnsi="宋体" w:cs="宋体" w:eastAsia="宋体" w:hint="default"/>
                <w:spacing w:val="-3"/>
                <w:sz w:val="18"/>
                <w:szCs w:val="18"/>
              </w:rPr>
              <w:t>,</w:t>
            </w:r>
            <w:r>
              <w:rPr>
                <w:rFonts w:ascii="宋体" w:hAnsi="宋体" w:cs="宋体" w:eastAsia="宋体" w:hint="default"/>
                <w:spacing w:val="-3"/>
                <w:sz w:val="18"/>
                <w:szCs w:val="18"/>
              </w:rPr>
              <w:t>电力</w:t>
            </w:r>
            <w:r>
              <w:rPr>
                <w:rFonts w:ascii="宋体" w:hAnsi="宋体" w:cs="宋体" w:eastAsia="宋体" w:hint="default"/>
                <w:sz w:val="18"/>
                <w:szCs w:val="18"/>
              </w:rPr>
              <w:t> 技术咨询</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100.00%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495" w:right="35" w:hanging="450"/>
              <w:jc w:val="left"/>
              <w:rPr>
                <w:rFonts w:ascii="宋体" w:hAnsi="宋体" w:cs="宋体" w:eastAsia="宋体" w:hint="default"/>
                <w:sz w:val="18"/>
                <w:szCs w:val="18"/>
              </w:rPr>
            </w:pPr>
            <w:r>
              <w:rPr>
                <w:rFonts w:ascii="宋体" w:hAnsi="宋体" w:cs="宋体" w:eastAsia="宋体" w:hint="default"/>
                <w:sz w:val="18"/>
                <w:szCs w:val="18"/>
              </w:rPr>
              <w:t>非同一控制企业 合并</w:t>
            </w:r>
          </w:p>
        </w:tc>
      </w:tr>
      <w:tr>
        <w:trPr>
          <w:trHeight w:val="415" w:hRule="exact"/>
        </w:trPr>
        <w:tc>
          <w:tcPr>
            <w:tcW w:w="1373" w:type="dxa"/>
            <w:tcBorders>
              <w:top w:val="single" w:sz="6" w:space="0" w:color="000000"/>
              <w:left w:val="single" w:sz="12" w:space="0" w:color="000000"/>
              <w:bottom w:val="single" w:sz="12" w:space="0" w:color="000000"/>
              <w:right w:val="single" w:sz="9" w:space="0" w:color="FFFFFF"/>
            </w:tcBorders>
          </w:tcPr>
          <w:p>
            <w:pPr>
              <w:pStyle w:val="TableParagraph"/>
              <w:spacing w:line="240" w:lineRule="auto" w:before="71"/>
              <w:ind w:left="13" w:right="-39"/>
              <w:jc w:val="left"/>
              <w:rPr>
                <w:rFonts w:ascii="宋体" w:hAnsi="宋体" w:cs="宋体" w:eastAsia="宋体" w:hint="default"/>
                <w:sz w:val="18"/>
                <w:szCs w:val="18"/>
              </w:rPr>
            </w:pPr>
            <w:r>
              <w:rPr>
                <w:rFonts w:ascii="宋体" w:hAnsi="宋体" w:cs="宋体" w:eastAsia="宋体" w:hint="default"/>
                <w:spacing w:val="-9"/>
                <w:sz w:val="18"/>
                <w:szCs w:val="18"/>
              </w:rPr>
              <w:t>光一数道（北京）</w:t>
            </w:r>
            <w:r>
              <w:rPr>
                <w:rFonts w:ascii="宋体" w:hAnsi="宋体" w:cs="宋体" w:eastAsia="宋体" w:hint="default"/>
                <w:sz w:val="18"/>
                <w:szCs w:val="18"/>
              </w:rPr>
            </w:r>
          </w:p>
        </w:tc>
        <w:tc>
          <w:tcPr>
            <w:tcW w:w="1038" w:type="dxa"/>
            <w:tcBorders>
              <w:top w:val="single" w:sz="6" w:space="0" w:color="000000"/>
              <w:left w:val="single" w:sz="9" w:space="0" w:color="FFFFFF"/>
              <w:bottom w:val="single" w:sz="12"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392" w:lineRule="exact"/>
              <w:ind w:left="16" w:right="-30"/>
              <w:jc w:val="left"/>
              <w:rPr>
                <w:rFonts w:ascii="宋体" w:hAnsi="宋体" w:cs="宋体" w:eastAsia="宋体" w:hint="default"/>
                <w:sz w:val="20"/>
                <w:szCs w:val="20"/>
              </w:rPr>
            </w:pPr>
            <w:r>
              <w:rPr>
                <w:rFonts w:ascii="宋体" w:hAnsi="宋体" w:cs="宋体" w:eastAsia="宋体" w:hint="default"/>
                <w:position w:val="-7"/>
                <w:sz w:val="20"/>
                <w:szCs w:val="20"/>
              </w:rPr>
              <w:pict>
                <v:group style="width:49.15pt;height:19.650pt;mso-position-horizontal-relative:char;mso-position-vertical-relative:line" coordorigin="0,0" coordsize="983,393">
                  <v:group style="position:absolute;left:0;top:0;width:983;height:393" coordorigin="0,0" coordsize="983,393">
                    <v:shape style="position:absolute;left:0;top:0;width:983;height:393" coordorigin="0,0" coordsize="983,393" path="m0,392l983,392,983,0,0,0,0,392xe" filled="true" fillcolor="#ffffff" stroked="false">
                      <v:path arrowok="t"/>
                      <v:fill type="solid"/>
                    </v:shape>
                  </v:group>
                </v:group>
              </w:pict>
            </w:r>
            <w:r>
              <w:rPr>
                <w:rFonts w:ascii="宋体" w:hAnsi="宋体" w:cs="宋体" w:eastAsia="宋体" w:hint="default"/>
                <w:position w:val="-7"/>
                <w:sz w:val="20"/>
                <w:szCs w:val="20"/>
              </w:rPr>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9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技术开发、技术咨询、技术服务、技</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70.00%</w:t>
            </w:r>
          </w:p>
        </w:tc>
        <w:tc>
          <w:tcPr>
            <w:tcW w:w="834" w:type="dxa"/>
            <w:tcBorders>
              <w:top w:val="single" w:sz="6" w:space="0" w:color="000000"/>
              <w:left w:val="single" w:sz="6" w:space="0" w:color="000000"/>
              <w:bottom w:val="single" w:sz="12" w:space="0" w:color="000000"/>
              <w:right w:val="single" w:sz="6" w:space="0" w:color="000000"/>
            </w:tcBorders>
          </w:tcPr>
          <w:p>
            <w:pPr/>
          </w:p>
        </w:tc>
        <w:tc>
          <w:tcPr>
            <w:tcW w:w="13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投资成立</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b/>
          <w:bCs/>
          <w:sz w:val="29"/>
          <w:szCs w:val="29"/>
        </w:rPr>
      </w:pPr>
    </w:p>
    <w:tbl>
      <w:tblPr>
        <w:tblW w:w="0" w:type="auto"/>
        <w:jc w:val="left"/>
        <w:tblInd w:w="1118" w:type="dxa"/>
        <w:tblLayout w:type="fixed"/>
        <w:tblCellMar>
          <w:top w:w="0" w:type="dxa"/>
          <w:left w:w="0" w:type="dxa"/>
          <w:bottom w:w="0" w:type="dxa"/>
          <w:right w:w="0" w:type="dxa"/>
        </w:tblCellMar>
        <w:tblLook w:val="01E0"/>
      </w:tblPr>
      <w:tblGrid>
        <w:gridCol w:w="1373"/>
        <w:gridCol w:w="1038"/>
        <w:gridCol w:w="992"/>
        <w:gridCol w:w="2978"/>
        <w:gridCol w:w="242"/>
        <w:gridCol w:w="751"/>
        <w:gridCol w:w="834"/>
        <w:gridCol w:w="1365"/>
      </w:tblGrid>
      <w:tr>
        <w:trPr>
          <w:trHeight w:val="374" w:hRule="exact"/>
        </w:trPr>
        <w:tc>
          <w:tcPr>
            <w:tcW w:w="13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38"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
        </w:tc>
        <w:tc>
          <w:tcPr>
            <w:tcW w:w="29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术推广、技术转让；互联网信息服务</w:t>
            </w:r>
          </w:p>
        </w:tc>
        <w:tc>
          <w:tcPr>
            <w:tcW w:w="993" w:type="dxa"/>
            <w:gridSpan w:val="2"/>
            <w:tcBorders>
              <w:top w:val="single" w:sz="12" w:space="0" w:color="000000"/>
              <w:left w:val="single" w:sz="6" w:space="0" w:color="000000"/>
              <w:bottom w:val="single" w:sz="6" w:space="0" w:color="000000"/>
              <w:right w:val="single" w:sz="6" w:space="0" w:color="000000"/>
            </w:tcBorders>
          </w:tcPr>
          <w:p>
            <w:pPr/>
          </w:p>
        </w:tc>
        <w:tc>
          <w:tcPr>
            <w:tcW w:w="834" w:type="dxa"/>
            <w:tcBorders>
              <w:top w:val="single" w:sz="12" w:space="0" w:color="000000"/>
              <w:left w:val="single" w:sz="6" w:space="0" w:color="000000"/>
              <w:bottom w:val="single" w:sz="6" w:space="0" w:color="000000"/>
              <w:right w:val="single" w:sz="6" w:space="0" w:color="000000"/>
            </w:tcBorders>
          </w:tcPr>
          <w:p>
            <w:pPr/>
          </w:p>
        </w:tc>
        <w:tc>
          <w:tcPr>
            <w:tcW w:w="1365" w:type="dxa"/>
            <w:tcBorders>
              <w:top w:val="single" w:sz="12" w:space="0" w:color="000000"/>
              <w:left w:val="single" w:sz="6" w:space="0" w:color="000000"/>
              <w:bottom w:val="single" w:sz="6" w:space="0" w:color="000000"/>
              <w:right w:val="single" w:sz="12" w:space="0" w:color="000000"/>
            </w:tcBorders>
          </w:tcPr>
          <w:p>
            <w:pPr/>
          </w:p>
        </w:tc>
      </w:tr>
      <w:tr>
        <w:trPr>
          <w:trHeight w:val="361" w:hRule="exact"/>
        </w:trPr>
        <w:tc>
          <w:tcPr>
            <w:tcW w:w="1373" w:type="dxa"/>
            <w:tcBorders>
              <w:top w:val="single" w:sz="6" w:space="0" w:color="000000"/>
              <w:left w:val="single" w:sz="12" w:space="0" w:color="000000"/>
              <w:bottom w:val="nil" w:sz="6" w:space="0" w:color="auto"/>
              <w:right w:val="single" w:sz="6" w:space="0" w:color="000000"/>
            </w:tcBorders>
          </w:tcPr>
          <w:p>
            <w:pPr/>
          </w:p>
        </w:tc>
        <w:tc>
          <w:tcPr>
            <w:tcW w:w="1038"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220KV</w:t>
            </w:r>
            <w:r>
              <w:rPr>
                <w:rFonts w:ascii="宋体" w:hAnsi="宋体" w:cs="宋体" w:eastAsia="宋体" w:hint="default"/>
                <w:spacing w:val="-46"/>
                <w:sz w:val="18"/>
                <w:szCs w:val="18"/>
              </w:rPr>
              <w:t> </w:t>
            </w:r>
            <w:r>
              <w:rPr>
                <w:rFonts w:ascii="宋体" w:hAnsi="宋体" w:cs="宋体" w:eastAsia="宋体" w:hint="default"/>
                <w:sz w:val="18"/>
                <w:szCs w:val="18"/>
              </w:rPr>
              <w:t>及以下输电、变电、配电工程</w:t>
            </w:r>
          </w:p>
        </w:tc>
        <w:tc>
          <w:tcPr>
            <w:tcW w:w="242" w:type="dxa"/>
            <w:tcBorders>
              <w:top w:val="single" w:sz="6" w:space="0" w:color="000000"/>
              <w:left w:val="single" w:sz="6" w:space="0" w:color="000000"/>
              <w:bottom w:val="nil" w:sz="6" w:space="0" w:color="auto"/>
              <w:right w:val="nil" w:sz="6" w:space="0" w:color="auto"/>
            </w:tcBorders>
          </w:tcPr>
          <w:p>
            <w:pPr/>
          </w:p>
        </w:tc>
        <w:tc>
          <w:tcPr>
            <w:tcW w:w="751" w:type="dxa"/>
            <w:tcBorders>
              <w:top w:val="single" w:sz="6" w:space="0" w:color="000000"/>
              <w:left w:val="nil" w:sz="6" w:space="0" w:color="auto"/>
              <w:bottom w:val="nil" w:sz="6" w:space="0" w:color="auto"/>
              <w:right w:val="single" w:sz="6" w:space="0" w:color="000000"/>
            </w:tcBorders>
          </w:tcPr>
          <w:p>
            <w:pPr/>
          </w:p>
        </w:tc>
        <w:tc>
          <w:tcPr>
            <w:tcW w:w="834" w:type="dxa"/>
            <w:vMerge w:val="restart"/>
            <w:tcBorders>
              <w:top w:val="single" w:sz="6" w:space="0" w:color="000000"/>
              <w:left w:val="single" w:sz="6" w:space="0" w:color="000000"/>
              <w:right w:val="single" w:sz="6" w:space="0" w:color="000000"/>
            </w:tcBorders>
          </w:tcPr>
          <w:p>
            <w:pPr/>
          </w:p>
        </w:tc>
        <w:tc>
          <w:tcPr>
            <w:tcW w:w="1365"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373" w:type="dxa"/>
            <w:tcBorders>
              <w:top w:val="nil" w:sz="6" w:space="0" w:color="auto"/>
              <w:left w:val="single" w:sz="12" w:space="0" w:color="000000"/>
              <w:bottom w:val="nil" w:sz="6" w:space="0" w:color="auto"/>
              <w:right w:val="single" w:sz="6" w:space="0" w:color="000000"/>
            </w:tcBorders>
          </w:tcPr>
          <w:p>
            <w:pPr/>
          </w:p>
        </w:tc>
        <w:tc>
          <w:tcPr>
            <w:tcW w:w="1038"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设计，电力工程项目规划咨询，电力</w:t>
            </w:r>
          </w:p>
        </w:tc>
        <w:tc>
          <w:tcPr>
            <w:tcW w:w="242" w:type="dxa"/>
            <w:tcBorders>
              <w:top w:val="nil" w:sz="6" w:space="0" w:color="auto"/>
              <w:left w:val="single" w:sz="6" w:space="0" w:color="000000"/>
              <w:bottom w:val="nil" w:sz="6" w:space="0" w:color="auto"/>
              <w:right w:val="nil" w:sz="6" w:space="0" w:color="auto"/>
            </w:tcBorders>
          </w:tcPr>
          <w:p>
            <w:pPr/>
          </w:p>
        </w:tc>
        <w:tc>
          <w:tcPr>
            <w:tcW w:w="751" w:type="dxa"/>
            <w:tcBorders>
              <w:top w:val="nil" w:sz="6" w:space="0" w:color="auto"/>
              <w:left w:val="nil" w:sz="6" w:space="0" w:color="auto"/>
              <w:bottom w:val="nil" w:sz="6" w:space="0" w:color="auto"/>
              <w:right w:val="single" w:sz="6" w:space="0" w:color="000000"/>
            </w:tcBorders>
          </w:tcPr>
          <w:p>
            <w:pPr/>
          </w:p>
        </w:tc>
        <w:tc>
          <w:tcPr>
            <w:tcW w:w="834" w:type="dxa"/>
            <w:vMerge/>
            <w:tcBorders>
              <w:left w:val="single" w:sz="6" w:space="0" w:color="000000"/>
              <w:right w:val="single" w:sz="6" w:space="0" w:color="000000"/>
            </w:tcBorders>
          </w:tcPr>
          <w:p>
            <w:pPr/>
          </w:p>
        </w:tc>
        <w:tc>
          <w:tcPr>
            <w:tcW w:w="1365" w:type="dxa"/>
            <w:tcBorders>
              <w:top w:val="nil" w:sz="6" w:space="0" w:color="auto"/>
              <w:left w:val="single" w:sz="6" w:space="0" w:color="000000"/>
              <w:bottom w:val="nil" w:sz="6" w:space="0" w:color="auto"/>
              <w:right w:val="single" w:sz="12" w:space="0" w:color="000000"/>
            </w:tcBorders>
          </w:tcPr>
          <w:p>
            <w:pPr/>
          </w:p>
        </w:tc>
      </w:tr>
      <w:tr>
        <w:trPr>
          <w:trHeight w:val="625" w:hRule="exact"/>
        </w:trPr>
        <w:tc>
          <w:tcPr>
            <w:tcW w:w="1373" w:type="dxa"/>
            <w:tcBorders>
              <w:top w:val="nil" w:sz="6" w:space="0" w:color="auto"/>
              <w:left w:val="single" w:sz="12" w:space="0" w:color="000000"/>
              <w:bottom w:val="nil" w:sz="6" w:space="0" w:color="auto"/>
              <w:right w:val="single" w:sz="6" w:space="0" w:color="000000"/>
            </w:tcBorders>
          </w:tcPr>
          <w:p>
            <w:pPr>
              <w:pStyle w:val="TableParagraph"/>
              <w:spacing w:line="319" w:lineRule="auto" w:before="11"/>
              <w:ind w:left="13" w:right="75"/>
              <w:jc w:val="left"/>
              <w:rPr>
                <w:rFonts w:ascii="宋体" w:hAnsi="宋体" w:cs="宋体" w:eastAsia="宋体" w:hint="default"/>
                <w:sz w:val="18"/>
                <w:szCs w:val="18"/>
              </w:rPr>
            </w:pPr>
            <w:r>
              <w:rPr>
                <w:rFonts w:ascii="宋体" w:hAnsi="宋体" w:cs="宋体" w:eastAsia="宋体" w:hint="default"/>
                <w:sz w:val="18"/>
                <w:szCs w:val="18"/>
              </w:rPr>
              <w:t>江苏德能电力设 计咨询有限公司</w:t>
            </w:r>
          </w:p>
        </w:tc>
        <w:tc>
          <w:tcPr>
            <w:tcW w:w="103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319" w:lineRule="auto" w:before="10"/>
              <w:ind w:left="20" w:right="60"/>
              <w:jc w:val="left"/>
              <w:rPr>
                <w:rFonts w:ascii="宋体" w:hAnsi="宋体" w:cs="宋体" w:eastAsia="宋体" w:hint="default"/>
                <w:sz w:val="18"/>
                <w:szCs w:val="18"/>
              </w:rPr>
            </w:pPr>
            <w:r>
              <w:rPr>
                <w:rFonts w:ascii="宋体" w:hAnsi="宋体" w:cs="宋体" w:eastAsia="宋体" w:hint="default"/>
                <w:spacing w:val="-4"/>
                <w:sz w:val="18"/>
                <w:szCs w:val="18"/>
              </w:rPr>
              <w:t>技术咨询，电力工程项目可行性研究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编制电力工程项目建议书，制定接入</w:t>
            </w:r>
          </w:p>
        </w:tc>
        <w:tc>
          <w:tcPr>
            <w:tcW w:w="24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751"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sz w:val="18"/>
              </w:rPr>
              <w:t>60.00%</w:t>
            </w:r>
          </w:p>
        </w:tc>
        <w:tc>
          <w:tcPr>
            <w:tcW w:w="834" w:type="dxa"/>
            <w:vMerge/>
            <w:tcBorders>
              <w:left w:val="single" w:sz="6" w:space="0" w:color="000000"/>
              <w:right w:val="single" w:sz="6" w:space="0" w:color="000000"/>
            </w:tcBorders>
          </w:tcPr>
          <w:p>
            <w:pPr/>
          </w:p>
        </w:tc>
        <w:tc>
          <w:tcPr>
            <w:tcW w:w="1365" w:type="dxa"/>
            <w:tcBorders>
              <w:top w:val="nil" w:sz="6" w:space="0" w:color="auto"/>
              <w:left w:val="single" w:sz="6" w:space="0" w:color="000000"/>
              <w:bottom w:val="nil" w:sz="6" w:space="0" w:color="auto"/>
              <w:right w:val="single" w:sz="12" w:space="0" w:color="000000"/>
            </w:tcBorders>
          </w:tcPr>
          <w:p>
            <w:pPr>
              <w:pStyle w:val="TableParagraph"/>
              <w:spacing w:line="319" w:lineRule="auto" w:before="11"/>
              <w:ind w:left="405" w:right="35"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3" w:type="dxa"/>
            <w:tcBorders>
              <w:top w:val="nil" w:sz="6" w:space="0" w:color="auto"/>
              <w:left w:val="single" w:sz="12" w:space="0" w:color="000000"/>
              <w:bottom w:val="nil" w:sz="6" w:space="0" w:color="auto"/>
              <w:right w:val="single" w:sz="6" w:space="0" w:color="000000"/>
            </w:tcBorders>
          </w:tcPr>
          <w:p>
            <w:pPr/>
          </w:p>
        </w:tc>
        <w:tc>
          <w:tcPr>
            <w:tcW w:w="1038"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系统方案，电网规划、设计服务，编</w:t>
            </w:r>
          </w:p>
        </w:tc>
        <w:tc>
          <w:tcPr>
            <w:tcW w:w="242" w:type="dxa"/>
            <w:tcBorders>
              <w:top w:val="nil" w:sz="6" w:space="0" w:color="auto"/>
              <w:left w:val="single" w:sz="6" w:space="0" w:color="000000"/>
              <w:bottom w:val="nil" w:sz="6" w:space="0" w:color="auto"/>
              <w:right w:val="nil" w:sz="6" w:space="0" w:color="auto"/>
            </w:tcBorders>
          </w:tcPr>
          <w:p>
            <w:pPr/>
          </w:p>
        </w:tc>
        <w:tc>
          <w:tcPr>
            <w:tcW w:w="751" w:type="dxa"/>
            <w:tcBorders>
              <w:top w:val="nil" w:sz="6" w:space="0" w:color="auto"/>
              <w:left w:val="nil" w:sz="6" w:space="0" w:color="auto"/>
              <w:bottom w:val="nil" w:sz="6" w:space="0" w:color="auto"/>
              <w:right w:val="single" w:sz="6" w:space="0" w:color="000000"/>
            </w:tcBorders>
          </w:tcPr>
          <w:p>
            <w:pPr/>
          </w:p>
        </w:tc>
        <w:tc>
          <w:tcPr>
            <w:tcW w:w="834" w:type="dxa"/>
            <w:vMerge/>
            <w:tcBorders>
              <w:left w:val="single" w:sz="6" w:space="0" w:color="000000"/>
              <w:right w:val="single" w:sz="6" w:space="0" w:color="000000"/>
            </w:tcBorders>
          </w:tcPr>
          <w:p>
            <w:pPr/>
          </w:p>
        </w:tc>
        <w:tc>
          <w:tcPr>
            <w:tcW w:w="1365" w:type="dxa"/>
            <w:tcBorders>
              <w:top w:val="nil" w:sz="6" w:space="0" w:color="auto"/>
              <w:left w:val="single" w:sz="6" w:space="0" w:color="000000"/>
              <w:bottom w:val="nil" w:sz="6" w:space="0" w:color="auto"/>
              <w:right w:val="single" w:sz="12" w:space="0" w:color="000000"/>
            </w:tcBorders>
          </w:tcPr>
          <w:p>
            <w:pPr/>
          </w:p>
        </w:tc>
      </w:tr>
      <w:tr>
        <w:trPr>
          <w:trHeight w:val="358" w:hRule="exact"/>
        </w:trPr>
        <w:tc>
          <w:tcPr>
            <w:tcW w:w="1373" w:type="dxa"/>
            <w:tcBorders>
              <w:top w:val="nil" w:sz="6" w:space="0" w:color="auto"/>
              <w:left w:val="single" w:sz="12" w:space="0" w:color="000000"/>
              <w:bottom w:val="single" w:sz="6" w:space="0" w:color="000000"/>
              <w:right w:val="single" w:sz="6" w:space="0" w:color="000000"/>
            </w:tcBorders>
          </w:tcPr>
          <w:p>
            <w:pPr/>
          </w:p>
        </w:tc>
        <w:tc>
          <w:tcPr>
            <w:tcW w:w="1038"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制电力工程项目设计、施工概预算</w:t>
            </w:r>
          </w:p>
        </w:tc>
        <w:tc>
          <w:tcPr>
            <w:tcW w:w="242" w:type="dxa"/>
            <w:tcBorders>
              <w:top w:val="nil" w:sz="6" w:space="0" w:color="auto"/>
              <w:left w:val="single" w:sz="6" w:space="0" w:color="000000"/>
              <w:bottom w:val="single" w:sz="6" w:space="0" w:color="000000"/>
              <w:right w:val="nil" w:sz="6" w:space="0" w:color="auto"/>
            </w:tcBorders>
          </w:tcPr>
          <w:p>
            <w:pPr/>
          </w:p>
        </w:tc>
        <w:tc>
          <w:tcPr>
            <w:tcW w:w="751" w:type="dxa"/>
            <w:tcBorders>
              <w:top w:val="nil" w:sz="6" w:space="0" w:color="auto"/>
              <w:left w:val="nil" w:sz="6" w:space="0" w:color="auto"/>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1365" w:type="dxa"/>
            <w:tcBorders>
              <w:top w:val="nil" w:sz="6" w:space="0" w:color="auto"/>
              <w:left w:val="single" w:sz="6" w:space="0" w:color="000000"/>
              <w:bottom w:val="single" w:sz="6" w:space="0" w:color="000000"/>
              <w:right w:val="single" w:sz="12" w:space="0" w:color="000000"/>
            </w:tcBorders>
          </w:tcPr>
          <w:p>
            <w:pPr/>
          </w:p>
        </w:tc>
      </w:tr>
      <w:tr>
        <w:trPr>
          <w:trHeight w:val="720"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75"/>
              <w:jc w:val="left"/>
              <w:rPr>
                <w:rFonts w:ascii="宋体" w:hAnsi="宋体" w:cs="宋体" w:eastAsia="宋体" w:hint="default"/>
                <w:sz w:val="18"/>
                <w:szCs w:val="18"/>
              </w:rPr>
            </w:pPr>
            <w:r>
              <w:rPr>
                <w:rFonts w:ascii="宋体" w:hAnsi="宋体" w:cs="宋体" w:eastAsia="宋体" w:hint="default"/>
                <w:sz w:val="18"/>
                <w:szCs w:val="18"/>
              </w:rPr>
              <w:t>南京云商天下信 息技术有限公司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60"/>
              <w:jc w:val="left"/>
              <w:rPr>
                <w:rFonts w:ascii="宋体" w:hAnsi="宋体" w:cs="宋体" w:eastAsia="宋体" w:hint="default"/>
                <w:sz w:val="18"/>
                <w:szCs w:val="18"/>
              </w:rPr>
            </w:pPr>
            <w:r>
              <w:rPr>
                <w:rFonts w:ascii="宋体" w:hAnsi="宋体" w:cs="宋体" w:eastAsia="宋体" w:hint="default"/>
                <w:sz w:val="18"/>
                <w:szCs w:val="18"/>
              </w:rPr>
              <w:t>电子产品开发、销售、技术咨询、技 术咨询、技术转让；</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16" w:right="0"/>
              <w:jc w:val="left"/>
              <w:rPr>
                <w:rFonts w:ascii="宋体" w:hAnsi="宋体" w:cs="宋体" w:eastAsia="宋体" w:hint="default"/>
                <w:sz w:val="18"/>
                <w:szCs w:val="18"/>
              </w:rPr>
            </w:pPr>
            <w:r>
              <w:rPr>
                <w:rFonts w:ascii="宋体"/>
                <w:sz w:val="18"/>
              </w:rPr>
              <w:t>51.00%</w:t>
            </w:r>
          </w:p>
        </w:tc>
        <w:tc>
          <w:tcPr>
            <w:tcW w:w="834"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405" w:right="35"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9"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75"/>
              <w:jc w:val="left"/>
              <w:rPr>
                <w:rFonts w:ascii="宋体" w:hAnsi="宋体" w:cs="宋体" w:eastAsia="宋体" w:hint="default"/>
                <w:sz w:val="18"/>
                <w:szCs w:val="18"/>
              </w:rPr>
            </w:pPr>
            <w:r>
              <w:rPr>
                <w:rFonts w:ascii="宋体" w:hAnsi="宋体" w:cs="宋体" w:eastAsia="宋体" w:hint="default"/>
                <w:sz w:val="18"/>
                <w:szCs w:val="18"/>
              </w:rPr>
              <w:t>贵州健康云科技 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60"/>
              <w:jc w:val="left"/>
              <w:rPr>
                <w:rFonts w:ascii="宋体" w:hAnsi="宋体" w:cs="宋体" w:eastAsia="宋体" w:hint="default"/>
                <w:sz w:val="18"/>
                <w:szCs w:val="18"/>
              </w:rPr>
            </w:pPr>
            <w:r>
              <w:rPr>
                <w:rFonts w:ascii="宋体" w:hAnsi="宋体" w:cs="宋体" w:eastAsia="宋体" w:hint="default"/>
                <w:sz w:val="18"/>
                <w:szCs w:val="18"/>
              </w:rPr>
              <w:t>咨询服务；计算机软硬件产品开发、 销售、咨询、服务等</w:t>
            </w:r>
          </w:p>
        </w:tc>
        <w:tc>
          <w:tcPr>
            <w:tcW w:w="993" w:type="dxa"/>
            <w:gridSpan w:val="2"/>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405" w:right="35"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60" w:hRule="exact"/>
        </w:trPr>
        <w:tc>
          <w:tcPr>
            <w:tcW w:w="1373" w:type="dxa"/>
            <w:tcBorders>
              <w:top w:val="single" w:sz="6" w:space="0" w:color="000000"/>
              <w:left w:val="single" w:sz="12" w:space="0" w:color="000000"/>
              <w:bottom w:val="nil" w:sz="6" w:space="0" w:color="auto"/>
              <w:right w:val="single" w:sz="6" w:space="0" w:color="000000"/>
            </w:tcBorders>
          </w:tcPr>
          <w:p>
            <w:pPr/>
          </w:p>
        </w:tc>
        <w:tc>
          <w:tcPr>
            <w:tcW w:w="1038"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电能计量箱的设计、生产和销售，高</w:t>
            </w:r>
          </w:p>
        </w:tc>
        <w:tc>
          <w:tcPr>
            <w:tcW w:w="993" w:type="dxa"/>
            <w:gridSpan w:val="2"/>
            <w:tcBorders>
              <w:top w:val="single" w:sz="6" w:space="0" w:color="000000"/>
              <w:left w:val="single" w:sz="6" w:space="0" w:color="000000"/>
              <w:bottom w:val="nil" w:sz="6" w:space="0" w:color="auto"/>
              <w:right w:val="single" w:sz="6" w:space="0" w:color="000000"/>
            </w:tcBorders>
          </w:tcPr>
          <w:p>
            <w:pPr/>
          </w:p>
        </w:tc>
        <w:tc>
          <w:tcPr>
            <w:tcW w:w="834" w:type="dxa"/>
            <w:vMerge w:val="restart"/>
            <w:tcBorders>
              <w:top w:val="single" w:sz="6" w:space="0" w:color="000000"/>
              <w:left w:val="single" w:sz="6" w:space="0" w:color="000000"/>
              <w:right w:val="single" w:sz="6" w:space="0" w:color="000000"/>
            </w:tcBorders>
          </w:tcPr>
          <w:p>
            <w:pPr/>
          </w:p>
        </w:tc>
        <w:tc>
          <w:tcPr>
            <w:tcW w:w="1365" w:type="dxa"/>
            <w:tcBorders>
              <w:top w:val="single" w:sz="6" w:space="0" w:color="000000"/>
              <w:left w:val="single" w:sz="6" w:space="0" w:color="000000"/>
              <w:bottom w:val="nil" w:sz="6" w:space="0" w:color="auto"/>
              <w:right w:val="single" w:sz="12" w:space="0" w:color="000000"/>
            </w:tcBorders>
          </w:tcPr>
          <w:p>
            <w:pPr/>
          </w:p>
        </w:tc>
      </w:tr>
      <w:tr>
        <w:trPr>
          <w:trHeight w:val="937" w:hRule="exact"/>
        </w:trPr>
        <w:tc>
          <w:tcPr>
            <w:tcW w:w="1373" w:type="dxa"/>
            <w:tcBorders>
              <w:top w:val="nil" w:sz="6" w:space="0" w:color="auto"/>
              <w:left w:val="single" w:sz="12"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13" w:right="75"/>
              <w:jc w:val="left"/>
              <w:rPr>
                <w:rFonts w:ascii="宋体" w:hAnsi="宋体" w:cs="宋体" w:eastAsia="宋体" w:hint="default"/>
                <w:sz w:val="18"/>
                <w:szCs w:val="18"/>
              </w:rPr>
            </w:pPr>
            <w:r>
              <w:rPr>
                <w:rFonts w:ascii="宋体" w:hAnsi="宋体" w:cs="宋体" w:eastAsia="宋体" w:hint="default"/>
                <w:sz w:val="18"/>
                <w:szCs w:val="18"/>
              </w:rPr>
              <w:t>湖北索瑞电气有 限公司</w:t>
            </w:r>
          </w:p>
        </w:tc>
        <w:tc>
          <w:tcPr>
            <w:tcW w:w="103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60"/>
              <w:jc w:val="both"/>
              <w:rPr>
                <w:rFonts w:ascii="宋体" w:hAnsi="宋体" w:cs="宋体" w:eastAsia="宋体" w:hint="default"/>
                <w:sz w:val="18"/>
                <w:szCs w:val="18"/>
              </w:rPr>
            </w:pPr>
            <w:r>
              <w:rPr>
                <w:rFonts w:ascii="宋体" w:hAnsi="宋体" w:cs="宋体" w:eastAsia="宋体" w:hint="default"/>
                <w:sz w:val="18"/>
                <w:szCs w:val="18"/>
              </w:rPr>
              <w:t>低压电气成套开关设备及控制设备的 设计、生产和销售，电力电子产品技 术开发、应用、销售，电力工程安装</w:t>
            </w:r>
          </w:p>
        </w:tc>
        <w:tc>
          <w:tcPr>
            <w:tcW w:w="993"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sz w:val="18"/>
              </w:rPr>
              <w:t>100.00%</w:t>
            </w:r>
          </w:p>
        </w:tc>
        <w:tc>
          <w:tcPr>
            <w:tcW w:w="834" w:type="dxa"/>
            <w:vMerge/>
            <w:tcBorders>
              <w:left w:val="single" w:sz="6" w:space="0" w:color="000000"/>
              <w:right w:val="single" w:sz="6" w:space="0" w:color="000000"/>
            </w:tcBorders>
          </w:tcPr>
          <w:p>
            <w:pPr/>
          </w:p>
        </w:tc>
        <w:tc>
          <w:tcPr>
            <w:tcW w:w="1365" w:type="dxa"/>
            <w:tcBorders>
              <w:top w:val="nil" w:sz="6" w:space="0" w:color="auto"/>
              <w:left w:val="single" w:sz="6" w:space="0" w:color="000000"/>
              <w:bottom w:val="nil" w:sz="6" w:space="0" w:color="auto"/>
              <w:right w:val="single" w:sz="12"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405" w:right="35"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8" w:hRule="exact"/>
        </w:trPr>
        <w:tc>
          <w:tcPr>
            <w:tcW w:w="1373" w:type="dxa"/>
            <w:tcBorders>
              <w:top w:val="nil" w:sz="6" w:space="0" w:color="auto"/>
              <w:left w:val="single" w:sz="12" w:space="0" w:color="000000"/>
              <w:bottom w:val="single" w:sz="6" w:space="0" w:color="000000"/>
              <w:right w:val="single" w:sz="6" w:space="0" w:color="000000"/>
            </w:tcBorders>
          </w:tcPr>
          <w:p>
            <w:pPr/>
          </w:p>
        </w:tc>
        <w:tc>
          <w:tcPr>
            <w:tcW w:w="1038"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93" w:type="dxa"/>
            <w:gridSpan w:val="2"/>
            <w:tcBorders>
              <w:top w:val="nil" w:sz="6" w:space="0" w:color="auto"/>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1365" w:type="dxa"/>
            <w:tcBorders>
              <w:top w:val="nil" w:sz="6" w:space="0" w:color="auto"/>
              <w:left w:val="single" w:sz="6" w:space="0" w:color="000000"/>
              <w:bottom w:val="single" w:sz="6" w:space="0" w:color="000000"/>
              <w:right w:val="single" w:sz="12" w:space="0" w:color="000000"/>
            </w:tcBorders>
          </w:tcPr>
          <w:p>
            <w:pPr/>
          </w:p>
        </w:tc>
      </w:tr>
      <w:tr>
        <w:trPr>
          <w:trHeight w:val="1031"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3" w:right="75"/>
              <w:jc w:val="left"/>
              <w:rPr>
                <w:rFonts w:ascii="宋体" w:hAnsi="宋体" w:cs="宋体" w:eastAsia="宋体" w:hint="default"/>
                <w:sz w:val="18"/>
                <w:szCs w:val="18"/>
              </w:rPr>
            </w:pPr>
            <w:r>
              <w:rPr>
                <w:rFonts w:ascii="宋体" w:hAnsi="宋体" w:cs="宋体" w:eastAsia="宋体" w:hint="default"/>
                <w:sz w:val="18"/>
                <w:szCs w:val="18"/>
              </w:rPr>
              <w:t>湖北鼎瑞科技有 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60"/>
              <w:jc w:val="both"/>
              <w:rPr>
                <w:rFonts w:ascii="宋体" w:hAnsi="宋体" w:cs="宋体" w:eastAsia="宋体" w:hint="default"/>
                <w:sz w:val="18"/>
                <w:szCs w:val="18"/>
              </w:rPr>
            </w:pPr>
            <w:r>
              <w:rPr>
                <w:rFonts w:ascii="宋体" w:hAnsi="宋体" w:cs="宋体" w:eastAsia="宋体" w:hint="default"/>
                <w:sz w:val="18"/>
                <w:szCs w:val="18"/>
              </w:rPr>
              <w:t>高低压电器及成套设备、塑料制品的 生产、销售；电力系统技术开发及应 用；电子产品技术开发和销售</w:t>
            </w:r>
          </w:p>
        </w:tc>
        <w:tc>
          <w:tcPr>
            <w:tcW w:w="993" w:type="dxa"/>
            <w:gridSpan w:val="2"/>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100.00%</w:t>
            </w: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05" w:right="35"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61" w:hRule="exact"/>
        </w:trPr>
        <w:tc>
          <w:tcPr>
            <w:tcW w:w="1373" w:type="dxa"/>
            <w:tcBorders>
              <w:top w:val="single" w:sz="6" w:space="0" w:color="000000"/>
              <w:left w:val="single" w:sz="12" w:space="0" w:color="000000"/>
              <w:bottom w:val="nil" w:sz="6" w:space="0" w:color="auto"/>
              <w:right w:val="single" w:sz="6" w:space="0" w:color="000000"/>
            </w:tcBorders>
          </w:tcPr>
          <w:p>
            <w:pPr/>
          </w:p>
        </w:tc>
        <w:tc>
          <w:tcPr>
            <w:tcW w:w="1038"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高低压电器及成套设备、塑料制品、</w:t>
            </w:r>
          </w:p>
        </w:tc>
        <w:tc>
          <w:tcPr>
            <w:tcW w:w="993" w:type="dxa"/>
            <w:gridSpan w:val="2"/>
            <w:vMerge w:val="restart"/>
            <w:tcBorders>
              <w:top w:val="single" w:sz="6" w:space="0" w:color="000000"/>
              <w:left w:val="single" w:sz="6" w:space="0" w:color="000000"/>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1365" w:type="dxa"/>
            <w:tcBorders>
              <w:top w:val="single" w:sz="6" w:space="0" w:color="000000"/>
              <w:left w:val="single" w:sz="6" w:space="0" w:color="000000"/>
              <w:bottom w:val="nil" w:sz="6" w:space="0" w:color="auto"/>
              <w:right w:val="single" w:sz="12" w:space="0" w:color="000000"/>
            </w:tcBorders>
          </w:tcPr>
          <w:p>
            <w:pPr/>
          </w:p>
        </w:tc>
      </w:tr>
      <w:tr>
        <w:trPr>
          <w:trHeight w:val="625" w:hRule="exact"/>
        </w:trPr>
        <w:tc>
          <w:tcPr>
            <w:tcW w:w="1373" w:type="dxa"/>
            <w:tcBorders>
              <w:top w:val="nil" w:sz="6" w:space="0" w:color="auto"/>
              <w:left w:val="single" w:sz="12" w:space="0" w:color="000000"/>
              <w:bottom w:val="nil" w:sz="6" w:space="0" w:color="auto"/>
              <w:right w:val="single" w:sz="6" w:space="0" w:color="000000"/>
            </w:tcBorders>
          </w:tcPr>
          <w:p>
            <w:pPr>
              <w:pStyle w:val="TableParagraph"/>
              <w:spacing w:line="316" w:lineRule="auto" w:before="11"/>
              <w:ind w:left="13" w:right="75"/>
              <w:jc w:val="left"/>
              <w:rPr>
                <w:rFonts w:ascii="宋体" w:hAnsi="宋体" w:cs="宋体" w:eastAsia="宋体" w:hint="default"/>
                <w:sz w:val="18"/>
                <w:szCs w:val="18"/>
              </w:rPr>
            </w:pPr>
            <w:r>
              <w:rPr>
                <w:rFonts w:ascii="宋体" w:hAnsi="宋体" w:cs="宋体" w:eastAsia="宋体" w:hint="default"/>
                <w:sz w:val="18"/>
                <w:szCs w:val="18"/>
              </w:rPr>
              <w:t>武汉睿博电气有 限责任公司</w:t>
            </w:r>
          </w:p>
        </w:tc>
        <w:tc>
          <w:tcPr>
            <w:tcW w:w="10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60"/>
              <w:jc w:val="left"/>
              <w:rPr>
                <w:rFonts w:ascii="宋体" w:hAnsi="宋体" w:cs="宋体" w:eastAsia="宋体" w:hint="default"/>
                <w:sz w:val="18"/>
                <w:szCs w:val="18"/>
              </w:rPr>
            </w:pPr>
            <w:r>
              <w:rPr>
                <w:rFonts w:ascii="宋体" w:hAnsi="宋体" w:cs="宋体" w:eastAsia="宋体" w:hint="default"/>
                <w:sz w:val="18"/>
                <w:szCs w:val="18"/>
              </w:rPr>
              <w:t>五金钣金加工制品生产、销售；电力 电子产品技术开发、应用、销售；光</w:t>
            </w:r>
          </w:p>
        </w:tc>
        <w:tc>
          <w:tcPr>
            <w:tcW w:w="993" w:type="dxa"/>
            <w:gridSpan w:val="2"/>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5" w:type="dxa"/>
            <w:tcBorders>
              <w:top w:val="nil" w:sz="6" w:space="0" w:color="auto"/>
              <w:left w:val="single" w:sz="6" w:space="0" w:color="000000"/>
              <w:bottom w:val="nil" w:sz="6" w:space="0" w:color="auto"/>
              <w:right w:val="single" w:sz="12" w:space="0" w:color="000000"/>
            </w:tcBorders>
          </w:tcPr>
          <w:p>
            <w:pPr>
              <w:pStyle w:val="TableParagraph"/>
              <w:spacing w:line="316" w:lineRule="auto" w:before="11"/>
              <w:ind w:left="405" w:right="35"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3" w:type="dxa"/>
            <w:tcBorders>
              <w:top w:val="nil" w:sz="6" w:space="0" w:color="auto"/>
              <w:left w:val="single" w:sz="12" w:space="0" w:color="000000"/>
              <w:bottom w:val="single" w:sz="6" w:space="0" w:color="000000"/>
              <w:right w:val="single" w:sz="6" w:space="0" w:color="000000"/>
            </w:tcBorders>
          </w:tcPr>
          <w:p>
            <w:pPr/>
          </w:p>
        </w:tc>
        <w:tc>
          <w:tcPr>
            <w:tcW w:w="1038"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纤复合网络系统技术研发及应用。</w:t>
            </w:r>
          </w:p>
        </w:tc>
        <w:tc>
          <w:tcPr>
            <w:tcW w:w="993" w:type="dxa"/>
            <w:gridSpan w:val="2"/>
            <w:vMerge/>
            <w:tcBorders>
              <w:left w:val="single" w:sz="6"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
        </w:tc>
        <w:tc>
          <w:tcPr>
            <w:tcW w:w="1365" w:type="dxa"/>
            <w:tcBorders>
              <w:top w:val="nil" w:sz="6" w:space="0" w:color="auto"/>
              <w:left w:val="single" w:sz="6" w:space="0" w:color="000000"/>
              <w:bottom w:val="single" w:sz="6" w:space="0" w:color="000000"/>
              <w:right w:val="single" w:sz="12" w:space="0" w:color="000000"/>
            </w:tcBorders>
          </w:tcPr>
          <w:p>
            <w:pPr/>
          </w:p>
        </w:tc>
      </w:tr>
      <w:tr>
        <w:trPr>
          <w:trHeight w:val="361" w:hRule="exact"/>
        </w:trPr>
        <w:tc>
          <w:tcPr>
            <w:tcW w:w="1373" w:type="dxa"/>
            <w:tcBorders>
              <w:top w:val="single" w:sz="6" w:space="0" w:color="000000"/>
              <w:left w:val="single" w:sz="12" w:space="0" w:color="000000"/>
              <w:bottom w:val="nil" w:sz="6" w:space="0" w:color="auto"/>
              <w:right w:val="single" w:sz="6" w:space="0" w:color="000000"/>
            </w:tcBorders>
          </w:tcPr>
          <w:p>
            <w:pPr/>
          </w:p>
        </w:tc>
        <w:tc>
          <w:tcPr>
            <w:tcW w:w="1038"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高低压电器及成套设备、塑料制品生</w:t>
            </w:r>
          </w:p>
        </w:tc>
        <w:tc>
          <w:tcPr>
            <w:tcW w:w="993" w:type="dxa"/>
            <w:gridSpan w:val="2"/>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1365" w:type="dxa"/>
            <w:tcBorders>
              <w:top w:val="single" w:sz="6" w:space="0" w:color="000000"/>
              <w:left w:val="single" w:sz="6" w:space="0" w:color="000000"/>
              <w:bottom w:val="nil" w:sz="6" w:space="0" w:color="auto"/>
              <w:right w:val="single" w:sz="12" w:space="0" w:color="000000"/>
            </w:tcBorders>
          </w:tcPr>
          <w:p>
            <w:pPr/>
          </w:p>
        </w:tc>
      </w:tr>
      <w:tr>
        <w:trPr>
          <w:trHeight w:val="625" w:hRule="exact"/>
        </w:trPr>
        <w:tc>
          <w:tcPr>
            <w:tcW w:w="1373" w:type="dxa"/>
            <w:tcBorders>
              <w:top w:val="nil" w:sz="6" w:space="0" w:color="auto"/>
              <w:left w:val="single" w:sz="12" w:space="0" w:color="000000"/>
              <w:bottom w:val="nil" w:sz="6" w:space="0" w:color="auto"/>
              <w:right w:val="single" w:sz="6" w:space="0" w:color="000000"/>
            </w:tcBorders>
          </w:tcPr>
          <w:p>
            <w:pPr>
              <w:pStyle w:val="TableParagraph"/>
              <w:spacing w:line="316" w:lineRule="auto" w:before="11"/>
              <w:ind w:left="13" w:right="75"/>
              <w:jc w:val="left"/>
              <w:rPr>
                <w:rFonts w:ascii="宋体" w:hAnsi="宋体" w:cs="宋体" w:eastAsia="宋体" w:hint="default"/>
                <w:sz w:val="18"/>
                <w:szCs w:val="18"/>
              </w:rPr>
            </w:pPr>
            <w:r>
              <w:rPr>
                <w:rFonts w:ascii="宋体" w:hAnsi="宋体" w:cs="宋体" w:eastAsia="宋体" w:hint="default"/>
                <w:sz w:val="18"/>
                <w:szCs w:val="18"/>
              </w:rPr>
              <w:t>荆州市山源科技 有限公司</w:t>
            </w:r>
          </w:p>
        </w:tc>
        <w:tc>
          <w:tcPr>
            <w:tcW w:w="10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08"/>
              <w:jc w:val="left"/>
              <w:rPr>
                <w:rFonts w:ascii="宋体" w:hAnsi="宋体" w:cs="宋体" w:eastAsia="宋体" w:hint="default"/>
                <w:sz w:val="18"/>
                <w:szCs w:val="18"/>
              </w:rPr>
            </w:pPr>
            <w:r>
              <w:rPr>
                <w:rFonts w:ascii="宋体" w:hAnsi="宋体" w:cs="宋体" w:eastAsia="宋体" w:hint="default"/>
                <w:spacing w:val="-4"/>
                <w:sz w:val="18"/>
                <w:szCs w:val="18"/>
              </w:rPr>
              <w:t>产、销售；五金钣金制品加工、销售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电力电子产品技术开发、应用、销售</w:t>
            </w:r>
          </w:p>
        </w:tc>
        <w:tc>
          <w:tcPr>
            <w:tcW w:w="993"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5" w:type="dxa"/>
            <w:tcBorders>
              <w:top w:val="nil" w:sz="6" w:space="0" w:color="auto"/>
              <w:left w:val="single" w:sz="6" w:space="0" w:color="000000"/>
              <w:bottom w:val="nil" w:sz="6" w:space="0" w:color="auto"/>
              <w:right w:val="single" w:sz="12" w:space="0" w:color="000000"/>
            </w:tcBorders>
          </w:tcPr>
          <w:p>
            <w:pPr>
              <w:pStyle w:val="TableParagraph"/>
              <w:spacing w:line="316" w:lineRule="auto" w:before="11"/>
              <w:ind w:left="405" w:right="35"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3" w:type="dxa"/>
            <w:tcBorders>
              <w:top w:val="nil" w:sz="6" w:space="0" w:color="auto"/>
              <w:left w:val="single" w:sz="12" w:space="0" w:color="000000"/>
              <w:bottom w:val="single" w:sz="6" w:space="0" w:color="000000"/>
              <w:right w:val="single" w:sz="6" w:space="0" w:color="000000"/>
            </w:tcBorders>
          </w:tcPr>
          <w:p>
            <w:pPr/>
          </w:p>
        </w:tc>
        <w:tc>
          <w:tcPr>
            <w:tcW w:w="1038"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29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光纤复合网络系统技术研发及应用。</w:t>
            </w:r>
          </w:p>
        </w:tc>
        <w:tc>
          <w:tcPr>
            <w:tcW w:w="993" w:type="dxa"/>
            <w:gridSpan w:val="2"/>
            <w:tcBorders>
              <w:top w:val="nil" w:sz="6" w:space="0" w:color="auto"/>
              <w:left w:val="single" w:sz="6"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
        </w:tc>
        <w:tc>
          <w:tcPr>
            <w:tcW w:w="1365" w:type="dxa"/>
            <w:tcBorders>
              <w:top w:val="nil" w:sz="6" w:space="0" w:color="auto"/>
              <w:left w:val="single" w:sz="6" w:space="0" w:color="000000"/>
              <w:bottom w:val="single" w:sz="6" w:space="0" w:color="000000"/>
              <w:right w:val="single" w:sz="12" w:space="0" w:color="000000"/>
            </w:tcBorders>
          </w:tcPr>
          <w:p>
            <w:pPr/>
          </w:p>
        </w:tc>
      </w:tr>
      <w:tr>
        <w:trPr>
          <w:trHeight w:val="361" w:hRule="exact"/>
        </w:trPr>
        <w:tc>
          <w:tcPr>
            <w:tcW w:w="1373" w:type="dxa"/>
            <w:tcBorders>
              <w:top w:val="single" w:sz="6" w:space="0" w:color="000000"/>
              <w:left w:val="single" w:sz="12" w:space="0" w:color="000000"/>
              <w:bottom w:val="nil" w:sz="6" w:space="0" w:color="auto"/>
              <w:right w:val="single" w:sz="6" w:space="0" w:color="000000"/>
            </w:tcBorders>
          </w:tcPr>
          <w:p>
            <w:pPr/>
          </w:p>
        </w:tc>
        <w:tc>
          <w:tcPr>
            <w:tcW w:w="1038"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29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计算机软件、硬件产品的开发、</w:t>
            </w:r>
          </w:p>
        </w:tc>
        <w:tc>
          <w:tcPr>
            <w:tcW w:w="993" w:type="dxa"/>
            <w:gridSpan w:val="2"/>
            <w:vMerge w:val="restart"/>
            <w:tcBorders>
              <w:top w:val="single" w:sz="6" w:space="0" w:color="000000"/>
              <w:left w:val="single" w:sz="6" w:space="0" w:color="000000"/>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1365"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373" w:type="dxa"/>
            <w:tcBorders>
              <w:top w:val="nil" w:sz="6" w:space="0" w:color="auto"/>
              <w:left w:val="single" w:sz="12" w:space="0" w:color="000000"/>
              <w:bottom w:val="nil" w:sz="6" w:space="0" w:color="auto"/>
              <w:right w:val="single" w:sz="6" w:space="0" w:color="000000"/>
            </w:tcBorders>
          </w:tcPr>
          <w:p>
            <w:pPr/>
          </w:p>
        </w:tc>
        <w:tc>
          <w:tcPr>
            <w:tcW w:w="1038"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销售、技术服务；计算机系统集成设</w:t>
            </w:r>
          </w:p>
        </w:tc>
        <w:tc>
          <w:tcPr>
            <w:tcW w:w="993" w:type="dxa"/>
            <w:gridSpan w:val="2"/>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1365" w:type="dxa"/>
            <w:tcBorders>
              <w:top w:val="nil" w:sz="6" w:space="0" w:color="auto"/>
              <w:left w:val="single" w:sz="6" w:space="0" w:color="000000"/>
              <w:bottom w:val="nil" w:sz="6" w:space="0" w:color="auto"/>
              <w:right w:val="single" w:sz="12" w:space="0" w:color="000000"/>
            </w:tcBorders>
          </w:tcPr>
          <w:p>
            <w:pPr/>
          </w:p>
        </w:tc>
      </w:tr>
      <w:tr>
        <w:trPr>
          <w:trHeight w:val="625" w:hRule="exact"/>
        </w:trPr>
        <w:tc>
          <w:tcPr>
            <w:tcW w:w="1373" w:type="dxa"/>
            <w:tcBorders>
              <w:top w:val="nil" w:sz="6" w:space="0" w:color="auto"/>
              <w:left w:val="single" w:sz="12" w:space="0" w:color="000000"/>
              <w:bottom w:val="nil" w:sz="6" w:space="0" w:color="auto"/>
              <w:right w:val="single" w:sz="6" w:space="0" w:color="000000"/>
            </w:tcBorders>
          </w:tcPr>
          <w:p>
            <w:pPr>
              <w:pStyle w:val="TableParagraph"/>
              <w:spacing w:line="316" w:lineRule="auto" w:before="11"/>
              <w:ind w:left="13" w:right="75"/>
              <w:jc w:val="left"/>
              <w:rPr>
                <w:rFonts w:ascii="宋体" w:hAnsi="宋体" w:cs="宋体" w:eastAsia="宋体" w:hint="default"/>
                <w:sz w:val="18"/>
                <w:szCs w:val="18"/>
              </w:rPr>
            </w:pPr>
            <w:r>
              <w:rPr>
                <w:rFonts w:ascii="宋体" w:hAnsi="宋体" w:cs="宋体" w:eastAsia="宋体" w:hint="default"/>
                <w:sz w:val="18"/>
                <w:szCs w:val="18"/>
              </w:rPr>
              <w:t>湖北瑞云软件科 技有限公司</w:t>
            </w:r>
          </w:p>
        </w:tc>
        <w:tc>
          <w:tcPr>
            <w:tcW w:w="103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8"/>
              <w:jc w:val="left"/>
              <w:rPr>
                <w:rFonts w:ascii="宋体" w:hAnsi="宋体" w:cs="宋体" w:eastAsia="宋体" w:hint="default"/>
                <w:sz w:val="18"/>
                <w:szCs w:val="18"/>
              </w:rPr>
            </w:pPr>
            <w:r>
              <w:rPr>
                <w:rFonts w:ascii="宋体" w:hAnsi="宋体" w:cs="宋体" w:eastAsia="宋体" w:hint="default"/>
                <w:spacing w:val="-9"/>
                <w:sz w:val="18"/>
                <w:szCs w:val="18"/>
              </w:rPr>
              <w:t>计、施工；网络工程技术咨询服务（电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信业务除外）；电子产品的研发、生产</w:t>
            </w:r>
          </w:p>
        </w:tc>
        <w:tc>
          <w:tcPr>
            <w:tcW w:w="993" w:type="dxa"/>
            <w:gridSpan w:val="2"/>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365" w:type="dxa"/>
            <w:tcBorders>
              <w:top w:val="nil" w:sz="6" w:space="0" w:color="auto"/>
              <w:left w:val="single" w:sz="6" w:space="0" w:color="000000"/>
              <w:bottom w:val="nil" w:sz="6" w:space="0" w:color="auto"/>
              <w:right w:val="single" w:sz="12" w:space="0" w:color="000000"/>
            </w:tcBorders>
          </w:tcPr>
          <w:p>
            <w:pPr>
              <w:pStyle w:val="TableParagraph"/>
              <w:spacing w:line="316" w:lineRule="auto" w:before="11"/>
              <w:ind w:left="405" w:right="35" w:hanging="36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3" w:type="dxa"/>
            <w:tcBorders>
              <w:top w:val="nil" w:sz="6" w:space="0" w:color="auto"/>
              <w:left w:val="single" w:sz="12" w:space="0" w:color="000000"/>
              <w:bottom w:val="nil" w:sz="6" w:space="0" w:color="auto"/>
              <w:right w:val="single" w:sz="6" w:space="0" w:color="000000"/>
            </w:tcBorders>
          </w:tcPr>
          <w:p>
            <w:pPr/>
          </w:p>
        </w:tc>
        <w:tc>
          <w:tcPr>
            <w:tcW w:w="1038"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29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（上述经营范围中设计资质证经营的</w:t>
            </w:r>
          </w:p>
        </w:tc>
        <w:tc>
          <w:tcPr>
            <w:tcW w:w="993" w:type="dxa"/>
            <w:gridSpan w:val="2"/>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1365" w:type="dxa"/>
            <w:tcBorders>
              <w:top w:val="nil" w:sz="6" w:space="0" w:color="auto"/>
              <w:left w:val="single" w:sz="6" w:space="0" w:color="000000"/>
              <w:bottom w:val="nil" w:sz="6" w:space="0" w:color="auto"/>
              <w:right w:val="single" w:sz="12" w:space="0" w:color="000000"/>
            </w:tcBorders>
          </w:tcPr>
          <w:p>
            <w:pPr/>
          </w:p>
        </w:tc>
      </w:tr>
      <w:tr>
        <w:trPr>
          <w:trHeight w:val="367" w:hRule="exact"/>
        </w:trPr>
        <w:tc>
          <w:tcPr>
            <w:tcW w:w="1373" w:type="dxa"/>
            <w:tcBorders>
              <w:top w:val="nil" w:sz="6" w:space="0" w:color="auto"/>
              <w:left w:val="single" w:sz="12" w:space="0" w:color="000000"/>
              <w:bottom w:val="single" w:sz="12" w:space="0" w:color="000000"/>
              <w:right w:val="single" w:sz="6" w:space="0" w:color="000000"/>
            </w:tcBorders>
          </w:tcPr>
          <w:p>
            <w:pPr/>
          </w:p>
        </w:tc>
        <w:tc>
          <w:tcPr>
            <w:tcW w:w="1038" w:type="dxa"/>
            <w:tcBorders>
              <w:top w:val="nil" w:sz="6" w:space="0" w:color="auto"/>
              <w:left w:val="single" w:sz="6" w:space="0" w:color="000000"/>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
        </w:tc>
        <w:tc>
          <w:tcPr>
            <w:tcW w:w="297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凭有效资质证经营</w:t>
            </w:r>
            <w:r>
              <w:rPr>
                <w:rFonts w:ascii="宋体" w:hAnsi="宋体" w:cs="宋体" w:eastAsia="宋体" w:hint="default"/>
                <w:sz w:val="18"/>
                <w:szCs w:val="18"/>
              </w:rPr>
              <w:t>)</w:t>
            </w:r>
          </w:p>
        </w:tc>
        <w:tc>
          <w:tcPr>
            <w:tcW w:w="993" w:type="dxa"/>
            <w:gridSpan w:val="2"/>
            <w:vMerge/>
            <w:tcBorders>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1365" w:type="dxa"/>
            <w:tcBorders>
              <w:top w:val="nil" w:sz="6" w:space="0" w:color="auto"/>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r>
        <w:rPr/>
        <w:pict>
          <v:shape style="position:absolute;margin-left:351.806pt;margin-top:-111.626335pt;width:73.2pt;height:39pt;mso-position-horizontal-relative:page;mso-position-vertical-relative:paragraph;z-index:-109434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设计、</w:t>
                  </w:r>
                </w:p>
              </w:txbxContent>
            </v:textbox>
            <w10:wrap type="none"/>
          </v:shape>
        </w:pict>
      </w:r>
      <w:r>
        <w:rPr/>
        <w:pict>
          <v:group style="position:absolute;margin-left:376.059998pt;margin-top:-178.766342pt;width:48.95pt;height:106.15pt;mso-position-horizontal-relative:page;mso-position-vertical-relative:paragraph;z-index:-1094296" coordorigin="7521,-3575" coordsize="979,2123">
            <v:group style="position:absolute;left:7521;top:-3575;width:979;height:468" coordorigin="7521,-3575" coordsize="979,468">
              <v:shape style="position:absolute;left:7521;top:-3575;width:979;height:468" coordorigin="7521,-3575" coordsize="979,468" path="m7521,-3107l8500,-3107,8500,-3575,7521,-3575,7521,-3107xe" filled="true" fillcolor="#ffffff" stroked="false">
                <v:path arrowok="t"/>
                <v:fill type="solid"/>
              </v:shape>
            </v:group>
            <v:group style="position:absolute;left:7531;top:-3107;width:2;height:392" coordorigin="7531,-3107" coordsize="2,392">
              <v:shape style="position:absolute;left:7531;top:-3107;width:2;height:392" coordorigin="7531,-3107" coordsize="0,392" path="m7531,-3107l7531,-2716e" filled="false" stroked="true" strokeweight="1.02pt" strokecolor="#ffffff">
                <v:path arrowok="t"/>
              </v:shape>
            </v:group>
            <v:group style="position:absolute;left:7521;top:-2716;width:979;height:468" coordorigin="7521,-2716" coordsize="979,468">
              <v:shape style="position:absolute;left:7521;top:-2716;width:979;height:468" coordorigin="7521,-2716" coordsize="979,468" path="m7521,-2248l8500,-2248,8500,-2716,7521,-2716,7521,-2248xe" filled="true" fillcolor="#ffffff" stroked="false">
                <v:path arrowok="t"/>
                <v:fill type="solid"/>
              </v:shape>
            </v:group>
            <v:group style="position:absolute;left:7542;top:-3107;width:937;height:392" coordorigin="7542,-3107" coordsize="937,392">
              <v:shape style="position:absolute;left:7542;top:-3107;width:937;height:392" coordorigin="7542,-3107" coordsize="937,392" path="m7542,-2716l8478,-2716,8478,-3107,7542,-3107,7542,-2716xe" filled="true" fillcolor="#ffffff" stroked="false">
                <v:path arrowok="t"/>
                <v:fill type="solid"/>
              </v:shape>
            </v:group>
            <v:group style="position:absolute;left:7521;top:-2233;width:979;height:780" coordorigin="7521,-2233" coordsize="979,780">
              <v:shape style="position:absolute;left:7521;top:-2233;width:979;height:780" coordorigin="7521,-2233" coordsize="979,780" path="m7521,-1453l8500,-1453,8500,-2233,7521,-2233,7521,-1453xe" filled="true" fillcolor="#ffffff" stroked="false">
                <v:path arrowok="t"/>
                <v:fill type="solid"/>
              </v:shape>
            </v:group>
            <w10:wrap type="none"/>
          </v:group>
        </w:pict>
      </w:r>
      <w:bookmarkStart w:name="（2）重要的非全资子公司" w:id="411"/>
      <w:bookmarkEnd w:id="411"/>
      <w:r>
        <w:rPr>
          <w:b w:val="0"/>
          <w:bCs w:val="0"/>
        </w:rPr>
      </w:r>
      <w:r>
        <w:rPr>
          <w:w w:val="95"/>
        </w:rPr>
        <w:t>（</w:t>
      </w:r>
      <w:r>
        <w:rPr>
          <w:rFonts w:ascii="宋体" w:hAnsi="宋体" w:cs="宋体" w:eastAsia="宋体" w:hint="default"/>
          <w:w w:val="95"/>
        </w:rPr>
        <w:t>2</w:t>
      </w:r>
      <w:r>
        <w:rPr>
          <w:w w:val="95"/>
        </w:rPr>
        <w:t>）重要的非全资子公司</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558" w:space="5362"/>
            <w:col w:w="2990"/>
          </w:cols>
        </w:sectPr>
      </w:pPr>
    </w:p>
    <w:p>
      <w:pPr>
        <w:spacing w:line="240" w:lineRule="auto" w:before="13"/>
        <w:rPr>
          <w:rFonts w:ascii="宋体" w:hAnsi="宋体" w:cs="宋体" w:eastAsia="宋体" w:hint="default"/>
          <w:sz w:val="7"/>
          <w:szCs w:val="7"/>
        </w:rPr>
      </w:pPr>
      <w:r>
        <w:rPr/>
        <w:pict>
          <v:group style="position:absolute;margin-left:376.059998pt;margin-top:91.859985pt;width:48.95pt;height:59.1pt;mso-position-horizontal-relative:page;mso-position-vertical-relative:page;z-index:-1094320" coordorigin="7521,1837" coordsize="979,1182">
            <v:group style="position:absolute;left:7521;top:1837;width:979;height:780" coordorigin="7521,1837" coordsize="979,780">
              <v:shape style="position:absolute;left:7521;top:1837;width:979;height:780" coordorigin="7521,1837" coordsize="979,780" path="m7521,2617l8500,2617,8500,1837,7521,1837,7521,2617xe" filled="true" fillcolor="#ffffff" stroked="false">
                <v:path arrowok="t"/>
                <v:fill type="solid"/>
              </v:shape>
            </v:group>
            <v:group style="position:absolute;left:7531;top:2617;width:2;height:392" coordorigin="7531,2617" coordsize="2,392">
              <v:shape style="position:absolute;left:7531;top:2617;width:2;height:392" coordorigin="7531,2617" coordsize="0,392" path="m7531,2617l7531,3009e" filled="false" stroked="true" strokeweight="1.02pt" strokecolor="#ffffff">
                <v:path arrowok="t"/>
              </v:shape>
            </v:group>
            <v:group style="position:absolute;left:7542;top:2617;width:937;height:392" coordorigin="7542,2617" coordsize="937,392">
              <v:shape style="position:absolute;left:7542;top:2617;width:937;height:392" coordorigin="7542,2617" coordsize="937,392" path="m7542,3009l8478,3009,8478,2617,7542,2617,7542,3009xe" filled="true" fillcolor="#ffffff" stroked="false">
                <v:path arrowok="t"/>
                <v:fill type="solid"/>
              </v:shape>
            </v:group>
            <w10:wrap type="none"/>
          </v:group>
        </w:pict>
      </w:r>
    </w:p>
    <w:tbl>
      <w:tblPr>
        <w:tblW w:w="0" w:type="auto"/>
        <w:jc w:val="left"/>
        <w:tblInd w:w="1118" w:type="dxa"/>
        <w:tblLayout w:type="fixed"/>
        <w:tblCellMar>
          <w:top w:w="0" w:type="dxa"/>
          <w:left w:w="0" w:type="dxa"/>
          <w:bottom w:w="0" w:type="dxa"/>
          <w:right w:w="0" w:type="dxa"/>
        </w:tblCellMar>
        <w:tblLook w:val="01E0"/>
      </w:tblPr>
      <w:tblGrid>
        <w:gridCol w:w="1917"/>
        <w:gridCol w:w="1914"/>
        <w:gridCol w:w="1914"/>
        <w:gridCol w:w="1913"/>
        <w:gridCol w:w="1912"/>
      </w:tblGrid>
      <w:tr>
        <w:trPr>
          <w:trHeight w:val="782" w:hRule="exact"/>
        </w:trPr>
        <w:tc>
          <w:tcPr>
            <w:tcW w:w="19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79"/>
              <w:ind w:left="769"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79"/>
              <w:ind w:left="589" w:right="47"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27" w:hRule="exact"/>
        </w:trPr>
        <w:tc>
          <w:tcPr>
            <w:tcW w:w="1917"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51"/>
              <w:ind w:left="13" w:right="81"/>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40.00%</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7" w:right="0"/>
              <w:jc w:val="left"/>
              <w:rPr>
                <w:rFonts w:ascii="宋体" w:hAnsi="宋体" w:cs="宋体" w:eastAsia="宋体" w:hint="default"/>
                <w:sz w:val="18"/>
                <w:szCs w:val="18"/>
              </w:rPr>
            </w:pPr>
            <w:r>
              <w:rPr>
                <w:rFonts w:ascii="宋体"/>
                <w:sz w:val="18"/>
              </w:rPr>
              <w:t>-3,966,508.72</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3,953,029.66</w:t>
            </w:r>
          </w:p>
        </w:tc>
      </w:tr>
    </w:tbl>
    <w:p>
      <w:pPr>
        <w:spacing w:after="0" w:line="240" w:lineRule="auto"/>
        <w:jc w:val="right"/>
        <w:rPr>
          <w:rFonts w:ascii="宋体" w:hAnsi="宋体" w:cs="宋体" w:eastAsia="宋体" w:hint="default"/>
          <w:sz w:val="18"/>
          <w:szCs w:val="18"/>
        </w:rPr>
        <w:sectPr>
          <w:type w:val="continuous"/>
          <w:pgSz w:w="11910" w:h="16840"/>
          <w:pgMar w:top="1040" w:bottom="1180" w:left="0" w:right="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1000" w:top="1040" w:bottom="1180" w:left="0" w:right="0"/>
        </w:sectPr>
      </w:pPr>
    </w:p>
    <w:p>
      <w:pPr>
        <w:pStyle w:val="Heading4"/>
        <w:spacing w:line="240" w:lineRule="auto" w:before="35"/>
        <w:ind w:left="1133" w:right="0"/>
        <w:jc w:val="left"/>
        <w:rPr>
          <w:b w:val="0"/>
          <w:bCs w:val="0"/>
        </w:rPr>
      </w:pPr>
      <w:bookmarkStart w:name="（3）重要非全资子公司的主要财务信息" w:id="412"/>
      <w:bookmarkEnd w:id="412"/>
      <w:r>
        <w:rPr>
          <w:b w:val="0"/>
          <w:bCs w:val="0"/>
        </w:rPr>
      </w:r>
      <w:r>
        <w:rPr>
          <w:w w:val="95"/>
        </w:rPr>
        <w:t>（</w:t>
      </w:r>
      <w:r>
        <w:rPr>
          <w:rFonts w:ascii="宋体" w:hAnsi="宋体" w:cs="宋体" w:eastAsia="宋体" w:hint="default"/>
          <w:w w:val="95"/>
        </w:rPr>
        <w:t>3</w:t>
      </w:r>
      <w:r>
        <w:rPr>
          <w:w w:val="95"/>
        </w:rPr>
        <w:t>）重要非全资子公司的主要财务信息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4822" w:space="4098"/>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379"/>
        <w:gridCol w:w="1376"/>
        <w:gridCol w:w="1378"/>
        <w:gridCol w:w="1376"/>
        <w:gridCol w:w="1378"/>
        <w:gridCol w:w="1376"/>
        <w:gridCol w:w="1378"/>
      </w:tblGrid>
      <w:tr>
        <w:trPr>
          <w:trHeight w:val="413" w:hRule="exact"/>
        </w:trPr>
        <w:tc>
          <w:tcPr>
            <w:tcW w:w="1379"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262" w:type="dxa"/>
            <w:gridSpan w:val="6"/>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379" w:type="dxa"/>
            <w:vMerge/>
            <w:tcBorders>
              <w:left w:val="single" w:sz="12" w:space="0" w:color="000000"/>
              <w:bottom w:val="single" w:sz="6" w:space="0" w:color="000000"/>
              <w:right w:val="single" w:sz="6" w:space="0" w:color="000000"/>
            </w:tcBorders>
            <w:shd w:val="clear" w:color="auto" w:fill="D2D2D2"/>
          </w:tcPr>
          <w:p>
            <w:pPr/>
          </w:p>
        </w:tc>
        <w:tc>
          <w:tcPr>
            <w:tcW w:w="1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32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32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32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885" w:hRule="exact"/>
        </w:trPr>
        <w:tc>
          <w:tcPr>
            <w:tcW w:w="1379"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131"/>
              <w:ind w:left="13" w:right="81"/>
              <w:jc w:val="left"/>
              <w:rPr>
                <w:rFonts w:ascii="宋体" w:hAnsi="宋体" w:cs="宋体" w:eastAsia="宋体" w:hint="default"/>
                <w:sz w:val="18"/>
                <w:szCs w:val="18"/>
              </w:rPr>
            </w:pPr>
            <w:r>
              <w:rPr>
                <w:rFonts w:ascii="宋体" w:hAnsi="宋体" w:cs="宋体" w:eastAsia="宋体" w:hint="default"/>
                <w:sz w:val="18"/>
                <w:szCs w:val="18"/>
              </w:rPr>
              <w:t>江苏德能电力设 计咨询有限公司</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71" w:right="0"/>
              <w:jc w:val="left"/>
              <w:rPr>
                <w:rFonts w:ascii="宋体" w:hAnsi="宋体" w:cs="宋体" w:eastAsia="宋体" w:hint="default"/>
                <w:sz w:val="18"/>
                <w:szCs w:val="18"/>
              </w:rPr>
            </w:pPr>
            <w:r>
              <w:rPr>
                <w:rFonts w:ascii="宋体"/>
                <w:sz w:val="18"/>
              </w:rPr>
              <w:t>40,199,416.82</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61" w:right="0"/>
              <w:jc w:val="left"/>
              <w:rPr>
                <w:rFonts w:ascii="宋体" w:hAnsi="宋体" w:cs="宋体" w:eastAsia="宋体" w:hint="default"/>
                <w:sz w:val="18"/>
                <w:szCs w:val="18"/>
              </w:rPr>
            </w:pPr>
            <w:r>
              <w:rPr>
                <w:rFonts w:ascii="宋体"/>
                <w:sz w:val="18"/>
              </w:rPr>
              <w:t>1,748,329.60</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71" w:right="0"/>
              <w:jc w:val="left"/>
              <w:rPr>
                <w:rFonts w:ascii="宋体" w:hAnsi="宋体" w:cs="宋体" w:eastAsia="宋体" w:hint="default"/>
                <w:sz w:val="18"/>
                <w:szCs w:val="18"/>
              </w:rPr>
            </w:pPr>
            <w:r>
              <w:rPr>
                <w:rFonts w:ascii="宋体"/>
                <w:sz w:val="18"/>
              </w:rPr>
              <w:t>41,947,746.42</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71" w:right="0"/>
              <w:jc w:val="left"/>
              <w:rPr>
                <w:rFonts w:ascii="宋体" w:hAnsi="宋体" w:cs="宋体" w:eastAsia="宋体" w:hint="default"/>
                <w:sz w:val="18"/>
                <w:szCs w:val="18"/>
              </w:rPr>
            </w:pPr>
            <w:r>
              <w:rPr>
                <w:rFonts w:ascii="宋体"/>
                <w:sz w:val="18"/>
              </w:rPr>
              <w:t>32,065,172.32</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73" w:right="0"/>
              <w:jc w:val="left"/>
              <w:rPr>
                <w:rFonts w:ascii="宋体" w:hAnsi="宋体" w:cs="宋体" w:eastAsia="宋体" w:hint="default"/>
                <w:sz w:val="18"/>
                <w:szCs w:val="18"/>
              </w:rPr>
            </w:pPr>
            <w:r>
              <w:rPr>
                <w:rFonts w:ascii="宋体"/>
                <w:sz w:val="18"/>
              </w:rPr>
              <w:t>32,065,172.32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1381"/>
        <w:gridCol w:w="1378"/>
        <w:gridCol w:w="1379"/>
        <w:gridCol w:w="1378"/>
        <w:gridCol w:w="1381"/>
        <w:gridCol w:w="1380"/>
        <w:gridCol w:w="1364"/>
      </w:tblGrid>
      <w:tr>
        <w:trPr>
          <w:trHeight w:val="418" w:hRule="exact"/>
        </w:trPr>
        <w:tc>
          <w:tcPr>
            <w:tcW w:w="1381"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260" w:type="dxa"/>
            <w:gridSpan w:val="6"/>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381" w:type="dxa"/>
            <w:vMerge/>
            <w:tcBorders>
              <w:left w:val="single" w:sz="12" w:space="0" w:color="000000"/>
              <w:bottom w:val="single" w:sz="6" w:space="0" w:color="000000"/>
              <w:right w:val="single" w:sz="6" w:space="0" w:color="000000"/>
            </w:tcBorders>
            <w:shd w:val="clear" w:color="auto" w:fill="D2D2D2"/>
          </w:tcPr>
          <w:p>
            <w:pPr/>
          </w:p>
        </w:tc>
        <w:tc>
          <w:tcPr>
            <w:tcW w:w="13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3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23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64"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4"/>
              <w:ind w:left="314"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30" w:hRule="exact"/>
        </w:trPr>
        <w:tc>
          <w:tcPr>
            <w:tcW w:w="1381"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53"/>
              <w:ind w:left="13" w:right="83"/>
              <w:jc w:val="left"/>
              <w:rPr>
                <w:rFonts w:ascii="宋体" w:hAnsi="宋体" w:cs="宋体" w:eastAsia="宋体" w:hint="default"/>
                <w:sz w:val="18"/>
                <w:szCs w:val="18"/>
              </w:rPr>
            </w:pPr>
            <w:r>
              <w:rPr>
                <w:rFonts w:ascii="宋体" w:hAnsi="宋体" w:cs="宋体" w:eastAsia="宋体" w:hint="default"/>
                <w:sz w:val="18"/>
                <w:szCs w:val="18"/>
              </w:rPr>
              <w:t>江苏德能电力设 计咨询有限公司</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2" w:right="0"/>
              <w:jc w:val="center"/>
              <w:rPr>
                <w:rFonts w:ascii="宋体" w:hAnsi="宋体" w:cs="宋体" w:eastAsia="宋体" w:hint="default"/>
                <w:sz w:val="18"/>
                <w:szCs w:val="18"/>
              </w:rPr>
            </w:pPr>
            <w:r>
              <w:rPr>
                <w:rFonts w:ascii="宋体"/>
                <w:sz w:val="18"/>
              </w:rPr>
              <w:t>34,561,764.57</w:t>
            </w:r>
          </w:p>
        </w:tc>
        <w:tc>
          <w:tcPr>
            <w:tcW w:w="13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3" w:right="0"/>
              <w:jc w:val="left"/>
              <w:rPr>
                <w:rFonts w:ascii="宋体" w:hAnsi="宋体" w:cs="宋体" w:eastAsia="宋体" w:hint="default"/>
                <w:sz w:val="18"/>
                <w:szCs w:val="18"/>
              </w:rPr>
            </w:pPr>
            <w:r>
              <w:rPr>
                <w:rFonts w:ascii="宋体"/>
                <w:sz w:val="18"/>
              </w:rPr>
              <w:t>1,889,178.18</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2" w:right="0"/>
              <w:jc w:val="center"/>
              <w:rPr>
                <w:rFonts w:ascii="宋体" w:hAnsi="宋体" w:cs="宋体" w:eastAsia="宋体" w:hint="default"/>
                <w:sz w:val="18"/>
                <w:szCs w:val="18"/>
              </w:rPr>
            </w:pPr>
            <w:r>
              <w:rPr>
                <w:rFonts w:ascii="宋体"/>
                <w:sz w:val="18"/>
              </w:rPr>
              <w:t>36,450,942.75</w:t>
            </w:r>
          </w:p>
        </w:tc>
        <w:tc>
          <w:tcPr>
            <w:tcW w:w="13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sz w:val="18"/>
              </w:rPr>
              <w:t>16,717,334.64</w:t>
            </w:r>
          </w:p>
        </w:tc>
        <w:tc>
          <w:tcPr>
            <w:tcW w:w="1380" w:type="dxa"/>
            <w:tcBorders>
              <w:top w:val="single" w:sz="6" w:space="0" w:color="000000"/>
              <w:left w:val="single" w:sz="6" w:space="0" w:color="000000"/>
              <w:bottom w:val="single" w:sz="12" w:space="0" w:color="000000"/>
              <w:right w:val="single" w:sz="6" w:space="0" w:color="000000"/>
            </w:tcBorders>
          </w:tcPr>
          <w:p>
            <w:pPr/>
          </w:p>
        </w:tc>
        <w:tc>
          <w:tcPr>
            <w:tcW w:w="13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sz w:val="18"/>
              </w:rPr>
              <w:t>16,717,334.64</w:t>
            </w:r>
          </w:p>
        </w:tc>
      </w:tr>
    </w:tbl>
    <w:p>
      <w:pPr>
        <w:spacing w:line="240" w:lineRule="auto" w:before="6"/>
        <w:rPr>
          <w:rFonts w:ascii="宋体" w:hAnsi="宋体" w:cs="宋体" w:eastAsia="宋体" w:hint="default"/>
          <w:sz w:val="27"/>
          <w:szCs w:val="2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215"/>
        <w:gridCol w:w="1614"/>
        <w:gridCol w:w="1614"/>
        <w:gridCol w:w="1614"/>
        <w:gridCol w:w="1583"/>
      </w:tblGrid>
      <w:tr>
        <w:trPr>
          <w:trHeight w:val="417" w:hRule="exact"/>
        </w:trPr>
        <w:tc>
          <w:tcPr>
            <w:tcW w:w="321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6426"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13" w:hRule="exact"/>
        </w:trPr>
        <w:tc>
          <w:tcPr>
            <w:tcW w:w="3215" w:type="dxa"/>
            <w:vMerge/>
            <w:tcBorders>
              <w:left w:val="single" w:sz="12"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2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83"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6"/>
              <w:ind w:right="55"/>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21" w:hRule="exact"/>
        </w:trPr>
        <w:tc>
          <w:tcPr>
            <w:tcW w:w="32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6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08" w:right="0"/>
              <w:jc w:val="left"/>
              <w:rPr>
                <w:rFonts w:ascii="宋体" w:hAnsi="宋体" w:cs="宋体" w:eastAsia="宋体" w:hint="default"/>
                <w:sz w:val="18"/>
                <w:szCs w:val="18"/>
              </w:rPr>
            </w:pPr>
            <w:r>
              <w:rPr>
                <w:rFonts w:ascii="宋体"/>
                <w:sz w:val="18"/>
              </w:rPr>
              <w:t>12,057,591.27</w:t>
            </w:r>
          </w:p>
        </w:tc>
        <w:tc>
          <w:tcPr>
            <w:tcW w:w="16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07" w:right="0"/>
              <w:jc w:val="left"/>
              <w:rPr>
                <w:rFonts w:ascii="宋体" w:hAnsi="宋体" w:cs="宋体" w:eastAsia="宋体" w:hint="default"/>
                <w:sz w:val="18"/>
                <w:szCs w:val="18"/>
              </w:rPr>
            </w:pPr>
            <w:r>
              <w:rPr>
                <w:rFonts w:ascii="宋体"/>
                <w:sz w:val="18"/>
              </w:rPr>
              <w:t>-9,916,271.81</w:t>
            </w:r>
          </w:p>
        </w:tc>
        <w:tc>
          <w:tcPr>
            <w:tcW w:w="16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07" w:right="0"/>
              <w:jc w:val="left"/>
              <w:rPr>
                <w:rFonts w:ascii="宋体" w:hAnsi="宋体" w:cs="宋体" w:eastAsia="宋体" w:hint="default"/>
                <w:sz w:val="18"/>
                <w:szCs w:val="18"/>
              </w:rPr>
            </w:pPr>
            <w:r>
              <w:rPr>
                <w:rFonts w:ascii="宋体"/>
                <w:sz w:val="18"/>
              </w:rPr>
              <w:t>-9,916,271.81</w:t>
            </w:r>
          </w:p>
        </w:tc>
        <w:tc>
          <w:tcPr>
            <w:tcW w:w="1583" w:type="dxa"/>
            <w:tcBorders>
              <w:top w:val="single" w:sz="7"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-15,871,750.61</w:t>
            </w:r>
          </w:p>
        </w:tc>
      </w:tr>
    </w:tbl>
    <w:p>
      <w:pPr>
        <w:spacing w:line="240" w:lineRule="auto" w:before="1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3230"/>
        <w:gridCol w:w="1622"/>
        <w:gridCol w:w="1621"/>
        <w:gridCol w:w="1622"/>
        <w:gridCol w:w="1546"/>
      </w:tblGrid>
      <w:tr>
        <w:trPr>
          <w:trHeight w:val="417" w:hRule="exact"/>
        </w:trPr>
        <w:tc>
          <w:tcPr>
            <w:tcW w:w="3230"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6411"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3" w:hRule="exact"/>
        </w:trPr>
        <w:tc>
          <w:tcPr>
            <w:tcW w:w="3230" w:type="dxa"/>
            <w:vMerge/>
            <w:tcBorders>
              <w:left w:val="single" w:sz="12" w:space="0" w:color="000000"/>
              <w:bottom w:val="single" w:sz="6" w:space="0" w:color="000000"/>
              <w:right w:val="single" w:sz="6" w:space="0" w:color="000000"/>
            </w:tcBorders>
            <w:shd w:val="clear" w:color="auto" w:fill="D2D2D2"/>
          </w:tcPr>
          <w:p>
            <w:pP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4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6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46"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6"/>
              <w:ind w:right="35"/>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21" w:hRule="exact"/>
        </w:trPr>
        <w:tc>
          <w:tcPr>
            <w:tcW w:w="323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江苏德能电力设计咨询有限公司</w:t>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15" w:right="0"/>
              <w:jc w:val="left"/>
              <w:rPr>
                <w:rFonts w:ascii="宋体" w:hAnsi="宋体" w:cs="宋体" w:eastAsia="宋体" w:hint="default"/>
                <w:sz w:val="18"/>
                <w:szCs w:val="18"/>
              </w:rPr>
            </w:pPr>
            <w:r>
              <w:rPr>
                <w:rFonts w:ascii="宋体"/>
                <w:sz w:val="18"/>
              </w:rPr>
              <w:t>35,934,671.89</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16" w:right="0"/>
              <w:jc w:val="left"/>
              <w:rPr>
                <w:rFonts w:ascii="宋体" w:hAnsi="宋体" w:cs="宋体" w:eastAsia="宋体" w:hint="default"/>
                <w:sz w:val="18"/>
                <w:szCs w:val="18"/>
              </w:rPr>
            </w:pPr>
            <w:r>
              <w:rPr>
                <w:rFonts w:ascii="宋体"/>
                <w:sz w:val="18"/>
              </w:rPr>
              <w:t>12,577,829.19</w:t>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16" w:right="0"/>
              <w:jc w:val="left"/>
              <w:rPr>
                <w:rFonts w:ascii="宋体" w:hAnsi="宋体" w:cs="宋体" w:eastAsia="宋体" w:hint="default"/>
                <w:sz w:val="18"/>
                <w:szCs w:val="18"/>
              </w:rPr>
            </w:pPr>
            <w:r>
              <w:rPr>
                <w:rFonts w:ascii="宋体"/>
                <w:sz w:val="18"/>
              </w:rPr>
              <w:t>12,577,829.19</w:t>
            </w:r>
          </w:p>
        </w:tc>
        <w:tc>
          <w:tcPr>
            <w:tcW w:w="1546" w:type="dxa"/>
            <w:tcBorders>
              <w:top w:val="single" w:sz="7"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1,833,170.34</w:t>
            </w:r>
          </w:p>
        </w:tc>
      </w:tr>
    </w:tbl>
    <w:p>
      <w:pPr>
        <w:pStyle w:val="BodyText"/>
        <w:spacing w:line="240" w:lineRule="auto" w:before="63"/>
        <w:ind w:left="1134" w:right="1121"/>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121" w:firstLine="420"/>
        <w:jc w:val="left"/>
      </w:pPr>
      <w:r>
        <w:rPr>
          <w:spacing w:val="-1"/>
        </w:rPr>
        <w:t>报告期内公司购买湖北索瑞电气有限公司少数股东持有剩余</w:t>
      </w:r>
      <w:r>
        <w:rPr>
          <w:rFonts w:ascii="宋体" w:hAnsi="宋体" w:cs="宋体" w:eastAsia="宋体" w:hint="default"/>
          <w:spacing w:val="-1"/>
        </w:rPr>
        <w:t>15.18%</w:t>
      </w:r>
      <w:r>
        <w:rPr>
          <w:spacing w:val="-1"/>
        </w:rPr>
        <w:t>的股份，至此湖北索瑞电气有限公</w:t>
      </w:r>
      <w:r>
        <w:rPr/>
        <w:t> 司成为公司全资子公司。</w:t>
      </w:r>
    </w:p>
    <w:p>
      <w:pPr>
        <w:pStyle w:val="Heading4"/>
        <w:spacing w:line="240" w:lineRule="auto" w:before="46"/>
        <w:ind w:left="1133" w:right="1121"/>
        <w:jc w:val="left"/>
        <w:rPr>
          <w:b w:val="0"/>
          <w:bCs w:val="0"/>
        </w:rPr>
      </w:pPr>
      <w:bookmarkStart w:name="（4）使用企业集团资产和清偿企业集团债务的重大限制" w:id="413"/>
      <w:bookmarkEnd w:id="413"/>
      <w:r>
        <w:rPr>
          <w:b w:val="0"/>
          <w:bCs w:val="0"/>
        </w:rPr>
      </w: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5）向纳入合并财务报表范围的结构化主体提供的财务支持或其他支持" w:id="414"/>
      <w:bookmarkEnd w:id="414"/>
      <w:r>
        <w:rPr>
          <w:b w:val="0"/>
          <w:bCs w:val="0"/>
        </w:rPr>
      </w:r>
      <w:r>
        <w:rPr/>
        <w:t>（</w:t>
      </w:r>
      <w:r>
        <w:rPr>
          <w:rFonts w:ascii="宋体" w:hAnsi="宋体" w:cs="宋体" w:eastAsia="宋体" w:hint="default"/>
        </w:rPr>
        <w:t>5</w:t>
      </w:r>
      <w:r>
        <w:rPr/>
        <w:t>）向纳入合并财务报表范围的结构化主体提供的财务支持或其他支持</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476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在子公司的所有者权益份额发生变化且仍控制子公司的交易" w:id="415"/>
      <w:bookmarkEnd w:id="415"/>
      <w:r>
        <w:rPr>
          <w:rFonts w:ascii="宋体" w:hAnsi="宋体" w:cs="宋体" w:eastAsia="宋体" w:hint="default"/>
          <w:sz w:val="21"/>
          <w:szCs w:val="21"/>
        </w:rPr>
      </w:r>
      <w:r>
        <w:rPr>
          <w:rFonts w:ascii="宋体" w:hAnsi="宋体" w:cs="宋体" w:eastAsia="宋体" w:hint="default"/>
          <w:b/>
          <w:bCs/>
          <w:w w:val="95"/>
          <w:sz w:val="21"/>
          <w:szCs w:val="21"/>
        </w:rPr>
        <w:t>2</w:t>
      </w:r>
      <w:r>
        <w:rPr>
          <w:rFonts w:ascii="宋体" w:hAnsi="宋体" w:cs="宋体" w:eastAsia="宋体" w:hint="default"/>
          <w:b/>
          <w:bCs/>
          <w:w w:val="95"/>
          <w:sz w:val="21"/>
          <w:szCs w:val="21"/>
        </w:rPr>
        <w:t>、在子公司的所有者权益份额发生变化且仍控制子公司的交易</w:t>
      </w:r>
      <w:r>
        <w:rPr>
          <w:rFonts w:ascii="宋体" w:hAnsi="宋体" w:cs="宋体" w:eastAsia="宋体" w:hint="default"/>
          <w:sz w:val="21"/>
          <w:szCs w:val="21"/>
        </w:rPr>
      </w:r>
    </w:p>
    <w:p>
      <w:pPr>
        <w:spacing w:line="408" w:lineRule="auto" w:before="46"/>
        <w:ind w:left="1554" w:right="1121" w:hanging="420"/>
        <w:jc w:val="left"/>
        <w:rPr>
          <w:rFonts w:ascii="宋体" w:hAnsi="宋体" w:cs="宋体" w:eastAsia="宋体" w:hint="default"/>
          <w:sz w:val="21"/>
          <w:szCs w:val="21"/>
        </w:rPr>
      </w:pPr>
      <w:bookmarkStart w:name="（1）在子公司所有者权益份额发生变化的情况说明" w:id="416"/>
      <w:bookmarkEnd w:id="416"/>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报告期内公司以现金收购控股子公司湖北索瑞电气有限公司剩余股东</w:t>
      </w:r>
      <w:r>
        <w:rPr>
          <w:rFonts w:ascii="宋体" w:hAnsi="宋体" w:cs="宋体" w:eastAsia="宋体" w:hint="default"/>
          <w:spacing w:val="-1"/>
          <w:sz w:val="21"/>
          <w:szCs w:val="21"/>
        </w:rPr>
        <w:t>15.18%</w:t>
      </w:r>
      <w:r>
        <w:rPr>
          <w:rFonts w:ascii="宋体" w:hAnsi="宋体" w:cs="宋体" w:eastAsia="宋体" w:hint="default"/>
          <w:spacing w:val="-1"/>
          <w:sz w:val="21"/>
          <w:szCs w:val="21"/>
        </w:rPr>
        <w:t>股份，本次收购后公司持</w:t>
      </w:r>
    </w:p>
    <w:p>
      <w:pPr>
        <w:pStyle w:val="BodyText"/>
        <w:spacing w:line="240" w:lineRule="auto"/>
        <w:ind w:right="1121"/>
        <w:jc w:val="left"/>
      </w:pPr>
      <w:r>
        <w:rPr/>
        <w:t>有湖北索瑞电气有限公司的股权达到</w:t>
      </w:r>
      <w:r>
        <w:rPr>
          <w:rFonts w:ascii="宋体" w:hAnsi="宋体" w:cs="宋体" w:eastAsia="宋体" w:hint="default"/>
        </w:rPr>
        <w:t>100%</w:t>
      </w:r>
      <w:r>
        <w:rPr/>
        <w:t>，前后控制权未发生变更。</w:t>
      </w:r>
    </w:p>
    <w:p>
      <w:pPr>
        <w:spacing w:after="0" w:line="240" w:lineRule="auto"/>
        <w:jc w:val="left"/>
        <w:sectPr>
          <w:type w:val="continuous"/>
          <w:pgSz w:w="11910" w:h="16840"/>
          <w:pgMar w:top="1040" w:bottom="1180" w:left="0" w:right="0"/>
        </w:sectPr>
      </w:pPr>
    </w:p>
    <w:p>
      <w:pPr>
        <w:spacing w:line="240" w:lineRule="auto" w:before="0"/>
        <w:rPr>
          <w:rFonts w:ascii="宋体" w:hAnsi="宋体" w:cs="宋体" w:eastAsia="宋体" w:hint="default"/>
          <w:sz w:val="20"/>
          <w:szCs w:val="20"/>
        </w:rPr>
      </w:pPr>
      <w:r>
        <w:rPr/>
        <w:pict>
          <v:shape style="position:absolute;margin-left:355.054016pt;margin-top:539.320007pt;width:77.05pt;height:100.45pt;mso-position-horizontal-relative:page;mso-position-vertical-relative:page;z-index:-1094272" type="#_x0000_t202" filled="false" stroked="false">
            <v:textbox inset="0,0,0,0">
              <w:txbxContent>
                <w:p>
                  <w:pPr>
                    <w:spacing w:line="240" w:lineRule="auto" w:before="0"/>
                    <w:rPr>
                      <w:rFonts w:ascii="宋体" w:hAnsi="宋体" w:cs="宋体" w:eastAsia="宋体" w:hint="default"/>
                      <w:b/>
                      <w:bCs/>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数据系统、</w:t>
                  </w:r>
                </w:p>
              </w:txbxContent>
            </v:textbox>
            <w10:wrap type="none"/>
          </v:shape>
        </w:pict>
      </w:r>
      <w:r>
        <w:rPr/>
        <w:pict>
          <v:shape style="position:absolute;margin-left:364.009003pt;margin-top:659.320007pt;width:68.05pt;height:100.5pt;mso-position-horizontal-relative:page;mso-position-vertical-relative:page;z-index:-1094248" type="#_x0000_t202" filled="false" stroked="false">
            <v:textbox inset="0,0,0,0">
              <w:txbxContent>
                <w:p>
                  <w:pPr>
                    <w:spacing w:before="147"/>
                    <w:ind w:left="179" w:right="0" w:hanging="180"/>
                    <w:jc w:val="left"/>
                    <w:rPr>
                      <w:rFonts w:ascii="宋体" w:hAnsi="宋体" w:cs="宋体" w:eastAsia="宋体" w:hint="default"/>
                      <w:sz w:val="18"/>
                      <w:szCs w:val="18"/>
                    </w:rPr>
                  </w:pPr>
                  <w:r>
                    <w:rPr>
                      <w:rFonts w:ascii="宋体" w:hAnsi="宋体" w:cs="宋体" w:eastAsia="宋体" w:hint="default"/>
                      <w:sz w:val="18"/>
                      <w:szCs w:val="18"/>
                    </w:rPr>
                    <w:t>铁附件、</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spacing w:before="0"/>
                    <w:ind w:left="179" w:right="0" w:firstLine="0"/>
                    <w:jc w:val="left"/>
                    <w:rPr>
                      <w:rFonts w:ascii="宋体" w:hAnsi="宋体" w:cs="宋体" w:eastAsia="宋体" w:hint="default"/>
                      <w:sz w:val="18"/>
                      <w:szCs w:val="18"/>
                    </w:rPr>
                  </w:pPr>
                  <w:r>
                    <w:rPr>
                      <w:rFonts w:ascii="宋体" w:hAnsi="宋体" w:cs="宋体" w:eastAsia="宋体" w:hint="default"/>
                      <w:sz w:val="18"/>
                      <w:szCs w:val="18"/>
                    </w:rPr>
                    <w:t>安装、</w:t>
                  </w:r>
                </w:p>
              </w:txbxContent>
            </v:textbox>
            <w10:wrap type="none"/>
          </v:shape>
        </w:pict>
      </w:r>
      <w:r>
        <w:rPr/>
        <w:pict>
          <v:group style="position:absolute;margin-left:397.299988pt;margin-top:539.320007pt;width:34.8pt;height:100.45pt;mso-position-horizontal-relative:page;mso-position-vertical-relative:page;z-index:-1094224" coordorigin="7946,10786" coordsize="696,2009">
            <v:shape style="position:absolute;left:7946;top:10786;width:696;height:2009" coordorigin="7946,10786" coordsize="696,2009" path="m7946,12795l8641,12795,8641,10786,7946,10786,7946,12795xe" filled="true" fillcolor="#ffffff" stroked="false">
              <v:path arrowok="t"/>
              <v:fill type="solid"/>
            </v:shape>
            <w10:wrap type="none"/>
          </v:group>
        </w:pict>
      </w:r>
      <w:r>
        <w:rPr/>
        <w:pict>
          <v:group style="position:absolute;margin-left:397.299988pt;margin-top:659.320007pt;width:34.8pt;height:100.5pt;mso-position-horizontal-relative:page;mso-position-vertical-relative:page;z-index:-1094200" coordorigin="7946,13186" coordsize="696,2010">
            <v:shape style="position:absolute;left:7946;top:13186;width:696;height:2010" coordorigin="7946,13186" coordsize="696,2010" path="m7946,15196l8641,15196,8641,13186,7946,13186,7946,15196xe" filled="true" fillcolor="#ffffff" stroked="false">
              <v:path arrowok="t"/>
              <v:fill type="solid"/>
            </v:shape>
            <w10:wrap type="none"/>
          </v:group>
        </w:pict>
      </w: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2）交易对于少数股东权益及归属于母公司所有者权益的影响" w:id="417"/>
      <w:bookmarkEnd w:id="417"/>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4786"/>
        <w:gridCol w:w="4783"/>
      </w:tblGrid>
      <w:tr>
        <w:trPr>
          <w:trHeight w:val="414"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w:t>
            </w:r>
          </w:p>
        </w:tc>
        <w:tc>
          <w:tcPr>
            <w:tcW w:w="4783"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129,500,000.00</w:t>
            </w:r>
          </w:p>
        </w:tc>
      </w:tr>
      <w:tr>
        <w:trPr>
          <w:trHeight w:val="408"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非现金资产的公允价值</w:t>
            </w:r>
          </w:p>
        </w:tc>
        <w:tc>
          <w:tcPr>
            <w:tcW w:w="478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处置对价合计</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129,500,000.00</w:t>
            </w: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宋体" w:hAnsi="宋体" w:cs="宋体" w:eastAsia="宋体" w:hint="default"/>
                <w:sz w:val="18"/>
                <w:szCs w:val="18"/>
              </w:rPr>
              <w:t>/</w:t>
            </w:r>
            <w:r>
              <w:rPr>
                <w:rFonts w:ascii="宋体" w:hAnsi="宋体" w:cs="宋体" w:eastAsia="宋体" w:hint="default"/>
                <w:sz w:val="18"/>
                <w:szCs w:val="18"/>
              </w:rPr>
              <w:t>处置的股权比例计算的子公司净资产份额</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92,109,978.54</w:t>
            </w: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37,390,021.46</w:t>
            </w: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37,390,021.46</w:t>
            </w:r>
          </w:p>
        </w:tc>
      </w:tr>
      <w:tr>
        <w:trPr>
          <w:trHeight w:val="407" w:hRule="exact"/>
        </w:trPr>
        <w:tc>
          <w:tcPr>
            <w:tcW w:w="478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78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83"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1"/>
        <w:jc w:val="left"/>
        <w:rPr>
          <w:b w:val="0"/>
          <w:bCs w:val="0"/>
        </w:rPr>
      </w:pPr>
      <w:bookmarkStart w:name="3、在合营安排或联营企业中的权益" w:id="418"/>
      <w:bookmarkEnd w:id="418"/>
      <w:r>
        <w:rPr>
          <w:b w:val="0"/>
          <w:bCs w:val="0"/>
        </w:rPr>
      </w:r>
      <w:r>
        <w:rPr>
          <w:rFonts w:ascii="宋体" w:hAnsi="宋体" w:cs="宋体" w:eastAsia="宋体" w:hint="default"/>
        </w:rPr>
        <w:t>3</w:t>
      </w:r>
      <w:r>
        <w:rPr/>
        <w:t>、在合营安排或联营企业中的权益</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121"/>
        <w:jc w:val="left"/>
        <w:rPr>
          <w:b w:val="0"/>
          <w:bCs w:val="0"/>
        </w:rPr>
      </w:pPr>
      <w:bookmarkStart w:name="（1）重要的合营企业或联营企业" w:id="419"/>
      <w:bookmarkEnd w:id="419"/>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9"/>
          <w:szCs w:val="9"/>
        </w:rPr>
      </w:pPr>
    </w:p>
    <w:tbl>
      <w:tblPr>
        <w:tblW w:w="0" w:type="auto"/>
        <w:jc w:val="left"/>
        <w:tblInd w:w="1118" w:type="dxa"/>
        <w:tblLayout w:type="fixed"/>
        <w:tblCellMar>
          <w:top w:w="0" w:type="dxa"/>
          <w:left w:w="0" w:type="dxa"/>
          <w:bottom w:w="0" w:type="dxa"/>
          <w:right w:w="0" w:type="dxa"/>
        </w:tblCellMar>
        <w:tblLook w:val="01E0"/>
      </w:tblPr>
      <w:tblGrid>
        <w:gridCol w:w="1373"/>
        <w:gridCol w:w="1367"/>
        <w:gridCol w:w="1367"/>
        <w:gridCol w:w="2699"/>
        <w:gridCol w:w="101"/>
        <w:gridCol w:w="608"/>
        <w:gridCol w:w="692"/>
        <w:gridCol w:w="1365"/>
      </w:tblGrid>
      <w:tr>
        <w:trPr>
          <w:trHeight w:val="413" w:hRule="exact"/>
        </w:trPr>
        <w:tc>
          <w:tcPr>
            <w:tcW w:w="137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10" w:right="47"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69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02" w:type="dxa"/>
            <w:gridSpan w:val="3"/>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51"/>
              <w:ind w:left="45" w:right="3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3" w:type="dxa"/>
            <w:vMerge/>
            <w:tcBorders>
              <w:left w:val="single" w:sz="12"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2699" w:type="dxa"/>
            <w:vMerge/>
            <w:tcBorders>
              <w:left w:val="single" w:sz="6" w:space="0" w:color="000000"/>
              <w:bottom w:val="single" w:sz="6" w:space="0" w:color="000000"/>
              <w:right w:val="single" w:sz="6" w:space="0" w:color="000000"/>
            </w:tcBorders>
            <w:shd w:val="clear" w:color="auto" w:fill="D2D2D2"/>
          </w:tcPr>
          <w:p>
            <w:pPr/>
          </w:p>
        </w:tc>
        <w:tc>
          <w:tcPr>
            <w:tcW w:w="71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16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15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3" w:right="75"/>
              <w:jc w:val="left"/>
              <w:rPr>
                <w:rFonts w:ascii="宋体" w:hAnsi="宋体" w:cs="宋体" w:eastAsia="宋体" w:hint="default"/>
                <w:sz w:val="18"/>
                <w:szCs w:val="18"/>
              </w:rPr>
            </w:pPr>
            <w:r>
              <w:rPr>
                <w:rFonts w:ascii="宋体" w:hAnsi="宋体" w:cs="宋体" w:eastAsia="宋体" w:hint="default"/>
                <w:sz w:val="18"/>
                <w:szCs w:val="18"/>
              </w:rPr>
              <w:t>中云文化大数据 科技有限公司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2"/>
              <w:ind w:left="20" w:right="71"/>
              <w:jc w:val="left"/>
              <w:rPr>
                <w:rFonts w:ascii="宋体" w:hAnsi="宋体" w:cs="宋体" w:eastAsia="宋体" w:hint="default"/>
                <w:sz w:val="18"/>
                <w:szCs w:val="18"/>
              </w:rPr>
            </w:pPr>
            <w:r>
              <w:rPr>
                <w:rFonts w:ascii="宋体" w:hAnsi="宋体" w:cs="宋体" w:eastAsia="宋体" w:hint="default"/>
                <w:sz w:val="18"/>
                <w:szCs w:val="18"/>
              </w:rPr>
              <w:t>贵州省贵阳市瑞 金南路 </w:t>
            </w:r>
            <w:r>
              <w:rPr>
                <w:rFonts w:ascii="宋体" w:hAnsi="宋体" w:cs="宋体" w:eastAsia="宋体" w:hint="default"/>
                <w:sz w:val="18"/>
                <w:szCs w:val="18"/>
              </w:rPr>
              <w:t>25 </w:t>
            </w:r>
            <w:r>
              <w:rPr>
                <w:rFonts w:ascii="宋体" w:hAnsi="宋体" w:cs="宋体" w:eastAsia="宋体" w:hint="default"/>
                <w:sz w:val="18"/>
                <w:szCs w:val="18"/>
              </w:rPr>
              <w:t>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2"/>
              <w:ind w:left="20" w:right="70"/>
              <w:jc w:val="left"/>
              <w:rPr>
                <w:rFonts w:ascii="宋体" w:hAnsi="宋体" w:cs="宋体" w:eastAsia="宋体" w:hint="default"/>
                <w:sz w:val="18"/>
                <w:szCs w:val="18"/>
              </w:rPr>
            </w:pPr>
            <w:r>
              <w:rPr>
                <w:rFonts w:ascii="宋体" w:hAnsi="宋体" w:cs="宋体" w:eastAsia="宋体" w:hint="default"/>
                <w:sz w:val="18"/>
                <w:szCs w:val="18"/>
              </w:rPr>
              <w:t>贵州省贵阳市瑞 金南路 </w:t>
            </w:r>
            <w:r>
              <w:rPr>
                <w:rFonts w:ascii="宋体" w:hAnsi="宋体" w:cs="宋体" w:eastAsia="宋体" w:hint="default"/>
                <w:sz w:val="18"/>
                <w:szCs w:val="18"/>
              </w:rPr>
              <w:t>25 </w:t>
            </w:r>
            <w:r>
              <w:rPr>
                <w:rFonts w:ascii="宋体" w:hAnsi="宋体" w:cs="宋体" w:eastAsia="宋体" w:hint="default"/>
                <w:sz w:val="18"/>
                <w:szCs w:val="18"/>
              </w:rPr>
              <w:t>号</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2"/>
              <w:ind w:left="20" w:right="19"/>
              <w:jc w:val="left"/>
              <w:rPr>
                <w:rFonts w:ascii="宋体" w:hAnsi="宋体" w:cs="宋体" w:eastAsia="宋体" w:hint="default"/>
                <w:sz w:val="18"/>
                <w:szCs w:val="18"/>
              </w:rPr>
            </w:pPr>
            <w:r>
              <w:rPr>
                <w:rFonts w:ascii="宋体" w:hAnsi="宋体" w:cs="宋体" w:eastAsia="宋体" w:hint="default"/>
                <w:spacing w:val="-4"/>
                <w:sz w:val="18"/>
                <w:szCs w:val="18"/>
              </w:rPr>
              <w:t>版权数据的备案、存储、运营和服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sz w:val="18"/>
              </w:rPr>
              <w:t>11.54%</w:t>
            </w:r>
          </w:p>
        </w:tc>
        <w:tc>
          <w:tcPr>
            <w:tcW w:w="69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20"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75"/>
              <w:jc w:val="left"/>
              <w:rPr>
                <w:rFonts w:ascii="宋体" w:hAnsi="宋体" w:cs="宋体" w:eastAsia="宋体" w:hint="default"/>
                <w:sz w:val="18"/>
                <w:szCs w:val="18"/>
              </w:rPr>
            </w:pPr>
            <w:r>
              <w:rPr>
                <w:rFonts w:ascii="宋体" w:hAnsi="宋体" w:cs="宋体" w:eastAsia="宋体" w:hint="default"/>
                <w:sz w:val="18"/>
                <w:szCs w:val="18"/>
              </w:rPr>
              <w:t>北京中广格兰信 息科技有限公司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71"/>
              <w:jc w:val="left"/>
              <w:rPr>
                <w:rFonts w:ascii="宋体" w:hAnsi="宋体" w:cs="宋体" w:eastAsia="宋体" w:hint="default"/>
                <w:sz w:val="18"/>
                <w:szCs w:val="18"/>
              </w:rPr>
            </w:pPr>
            <w:r>
              <w:rPr>
                <w:rFonts w:ascii="宋体" w:hAnsi="宋体" w:cs="宋体" w:eastAsia="宋体" w:hint="default"/>
                <w:sz w:val="18"/>
                <w:szCs w:val="18"/>
              </w:rPr>
              <w:t>北京市海淀区信 息路</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70"/>
              <w:jc w:val="left"/>
              <w:rPr>
                <w:rFonts w:ascii="宋体" w:hAnsi="宋体" w:cs="宋体" w:eastAsia="宋体" w:hint="default"/>
                <w:sz w:val="18"/>
                <w:szCs w:val="18"/>
              </w:rPr>
            </w:pPr>
            <w:r>
              <w:rPr>
                <w:rFonts w:ascii="宋体" w:hAnsi="宋体" w:cs="宋体" w:eastAsia="宋体" w:hint="default"/>
                <w:sz w:val="18"/>
                <w:szCs w:val="18"/>
              </w:rPr>
              <w:t>北京市海淀区信 息路</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19"/>
              <w:jc w:val="left"/>
              <w:rPr>
                <w:rFonts w:ascii="宋体" w:hAnsi="宋体" w:cs="宋体" w:eastAsia="宋体" w:hint="default"/>
                <w:sz w:val="18"/>
                <w:szCs w:val="18"/>
              </w:rPr>
            </w:pPr>
            <w:r>
              <w:rPr>
                <w:rFonts w:ascii="宋体" w:hAnsi="宋体" w:cs="宋体" w:eastAsia="宋体" w:hint="default"/>
                <w:spacing w:val="-4"/>
                <w:sz w:val="18"/>
                <w:szCs w:val="18"/>
              </w:rPr>
              <w:t>技术开发、推广、咨询及服务、数</w:t>
            </w:r>
            <w:r>
              <w:rPr>
                <w:rFonts w:ascii="宋体" w:hAnsi="宋体" w:cs="宋体" w:eastAsia="宋体" w:hint="default"/>
                <w:sz w:val="18"/>
                <w:szCs w:val="18"/>
              </w:rPr>
              <w:t> 据处理、会议服务</w:t>
            </w:r>
          </w:p>
        </w:tc>
        <w:tc>
          <w:tcPr>
            <w:tcW w:w="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sz w:val="18"/>
              </w:rPr>
              <w:t>30.00%</w:t>
            </w:r>
          </w:p>
        </w:tc>
        <w:tc>
          <w:tcPr>
            <w:tcW w:w="69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43"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3" w:right="75"/>
              <w:jc w:val="both"/>
              <w:rPr>
                <w:rFonts w:ascii="宋体" w:hAnsi="宋体" w:cs="宋体" w:eastAsia="宋体" w:hint="default"/>
                <w:sz w:val="18"/>
                <w:szCs w:val="18"/>
              </w:rPr>
            </w:pPr>
            <w:r>
              <w:rPr>
                <w:rFonts w:ascii="宋体" w:hAnsi="宋体" w:cs="宋体" w:eastAsia="宋体" w:hint="default"/>
                <w:sz w:val="18"/>
                <w:szCs w:val="18"/>
              </w:rPr>
              <w:t>广东今程光一电 力科技有限责任 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71"/>
              <w:jc w:val="both"/>
              <w:rPr>
                <w:rFonts w:ascii="宋体" w:hAnsi="宋体" w:cs="宋体" w:eastAsia="宋体" w:hint="default"/>
                <w:sz w:val="18"/>
                <w:szCs w:val="18"/>
              </w:rPr>
            </w:pPr>
            <w:r>
              <w:rPr>
                <w:rFonts w:ascii="宋体" w:hAnsi="宋体" w:cs="宋体" w:eastAsia="宋体" w:hint="default"/>
                <w:sz w:val="18"/>
                <w:szCs w:val="18"/>
              </w:rPr>
              <w:t>佛山市禅城区石 湾小雾岗园林陶 瓷厂内</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B</w:t>
            </w:r>
          </w:p>
          <w:p>
            <w:pPr>
              <w:pStyle w:val="TableParagraph"/>
              <w:spacing w:line="240" w:lineRule="auto" w:before="20"/>
              <w:ind w:left="20" w:right="0"/>
              <w:jc w:val="both"/>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101</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71"/>
              <w:jc w:val="both"/>
              <w:rPr>
                <w:rFonts w:ascii="宋体" w:hAnsi="宋体" w:cs="宋体" w:eastAsia="宋体" w:hint="default"/>
                <w:sz w:val="18"/>
                <w:szCs w:val="18"/>
              </w:rPr>
            </w:pPr>
            <w:r>
              <w:rPr>
                <w:rFonts w:ascii="宋体" w:hAnsi="宋体" w:cs="宋体" w:eastAsia="宋体" w:hint="default"/>
                <w:sz w:val="18"/>
                <w:szCs w:val="18"/>
              </w:rPr>
              <w:t>佛山市禅城区石 湾小雾岗园林陶 瓷厂内</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B</w:t>
            </w:r>
          </w:p>
          <w:p>
            <w:pPr>
              <w:pStyle w:val="TableParagraph"/>
              <w:spacing w:line="240" w:lineRule="auto" w:before="20"/>
              <w:ind w:left="20" w:right="0"/>
              <w:jc w:val="both"/>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101</w:t>
            </w:r>
            <w:r>
              <w:rPr>
                <w:rFonts w:ascii="宋体" w:hAnsi="宋体" w:cs="宋体" w:eastAsia="宋体" w:hint="default"/>
                <w:spacing w:val="-46"/>
                <w:sz w:val="18"/>
                <w:szCs w:val="18"/>
              </w:rPr>
              <w:t> </w:t>
            </w:r>
            <w:r>
              <w:rPr>
                <w:rFonts w:ascii="宋体" w:hAnsi="宋体" w:cs="宋体" w:eastAsia="宋体" w:hint="default"/>
                <w:sz w:val="18"/>
                <w:szCs w:val="18"/>
              </w:rPr>
              <w:t>室）</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19"/>
              <w:jc w:val="both"/>
              <w:rPr>
                <w:rFonts w:ascii="宋体" w:hAnsi="宋体" w:cs="宋体" w:eastAsia="宋体" w:hint="default"/>
                <w:sz w:val="18"/>
                <w:szCs w:val="18"/>
              </w:rPr>
            </w:pPr>
            <w:r>
              <w:rPr>
                <w:rFonts w:ascii="宋体" w:hAnsi="宋体" w:cs="宋体" w:eastAsia="宋体" w:hint="default"/>
                <w:spacing w:val="-4"/>
                <w:sz w:val="18"/>
                <w:szCs w:val="18"/>
              </w:rPr>
              <w:t>电力设备、仪器仪表、计算机软硬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件的开发、设计、销售及服务；电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力工程等安装、承包；信息系统设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计、销售、施工、服务及技术咨询</w:t>
            </w:r>
          </w:p>
        </w:tc>
        <w:tc>
          <w:tcPr>
            <w:tcW w:w="7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33" w:right="0"/>
              <w:jc w:val="left"/>
              <w:rPr>
                <w:rFonts w:ascii="宋体" w:hAnsi="宋体" w:cs="宋体" w:eastAsia="宋体" w:hint="default"/>
                <w:sz w:val="18"/>
                <w:szCs w:val="18"/>
              </w:rPr>
            </w:pPr>
            <w:r>
              <w:rPr>
                <w:rFonts w:ascii="宋体"/>
                <w:sz w:val="18"/>
              </w:rPr>
              <w:t>30.00%</w:t>
            </w:r>
          </w:p>
        </w:tc>
        <w:tc>
          <w:tcPr>
            <w:tcW w:w="69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431" w:hRule="exact"/>
        </w:trPr>
        <w:tc>
          <w:tcPr>
            <w:tcW w:w="13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316" w:lineRule="auto"/>
              <w:ind w:left="13" w:right="75"/>
              <w:jc w:val="left"/>
              <w:rPr>
                <w:rFonts w:ascii="宋体" w:hAnsi="宋体" w:cs="宋体" w:eastAsia="宋体" w:hint="default"/>
                <w:sz w:val="18"/>
                <w:szCs w:val="18"/>
              </w:rPr>
            </w:pPr>
            <w:r>
              <w:rPr>
                <w:rFonts w:ascii="宋体" w:hAnsi="宋体" w:cs="宋体" w:eastAsia="宋体" w:hint="default"/>
                <w:sz w:val="18"/>
                <w:szCs w:val="18"/>
              </w:rPr>
              <w:t>江苏其厚智能电 气设备有限公司</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16" w:lineRule="auto"/>
              <w:ind w:left="20" w:right="71"/>
              <w:jc w:val="both"/>
              <w:rPr>
                <w:rFonts w:ascii="宋体" w:hAnsi="宋体" w:cs="宋体" w:eastAsia="宋体" w:hint="default"/>
                <w:sz w:val="18"/>
                <w:szCs w:val="18"/>
              </w:rPr>
            </w:pPr>
            <w:r>
              <w:rPr>
                <w:rFonts w:ascii="宋体" w:hAnsi="宋体" w:cs="宋体" w:eastAsia="宋体" w:hint="default"/>
                <w:sz w:val="18"/>
                <w:szCs w:val="18"/>
              </w:rPr>
              <w:t>南京市栖霞区仙 林街道仙林大学 城紫东路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 </w:t>
            </w:r>
            <w:r>
              <w:rPr>
                <w:rFonts w:ascii="宋体" w:hAnsi="宋体" w:cs="宋体" w:eastAsia="宋体" w:hint="default"/>
                <w:sz w:val="18"/>
                <w:szCs w:val="18"/>
              </w:rPr>
              <w:t>幢</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16" w:lineRule="auto"/>
              <w:ind w:left="20" w:right="70"/>
              <w:jc w:val="both"/>
              <w:rPr>
                <w:rFonts w:ascii="宋体" w:hAnsi="宋体" w:cs="宋体" w:eastAsia="宋体" w:hint="default"/>
                <w:sz w:val="18"/>
                <w:szCs w:val="18"/>
              </w:rPr>
            </w:pPr>
            <w:r>
              <w:rPr>
                <w:rFonts w:ascii="宋体" w:hAnsi="宋体" w:cs="宋体" w:eastAsia="宋体" w:hint="default"/>
                <w:sz w:val="18"/>
                <w:szCs w:val="18"/>
              </w:rPr>
              <w:t>南京市栖霞区仙 林街道仙林大学 城紫东路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 </w:t>
            </w:r>
            <w:r>
              <w:rPr>
                <w:rFonts w:ascii="宋体" w:hAnsi="宋体" w:cs="宋体" w:eastAsia="宋体" w:hint="default"/>
                <w:sz w:val="18"/>
                <w:szCs w:val="18"/>
              </w:rPr>
              <w:t>幢</w:t>
            </w:r>
          </w:p>
        </w:tc>
        <w:tc>
          <w:tcPr>
            <w:tcW w:w="2699" w:type="dxa"/>
            <w:tcBorders>
              <w:top w:val="single" w:sz="6" w:space="0" w:color="000000"/>
              <w:left w:val="single" w:sz="6" w:space="0" w:color="000000"/>
              <w:bottom w:val="single" w:sz="12" w:space="0" w:color="000000"/>
              <w:right w:val="single" w:sz="8" w:space="0" w:color="FFFFFF"/>
            </w:tcBorders>
          </w:tcPr>
          <w:p>
            <w:pPr>
              <w:pStyle w:val="TableParagraph"/>
              <w:spacing w:line="316" w:lineRule="auto" w:before="51"/>
              <w:ind w:left="20" w:right="-40"/>
              <w:jc w:val="left"/>
              <w:rPr>
                <w:rFonts w:ascii="宋体" w:hAnsi="宋体" w:cs="宋体" w:eastAsia="宋体" w:hint="default"/>
                <w:sz w:val="18"/>
                <w:szCs w:val="18"/>
              </w:rPr>
            </w:pPr>
            <w:r>
              <w:rPr>
                <w:rFonts w:ascii="宋体" w:hAnsi="宋体" w:cs="宋体" w:eastAsia="宋体" w:hint="default"/>
                <w:spacing w:val="-4"/>
                <w:sz w:val="18"/>
                <w:szCs w:val="18"/>
              </w:rPr>
              <w:t>电气设备、测控终端、传感器、软</w:t>
            </w:r>
            <w:r>
              <w:rPr>
                <w:rFonts w:ascii="宋体" w:hAnsi="宋体" w:cs="宋体" w:eastAsia="宋体" w:hint="default"/>
                <w:sz w:val="18"/>
                <w:szCs w:val="18"/>
              </w:rPr>
              <w:t> </w:t>
            </w:r>
            <w:r>
              <w:rPr>
                <w:rFonts w:ascii="宋体" w:hAnsi="宋体" w:cs="宋体" w:eastAsia="宋体" w:hint="default"/>
                <w:spacing w:val="-7"/>
                <w:sz w:val="18"/>
                <w:szCs w:val="18"/>
              </w:rPr>
              <w:t>件工程、在线监测系统、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新能源设备的研发、制造、销售、 </w:t>
            </w:r>
            <w:r>
              <w:rPr>
                <w:rFonts w:ascii="宋体" w:hAnsi="宋体" w:cs="宋体" w:eastAsia="宋体" w:hint="default"/>
                <w:spacing w:val="-4"/>
                <w:sz w:val="18"/>
                <w:szCs w:val="18"/>
              </w:rPr>
              <w:t>租赁及技术服务；变压器、高低压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开关及成套设备、箱式变电设备的</w:t>
            </w:r>
            <w:r>
              <w:rPr>
                <w:rFonts w:ascii="宋体" w:hAnsi="宋体" w:cs="宋体" w:eastAsia="宋体" w:hint="default"/>
                <w:sz w:val="18"/>
                <w:szCs w:val="18"/>
              </w:rPr>
              <w:t> </w:t>
            </w:r>
            <w:r>
              <w:rPr>
                <w:rFonts w:ascii="宋体" w:hAnsi="宋体" w:cs="宋体" w:eastAsia="宋体" w:hint="default"/>
                <w:spacing w:val="-4"/>
                <w:sz w:val="18"/>
                <w:szCs w:val="18"/>
              </w:rPr>
              <w:t>研发、生产（生产项目限分支机构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经营）及销售、安装、技术服务； </w:t>
            </w:r>
            <w:r>
              <w:rPr>
                <w:rFonts w:ascii="宋体" w:hAnsi="宋体" w:cs="宋体" w:eastAsia="宋体" w:hint="default"/>
                <w:spacing w:val="-4"/>
                <w:sz w:val="18"/>
                <w:szCs w:val="18"/>
              </w:rPr>
              <w:t>配电屏、电缆桥架、母线槽、绝缘</w:t>
            </w:r>
            <w:r>
              <w:rPr>
                <w:rFonts w:ascii="宋体" w:hAnsi="宋体" w:cs="宋体" w:eastAsia="宋体" w:hint="default"/>
                <w:sz w:val="18"/>
                <w:szCs w:val="18"/>
              </w:rPr>
              <w:t> </w:t>
            </w:r>
            <w:r>
              <w:rPr>
                <w:rFonts w:ascii="宋体" w:hAnsi="宋体" w:cs="宋体" w:eastAsia="宋体" w:hint="default"/>
                <w:spacing w:val="-9"/>
                <w:sz w:val="18"/>
                <w:szCs w:val="18"/>
              </w:rPr>
              <w:t>件、电缆附件、电力金具、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电子显示屏、电力自动化产品、电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线电缆、电力工具的生产（生产项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目限分支机构经营）及销售、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技术服务；配电系统、电力自动化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系统及产品的研发、生产（生产项</w:t>
            </w:r>
          </w:p>
        </w:tc>
        <w:tc>
          <w:tcPr>
            <w:tcW w:w="101" w:type="dxa"/>
            <w:tcBorders>
              <w:top w:val="single" w:sz="6" w:space="0" w:color="000000"/>
              <w:left w:val="single" w:sz="8" w:space="0" w:color="FFFFFF"/>
              <w:bottom w:val="single" w:sz="12" w:space="0" w:color="000000"/>
              <w:right w:val="nil" w:sz="6" w:space="0" w:color="auto"/>
            </w:tcBorders>
          </w:tcPr>
          <w:p>
            <w:pPr/>
          </w:p>
        </w:tc>
        <w:tc>
          <w:tcPr>
            <w:tcW w:w="608"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9" w:right="0"/>
              <w:jc w:val="left"/>
              <w:rPr>
                <w:rFonts w:ascii="宋体" w:hAnsi="宋体" w:cs="宋体" w:eastAsia="宋体" w:hint="default"/>
                <w:sz w:val="18"/>
                <w:szCs w:val="18"/>
              </w:rPr>
            </w:pPr>
            <w:r>
              <w:rPr>
                <w:rFonts w:ascii="宋体"/>
                <w:sz w:val="18"/>
              </w:rPr>
              <w:t>28.00%</w:t>
            </w:r>
          </w:p>
        </w:tc>
        <w:tc>
          <w:tcPr>
            <w:tcW w:w="692" w:type="dxa"/>
            <w:tcBorders>
              <w:top w:val="single" w:sz="6" w:space="0" w:color="000000"/>
              <w:left w:val="single" w:sz="6" w:space="0" w:color="000000"/>
              <w:bottom w:val="single" w:sz="12" w:space="0" w:color="000000"/>
              <w:right w:val="single" w:sz="6" w:space="0" w:color="000000"/>
            </w:tcBorders>
          </w:tcPr>
          <w:p>
            <w:pPr/>
          </w:p>
        </w:tc>
        <w:tc>
          <w:tcPr>
            <w:tcW w:w="13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b/>
          <w:bCs/>
          <w:sz w:val="29"/>
          <w:szCs w:val="29"/>
        </w:rPr>
      </w:pPr>
    </w:p>
    <w:tbl>
      <w:tblPr>
        <w:tblW w:w="0" w:type="auto"/>
        <w:jc w:val="left"/>
        <w:tblInd w:w="1118" w:type="dxa"/>
        <w:tblLayout w:type="fixed"/>
        <w:tblCellMar>
          <w:top w:w="0" w:type="dxa"/>
          <w:left w:w="0" w:type="dxa"/>
          <w:bottom w:w="0" w:type="dxa"/>
          <w:right w:w="0" w:type="dxa"/>
        </w:tblCellMar>
        <w:tblLook w:val="01E0"/>
      </w:tblPr>
      <w:tblGrid>
        <w:gridCol w:w="1373"/>
        <w:gridCol w:w="1367"/>
        <w:gridCol w:w="1367"/>
        <w:gridCol w:w="2699"/>
        <w:gridCol w:w="710"/>
        <w:gridCol w:w="692"/>
        <w:gridCol w:w="1365"/>
      </w:tblGrid>
      <w:tr>
        <w:trPr>
          <w:trHeight w:val="686" w:hRule="exact"/>
        </w:trPr>
        <w:tc>
          <w:tcPr>
            <w:tcW w:w="1373" w:type="dxa"/>
            <w:tcBorders>
              <w:top w:val="single" w:sz="12" w:space="0" w:color="000000"/>
              <w:left w:val="single" w:sz="12"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2699"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395"/>
              <w:jc w:val="left"/>
              <w:rPr>
                <w:rFonts w:ascii="宋体" w:hAnsi="宋体" w:cs="宋体" w:eastAsia="宋体" w:hint="default"/>
                <w:sz w:val="18"/>
                <w:szCs w:val="18"/>
              </w:rPr>
            </w:pPr>
            <w:r>
              <w:rPr>
                <w:rFonts w:ascii="宋体" w:hAnsi="宋体" w:cs="宋体" w:eastAsia="宋体" w:hint="default"/>
                <w:spacing w:val="-6"/>
                <w:sz w:val="18"/>
                <w:szCs w:val="18"/>
              </w:rPr>
              <w:t>目限分支机构经营）及销售、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技术服务。</w:t>
            </w:r>
          </w:p>
        </w:tc>
        <w:tc>
          <w:tcPr>
            <w:tcW w:w="710" w:type="dxa"/>
            <w:tcBorders>
              <w:top w:val="single" w:sz="12" w:space="0" w:color="000000"/>
              <w:left w:val="single" w:sz="6" w:space="0" w:color="000000"/>
              <w:bottom w:val="single" w:sz="6" w:space="0" w:color="000000"/>
              <w:right w:val="single" w:sz="6" w:space="0" w:color="000000"/>
            </w:tcBorders>
          </w:tcPr>
          <w:p>
            <w:pPr/>
          </w:p>
        </w:tc>
        <w:tc>
          <w:tcPr>
            <w:tcW w:w="692" w:type="dxa"/>
            <w:tcBorders>
              <w:top w:val="single" w:sz="12" w:space="0" w:color="000000"/>
              <w:left w:val="single" w:sz="6" w:space="0" w:color="000000"/>
              <w:bottom w:val="single" w:sz="6" w:space="0" w:color="000000"/>
              <w:right w:val="single" w:sz="6" w:space="0" w:color="000000"/>
            </w:tcBorders>
          </w:tcPr>
          <w:p>
            <w:pPr/>
          </w:p>
        </w:tc>
        <w:tc>
          <w:tcPr>
            <w:tcW w:w="1365" w:type="dxa"/>
            <w:tcBorders>
              <w:top w:val="single" w:sz="12" w:space="0" w:color="000000"/>
              <w:left w:val="single" w:sz="6" w:space="0" w:color="000000"/>
              <w:bottom w:val="single" w:sz="6" w:space="0" w:color="000000"/>
              <w:right w:val="single" w:sz="12" w:space="0" w:color="000000"/>
            </w:tcBorders>
          </w:tcPr>
          <w:p>
            <w:pPr/>
          </w:p>
        </w:tc>
      </w:tr>
      <w:tr>
        <w:trPr>
          <w:trHeight w:val="1663" w:hRule="exact"/>
        </w:trPr>
        <w:tc>
          <w:tcPr>
            <w:tcW w:w="13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6" w:lineRule="auto"/>
              <w:ind w:left="13" w:right="75"/>
              <w:jc w:val="left"/>
              <w:rPr>
                <w:rFonts w:ascii="宋体" w:hAnsi="宋体" w:cs="宋体" w:eastAsia="宋体" w:hint="default"/>
                <w:sz w:val="18"/>
                <w:szCs w:val="18"/>
              </w:rPr>
            </w:pPr>
            <w:r>
              <w:rPr>
                <w:rFonts w:ascii="宋体" w:hAnsi="宋体" w:cs="宋体" w:eastAsia="宋体" w:hint="default"/>
                <w:sz w:val="18"/>
                <w:szCs w:val="18"/>
              </w:rPr>
              <w:t>北京大数有容科 技有限公司</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0" w:right="71"/>
              <w:jc w:val="left"/>
              <w:rPr>
                <w:rFonts w:ascii="宋体" w:hAnsi="宋体" w:cs="宋体" w:eastAsia="宋体" w:hint="default"/>
                <w:sz w:val="18"/>
                <w:szCs w:val="18"/>
              </w:rPr>
            </w:pPr>
            <w:r>
              <w:rPr>
                <w:rFonts w:ascii="宋体" w:hAnsi="宋体" w:cs="宋体" w:eastAsia="宋体" w:hint="default"/>
                <w:sz w:val="18"/>
                <w:szCs w:val="18"/>
              </w:rPr>
              <w:t>北京市朝阳区容 和路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宋体" w:hAnsi="宋体" w:cs="宋体" w:eastAsia="宋体" w:hint="default"/>
                <w:sz w:val="18"/>
                <w:szCs w:val="18"/>
              </w:rPr>
              <w:t>101</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内三层</w:t>
            </w:r>
            <w:r>
              <w:rPr>
                <w:rFonts w:ascii="宋体" w:hAnsi="宋体" w:cs="宋体" w:eastAsia="宋体" w:hint="default"/>
                <w:spacing w:val="-46"/>
                <w:sz w:val="18"/>
                <w:szCs w:val="18"/>
              </w:rPr>
              <w:t> </w:t>
            </w:r>
            <w:r>
              <w:rPr>
                <w:rFonts w:ascii="宋体" w:hAnsi="宋体" w:cs="宋体" w:eastAsia="宋体" w:hint="default"/>
                <w:sz w:val="18"/>
                <w:szCs w:val="18"/>
              </w:rPr>
              <w:t>305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0" w:right="71"/>
              <w:jc w:val="left"/>
              <w:rPr>
                <w:rFonts w:ascii="宋体" w:hAnsi="宋体" w:cs="宋体" w:eastAsia="宋体" w:hint="default"/>
                <w:sz w:val="18"/>
                <w:szCs w:val="18"/>
              </w:rPr>
            </w:pPr>
            <w:r>
              <w:rPr>
                <w:rFonts w:ascii="宋体" w:hAnsi="宋体" w:cs="宋体" w:eastAsia="宋体" w:hint="default"/>
                <w:sz w:val="18"/>
                <w:szCs w:val="18"/>
              </w:rPr>
              <w:t>北京市朝阳区容 和路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宋体" w:hAnsi="宋体" w:cs="宋体" w:eastAsia="宋体" w:hint="default"/>
                <w:sz w:val="18"/>
                <w:szCs w:val="18"/>
              </w:rPr>
              <w:t>101</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内三层</w:t>
            </w:r>
            <w:r>
              <w:rPr>
                <w:rFonts w:ascii="宋体" w:hAnsi="宋体" w:cs="宋体" w:eastAsia="宋体" w:hint="default"/>
                <w:spacing w:val="-46"/>
                <w:sz w:val="18"/>
                <w:szCs w:val="18"/>
              </w:rPr>
              <w:t> </w:t>
            </w:r>
            <w:r>
              <w:rPr>
                <w:rFonts w:ascii="宋体" w:hAnsi="宋体" w:cs="宋体" w:eastAsia="宋体" w:hint="default"/>
                <w:sz w:val="18"/>
                <w:szCs w:val="18"/>
              </w:rPr>
              <w:t>305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699"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2"/>
              <w:ind w:left="20" w:right="-37"/>
              <w:jc w:val="both"/>
              <w:rPr>
                <w:rFonts w:ascii="宋体" w:hAnsi="宋体" w:cs="宋体" w:eastAsia="宋体" w:hint="default"/>
                <w:sz w:val="18"/>
                <w:szCs w:val="18"/>
              </w:rPr>
            </w:pPr>
            <w:r>
              <w:rPr>
                <w:rFonts w:ascii="宋体" w:hAnsi="宋体" w:cs="宋体" w:eastAsia="宋体" w:hint="default"/>
                <w:sz w:val="18"/>
                <w:szCs w:val="18"/>
              </w:rPr>
              <w:t>技术开发、技术咨询、技术服务、 </w:t>
            </w:r>
            <w:r>
              <w:rPr>
                <w:rFonts w:ascii="宋体" w:hAnsi="宋体" w:cs="宋体" w:eastAsia="宋体" w:hint="default"/>
                <w:spacing w:val="-4"/>
                <w:sz w:val="18"/>
                <w:szCs w:val="18"/>
              </w:rPr>
              <w:t>技术推广、技术转让；计算机系统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服务；软件开发；软件咨询；销售</w:t>
            </w:r>
            <w:r>
              <w:rPr>
                <w:rFonts w:ascii="宋体" w:hAnsi="宋体" w:cs="宋体" w:eastAsia="宋体" w:hint="default"/>
                <w:sz w:val="18"/>
                <w:szCs w:val="18"/>
              </w:rPr>
              <w:t> </w:t>
            </w:r>
            <w:r>
              <w:rPr>
                <w:rFonts w:ascii="宋体" w:hAnsi="宋体" w:cs="宋体" w:eastAsia="宋体" w:hint="default"/>
                <w:spacing w:val="-4"/>
                <w:sz w:val="18"/>
                <w:szCs w:val="18"/>
              </w:rPr>
              <w:t>计算机、软件及辅助设备；互联网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信息服务。</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sz w:val="18"/>
              </w:rPr>
              <w:t>40.00%</w:t>
            </w:r>
          </w:p>
        </w:tc>
        <w:tc>
          <w:tcPr>
            <w:tcW w:w="692" w:type="dxa"/>
            <w:tcBorders>
              <w:top w:val="single" w:sz="6" w:space="0" w:color="000000"/>
              <w:left w:val="single" w:sz="6" w:space="0" w:color="000000"/>
              <w:bottom w:val="single" w:sz="12" w:space="0" w:color="000000"/>
              <w:right w:val="single" w:sz="6" w:space="0" w:color="000000"/>
            </w:tcBorders>
          </w:tcPr>
          <w:p>
            <w:pPr/>
          </w:p>
        </w:tc>
        <w:tc>
          <w:tcPr>
            <w:tcW w:w="13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Heading4"/>
        <w:spacing w:line="240" w:lineRule="auto" w:before="63"/>
        <w:ind w:right="1121"/>
        <w:jc w:val="left"/>
        <w:rPr>
          <w:b w:val="0"/>
          <w:bCs w:val="0"/>
        </w:rPr>
      </w:pPr>
      <w:r>
        <w:rPr/>
        <w:pict>
          <v:shape style="position:absolute;margin-left:373pt;margin-top:-117.446327pt;width:59.1pt;height:33.2pt;mso-position-horizontal-relative:page;mso-position-vertical-relative:paragraph;z-index:-109417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安装、</w:t>
                  </w:r>
                </w:p>
              </w:txbxContent>
            </v:textbox>
            <w10:wrap type="none"/>
          </v:shape>
        </w:pict>
      </w:r>
      <w:r>
        <w:rPr/>
        <w:pict>
          <v:group style="position:absolute;margin-left:397.299988pt;margin-top:-117.446327pt;width:34.8pt;height:65.2pt;mso-position-horizontal-relative:page;mso-position-vertical-relative:paragraph;z-index:-1094152" coordorigin="7946,-2349" coordsize="696,1304">
            <v:group style="position:absolute;left:7946;top:-2349;width:696;height:664" coordorigin="7946,-2349" coordsize="696,664">
              <v:shape style="position:absolute;left:7946;top:-2349;width:696;height:664" coordorigin="7946,-2349" coordsize="696,664" path="m7946,-1685l8641,-1685,8641,-2349,7946,-2349,7946,-1685xe" filled="true" fillcolor="#ffffff" stroked="false">
                <v:path arrowok="t"/>
                <v:fill type="solid"/>
              </v:shape>
            </v:group>
            <v:group style="position:absolute;left:7946;top:-1670;width:696;height:624" coordorigin="7946,-1670" coordsize="696,624">
              <v:shape style="position:absolute;left:7946;top:-1670;width:696;height:624" coordorigin="7946,-1670" coordsize="696,624" path="m7946,-1046l8641,-1046,8641,-1670,7946,-1670,7946,-1046xe" filled="true" fillcolor="#ffffff" stroked="false">
                <v:path arrowok="t"/>
                <v:fill type="solid"/>
              </v:shape>
            </v:group>
            <w10:wrap type="none"/>
          </v:group>
        </w:pict>
      </w:r>
      <w:bookmarkStart w:name="（2）重要合营企业的主要财务信息" w:id="420"/>
      <w:bookmarkEnd w:id="420"/>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重要联营企业的主要财务信息" w:id="421"/>
      <w:bookmarkEnd w:id="421"/>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不重要的合营企业和联营企业的汇总财务信息" w:id="422"/>
      <w:bookmarkEnd w:id="422"/>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5）合营企业或联营企业向本公司转移资金的能力存在重大限制的说明" w:id="423"/>
      <w:bookmarkEnd w:id="423"/>
      <w:r>
        <w:rPr>
          <w:b w:val="0"/>
          <w:bCs w:val="0"/>
        </w:rPr>
      </w:r>
      <w:r>
        <w:rPr/>
        <w:t>（</w:t>
      </w:r>
      <w:r>
        <w:rPr>
          <w:rFonts w:ascii="宋体" w:hAnsi="宋体" w:cs="宋体" w:eastAsia="宋体"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6）合营企业或联营企业发生的超额亏损" w:id="424"/>
      <w:bookmarkEnd w:id="424"/>
      <w:r>
        <w:rPr>
          <w:b w:val="0"/>
          <w:bCs w:val="0"/>
        </w:rPr>
      </w:r>
      <w:r>
        <w:rPr/>
        <w:t>（</w:t>
      </w:r>
      <w:r>
        <w:rPr>
          <w:rFonts w:ascii="宋体" w:hAnsi="宋体" w:cs="宋体" w:eastAsia="宋体" w:hint="default"/>
        </w:rPr>
        <w:t>6</w:t>
      </w:r>
      <w:r>
        <w:rPr/>
        <w:t>）合营企业或联营企业发生的超额亏损</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7）与合营企业投资相关的未确认承诺" w:id="425"/>
      <w:bookmarkEnd w:id="425"/>
      <w:r>
        <w:rPr>
          <w:b w:val="0"/>
          <w:bCs w:val="0"/>
        </w:rPr>
      </w:r>
      <w:r>
        <w:rPr/>
        <w:t>（</w:t>
      </w:r>
      <w:r>
        <w:rPr>
          <w:rFonts w:ascii="宋体" w:hAnsi="宋体" w:cs="宋体" w:eastAsia="宋体" w:hint="default"/>
        </w:rPr>
        <w:t>7</w:t>
      </w:r>
      <w:r>
        <w:rPr/>
        <w:t>）与合营企业投资相关的未确认承诺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8）与合营企业或联营企业投资相关的或有负债" w:id="426"/>
      <w:bookmarkEnd w:id="426"/>
      <w:r>
        <w:rPr>
          <w:b w:val="0"/>
          <w:bCs w:val="0"/>
        </w:rPr>
      </w:r>
      <w:r>
        <w:rPr/>
        <w:t>（</w:t>
      </w:r>
      <w:r>
        <w:rPr>
          <w:rFonts w:ascii="宋体" w:hAnsi="宋体" w:cs="宋体" w:eastAsia="宋体"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重要的共同经营" w:id="427"/>
      <w:bookmarkEnd w:id="427"/>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408" w:lineRule="auto" w:before="46"/>
        <w:ind w:left="1134" w:right="579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在未纳入合并财务报表范围的结构化主体中的权益" w:id="428"/>
      <w:bookmarkEnd w:id="428"/>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其他" w:id="429"/>
      <w:bookmarkEnd w:id="429"/>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ind w:left="1134" w:right="1121"/>
        <w:jc w:val="left"/>
      </w:pPr>
      <w:r>
        <w:rPr/>
        <w:t>□ 适用 √</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1121"/>
        <w:jc w:val="left"/>
        <w:rPr>
          <w:b w:val="0"/>
          <w:bCs w:val="0"/>
        </w:rPr>
      </w:pPr>
      <w:bookmarkStart w:name="十、与金融工具相关的风险" w:id="430"/>
      <w:bookmarkEnd w:id="430"/>
      <w:r>
        <w:rPr>
          <w:b w:val="0"/>
          <w:bCs w:val="0"/>
        </w:rPr>
      </w:r>
      <w:r>
        <w:rPr/>
        <w:t>十、与金融工具相关的风险</w:t>
      </w:r>
      <w:r>
        <w:rPr>
          <w:b w:val="0"/>
          <w:bCs w:val="0"/>
        </w:rPr>
      </w:r>
    </w:p>
    <w:p>
      <w:pPr>
        <w:pStyle w:val="BodyText"/>
        <w:spacing w:line="408" w:lineRule="auto" w:before="100"/>
        <w:ind w:right="1015" w:firstLine="423"/>
        <w:jc w:val="left"/>
      </w:pPr>
      <w:r>
        <w:rPr>
          <w:spacing w:val="-3"/>
        </w:rPr>
        <w:t>公司的主要金融工具包括应收账款、应付账款等，各项金融工具的详细情况说明见本附注五相关项目。</w:t>
      </w:r>
      <w:r>
        <w:rPr/>
        <w:t> 与这些金融工具有关的风险，以及公司为降低这些风险所采取的风险管理政策如下所述。公司管理层对这 些风险敞口进行管理和监控以确保将上述风险控制在限定的范围之内。</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06" w:firstLine="423"/>
        <w:jc w:val="both"/>
      </w:pPr>
      <w:r>
        <w:rPr/>
        <w:t>公司采用敏感性分析技术分析风险变量的合理、可能变化对当期损益或所有者权益可能产生的影响。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BodyText"/>
        <w:spacing w:line="408" w:lineRule="auto"/>
        <w:ind w:right="1131" w:firstLine="423"/>
        <w:jc w:val="both"/>
      </w:pPr>
      <w:r>
        <w:rPr>
          <w:spacing w:val="-1"/>
        </w:rPr>
        <w:t>公司从事风险管理的目标是在风险和收益之间取得适当的平衡，将风险对本公司经营业绩的负面影响</w:t>
      </w:r>
      <w:r>
        <w:rPr/>
        <w:t> </w:t>
      </w:r>
      <w:r>
        <w:rPr>
          <w:spacing w:val="-1"/>
        </w:rPr>
        <w:t>降低到最低水平，使股东及其其他权益投资者的利益最大化。基于该风险管理目标，本公司风险管理的基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本策略是确定和分析本公司所面临的各种风险，建立适当的风险承受底线和进行风险管理，并及时可靠地</w:t>
      </w:r>
      <w:r>
        <w:rPr>
          <w:spacing w:val="-81"/>
        </w:rPr>
        <w:t> </w:t>
      </w:r>
      <w:r>
        <w:rPr>
          <w:spacing w:val="-81"/>
        </w:rPr>
      </w:r>
      <w:r>
        <w:rPr/>
        <w:t>对各种风险进行监督，将风险控制在限定的范围之内。</w:t>
      </w:r>
    </w:p>
    <w:p>
      <w:pPr>
        <w:pStyle w:val="BodyText"/>
        <w:spacing w:line="408" w:lineRule="auto"/>
        <w:ind w:left="1557" w:right="1121"/>
        <w:jc w:val="left"/>
      </w:pPr>
      <w:r>
        <w:rPr>
          <w:rFonts w:ascii="宋体" w:hAnsi="宋体" w:cs="宋体" w:eastAsia="宋体" w:hint="default"/>
        </w:rPr>
        <w:t>1</w:t>
      </w:r>
      <w:r>
        <w:rPr/>
        <w:t>、信用风险 </w:t>
      </w:r>
      <w:r>
        <w:rPr>
          <w:spacing w:val="-1"/>
        </w:rPr>
        <w:t>信用风险，是指金融工具的一方不履行义务，造成另一方发生财务损失的风险。为降低信用风险，本</w:t>
      </w:r>
    </w:p>
    <w:p>
      <w:pPr>
        <w:pStyle w:val="BodyText"/>
        <w:spacing w:line="408" w:lineRule="auto"/>
        <w:ind w:right="1131"/>
        <w:jc w:val="both"/>
      </w:pPr>
      <w:r>
        <w:rPr>
          <w:spacing w:val="-1"/>
        </w:rPr>
        <w:t>公司成立了一个小组负责确定信用额度、进行信用审批，并执行其他监控程序以确保采取必要的措施回收</w:t>
      </w:r>
      <w:r>
        <w:rPr>
          <w:spacing w:val="-81"/>
        </w:rPr>
        <w:t> </w:t>
      </w:r>
      <w:r>
        <w:rPr>
          <w:spacing w:val="-81"/>
        </w:rPr>
      </w:r>
      <w:r>
        <w:rPr>
          <w:spacing w:val="-1"/>
        </w:rPr>
        <w:t>过期债权。此外，本公司于每个资产负债表日审核每一单项应收款的回收情况，以确保就无法回收的款项</w:t>
      </w:r>
      <w:r>
        <w:rPr>
          <w:spacing w:val="-83"/>
        </w:rPr>
        <w:t> </w:t>
      </w:r>
      <w:r>
        <w:rPr>
          <w:spacing w:val="-83"/>
        </w:rPr>
      </w:r>
      <w:r>
        <w:rPr/>
        <w:t>计提充分的坏账准备或核销。因此，本公司管理层认为本公司所承担的信用风险已经大为降低。</w:t>
      </w:r>
    </w:p>
    <w:p>
      <w:pPr>
        <w:pStyle w:val="BodyText"/>
        <w:spacing w:line="408" w:lineRule="auto"/>
        <w:ind w:left="1557" w:right="1121"/>
        <w:jc w:val="left"/>
      </w:pPr>
      <w:r>
        <w:rPr>
          <w:rFonts w:ascii="宋体" w:hAnsi="宋体" w:cs="宋体" w:eastAsia="宋体" w:hint="default"/>
        </w:rPr>
        <w:t>2</w:t>
      </w:r>
      <w:r>
        <w:rPr/>
        <w:t>、流动性风险 </w:t>
      </w:r>
      <w:r>
        <w:rPr>
          <w:spacing w:val="-1"/>
        </w:rPr>
        <w:t>流动性风险，是指在履行以交付现金或其他金融资产的方式结算的义务时发生资金短缺的风险。管理</w:t>
      </w:r>
    </w:p>
    <w:p>
      <w:pPr>
        <w:pStyle w:val="BodyText"/>
        <w:spacing w:line="408" w:lineRule="auto"/>
        <w:ind w:right="1110"/>
        <w:jc w:val="both"/>
      </w:pPr>
      <w:r>
        <w:rPr/>
        <w:t>流动风险时，本公司保持管理层认为充分的现金及现金等价物并对其进行监控，以满足本公司经营需要， 并降低现金流量波动的影响。</w:t>
      </w:r>
    </w:p>
    <w:p>
      <w:pPr>
        <w:pStyle w:val="BodyText"/>
        <w:spacing w:line="408" w:lineRule="auto"/>
        <w:ind w:left="1557" w:right="1089"/>
        <w:jc w:val="left"/>
      </w:pPr>
      <w:r>
        <w:rPr>
          <w:rFonts w:ascii="宋体" w:hAnsi="宋体" w:cs="宋体" w:eastAsia="宋体" w:hint="default"/>
        </w:rPr>
        <w:t>3</w:t>
      </w:r>
      <w:r>
        <w:rPr/>
        <w:t>、市场风险 金融工具的市场风险，是指金融工具的公允价值或未来现金流量因市场价格变动而发生波动的风险，</w:t>
      </w:r>
    </w:p>
    <w:p>
      <w:pPr>
        <w:pStyle w:val="BodyText"/>
        <w:spacing w:line="240" w:lineRule="auto"/>
        <w:ind w:right="0"/>
        <w:jc w:val="both"/>
      </w:pPr>
      <w:r>
        <w:rPr/>
        <w:t>包括汇率风险、利率风险和其他价格风险。</w:t>
      </w:r>
    </w:p>
    <w:p>
      <w:pPr>
        <w:spacing w:line="240" w:lineRule="auto" w:before="10"/>
        <w:rPr>
          <w:rFonts w:ascii="宋体" w:hAnsi="宋体" w:cs="宋体" w:eastAsia="宋体" w:hint="default"/>
          <w:sz w:val="14"/>
          <w:szCs w:val="14"/>
        </w:rPr>
      </w:pPr>
    </w:p>
    <w:p>
      <w:pPr>
        <w:pStyle w:val="BodyText"/>
        <w:spacing w:line="408" w:lineRule="auto" w:before="0"/>
        <w:ind w:left="1557" w:right="1121"/>
        <w:jc w:val="left"/>
      </w:pPr>
      <w:r>
        <w:rPr/>
        <w:t>（</w:t>
      </w:r>
      <w:r>
        <w:rPr>
          <w:rFonts w:ascii="宋体" w:hAnsi="宋体" w:cs="宋体" w:eastAsia="宋体" w:hint="default"/>
        </w:rPr>
        <w:t>1</w:t>
      </w:r>
      <w:r>
        <w:rPr/>
        <w:t>）汇率风险 </w:t>
      </w:r>
      <w:r>
        <w:rPr>
          <w:spacing w:val="-1"/>
        </w:rPr>
        <w:t>汇率风险，是指金融工具的公允价值或未来现金流量因外汇汇率变动而发生波动的风险。汇率风险可</w:t>
      </w:r>
    </w:p>
    <w:p>
      <w:pPr>
        <w:pStyle w:val="BodyText"/>
        <w:spacing w:line="408" w:lineRule="auto"/>
        <w:ind w:left="1557" w:right="5919" w:hanging="424"/>
        <w:jc w:val="left"/>
      </w:pPr>
      <w:r>
        <w:rPr/>
        <w:t>源于以记账本位币之外的外币进行计价的金融工具。 本公司无以记账本位币之外的外币计价的资产。</w:t>
      </w:r>
    </w:p>
    <w:p>
      <w:pPr>
        <w:pStyle w:val="BodyText"/>
        <w:spacing w:line="408" w:lineRule="auto"/>
        <w:ind w:left="1557" w:right="1121"/>
        <w:jc w:val="left"/>
      </w:pPr>
      <w:r>
        <w:rPr/>
        <w:t>（</w:t>
      </w:r>
      <w:r>
        <w:rPr>
          <w:rFonts w:ascii="宋体" w:hAnsi="宋体" w:cs="宋体" w:eastAsia="宋体" w:hint="default"/>
        </w:rPr>
        <w:t>2</w:t>
      </w:r>
      <w:r>
        <w:rPr/>
        <w:t>）利率风险 </w:t>
      </w:r>
      <w:r>
        <w:rPr>
          <w:spacing w:val="-1"/>
        </w:rPr>
        <w:t>利率风险，是指金融工具的公允价值或未来现金流量因市场利率变动而发生波动的风险。利率风险可</w:t>
      </w:r>
    </w:p>
    <w:p>
      <w:pPr>
        <w:pStyle w:val="BodyText"/>
        <w:spacing w:line="408" w:lineRule="auto"/>
        <w:ind w:left="1557" w:right="4453" w:hanging="424"/>
        <w:jc w:val="left"/>
      </w:pPr>
      <w:r>
        <w:rPr/>
        <w:t>源于已确认的计息金融工具和未确认的金融工具</w:t>
      </w:r>
      <w:r>
        <w:rPr>
          <w:rFonts w:ascii="宋体" w:hAnsi="宋体" w:cs="宋体" w:eastAsia="宋体" w:hint="default"/>
        </w:rPr>
        <w:t>(</w:t>
      </w:r>
      <w:r>
        <w:rPr/>
        <w:t>如某些贷款承诺</w:t>
      </w:r>
      <w:r>
        <w:rPr>
          <w:rFonts w:ascii="宋体" w:hAnsi="宋体" w:cs="宋体" w:eastAsia="宋体" w:hint="default"/>
        </w:rPr>
        <w:t>)</w:t>
      </w:r>
      <w:r>
        <w:rPr/>
        <w:t>。 本公司的借款利率情况：</w:t>
      </w:r>
    </w:p>
    <w:p>
      <w:pPr>
        <w:pStyle w:val="BodyText"/>
        <w:spacing w:line="240" w:lineRule="auto"/>
        <w:ind w:left="1557" w:right="0"/>
        <w:jc w:val="left"/>
      </w:pPr>
      <w:r>
        <w:rPr>
          <w:spacing w:val="-3"/>
        </w:rPr>
        <w:t>假设在其他条件不变的情况下，借款利率上升或下降</w:t>
      </w:r>
      <w:r>
        <w:rPr>
          <w:rFonts w:ascii="宋体" w:hAnsi="宋体" w:cs="宋体" w:eastAsia="宋体" w:hint="default"/>
          <w:spacing w:val="-3"/>
        </w:rPr>
        <w:t>1%</w:t>
      </w:r>
      <w:r>
        <w:rPr>
          <w:spacing w:val="-3"/>
        </w:rPr>
        <w:t>，则可能影响本公司本期的净利润</w:t>
      </w:r>
      <w:r>
        <w:rPr>
          <w:rFonts w:ascii="宋体" w:hAnsi="宋体" w:cs="宋体" w:eastAsia="宋体" w:hint="default"/>
          <w:spacing w:val="-3"/>
        </w:rPr>
        <w:t>392.52</w:t>
      </w:r>
      <w:r>
        <w:rPr>
          <w:spacing w:val="-3"/>
        </w:rPr>
        <w:t>万元。</w:t>
      </w:r>
    </w:p>
    <w:p>
      <w:pPr>
        <w:spacing w:line="240" w:lineRule="auto" w:before="10"/>
        <w:rPr>
          <w:rFonts w:ascii="宋体" w:hAnsi="宋体" w:cs="宋体" w:eastAsia="宋体" w:hint="default"/>
          <w:sz w:val="14"/>
          <w:szCs w:val="14"/>
        </w:rPr>
      </w:pPr>
    </w:p>
    <w:p>
      <w:pPr>
        <w:pStyle w:val="BodyText"/>
        <w:spacing w:line="408" w:lineRule="auto" w:before="0"/>
        <w:ind w:left="1557" w:right="1121"/>
        <w:jc w:val="left"/>
      </w:pPr>
      <w:r>
        <w:rPr/>
        <w:t>（</w:t>
      </w:r>
      <w:r>
        <w:rPr>
          <w:rFonts w:ascii="宋体" w:hAnsi="宋体" w:cs="宋体" w:eastAsia="宋体" w:hint="default"/>
        </w:rPr>
        <w:t>3</w:t>
      </w:r>
      <w:r>
        <w:rPr/>
        <w:t>）其他价格风险 </w:t>
      </w:r>
      <w:r>
        <w:rPr>
          <w:spacing w:val="-1"/>
        </w:rPr>
        <w:t>其他价格风险，是指汇率风险和利率风险以外的市场价格变动而发生波动的风险，无论这些变动是由</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21"/>
        <w:jc w:val="left"/>
      </w:pPr>
      <w:r>
        <w:rPr>
          <w:spacing w:val="-1"/>
        </w:rPr>
        <w:t>于与单项金融工具或其发行方有关的因素而引起的，还是由于与市场内交易的所有类似金融工具有关的因</w:t>
      </w:r>
      <w:r>
        <w:rPr>
          <w:spacing w:val="-81"/>
        </w:rPr>
        <w:t> </w:t>
      </w:r>
      <w:r>
        <w:rPr>
          <w:spacing w:val="-81"/>
        </w:rPr>
      </w:r>
      <w:r>
        <w:rPr/>
        <w:t>素而引起的。其他价格风险可源于商品价格或权益工具价格等的变化。</w:t>
      </w:r>
    </w:p>
    <w:p>
      <w:pPr>
        <w:pStyle w:val="BodyText"/>
        <w:spacing w:line="240" w:lineRule="auto"/>
        <w:ind w:right="1121"/>
        <w:jc w:val="left"/>
      </w:pPr>
      <w:r>
        <w:rPr/>
        <w:t>公司本期间无其他价格风险。</w:t>
      </w:r>
    </w:p>
    <w:p>
      <w:pPr>
        <w:pStyle w:val="Heading2"/>
        <w:spacing w:line="240" w:lineRule="auto" w:before="170"/>
        <w:ind w:left="1133" w:right="1121"/>
        <w:jc w:val="left"/>
        <w:rPr>
          <w:b w:val="0"/>
          <w:bCs w:val="0"/>
        </w:rPr>
      </w:pPr>
      <w:bookmarkStart w:name="十一、公允价值的披露" w:id="431"/>
      <w:bookmarkEnd w:id="431"/>
      <w:r>
        <w:rPr>
          <w:b w:val="0"/>
          <w:bCs w:val="0"/>
        </w:rPr>
      </w:r>
      <w:r>
        <w:rPr/>
        <w:t>十一、公允价值的披露</w:t>
      </w:r>
      <w:r>
        <w:rPr>
          <w:b w:val="0"/>
          <w:bCs w:val="0"/>
        </w:rPr>
      </w:r>
    </w:p>
    <w:p>
      <w:pPr>
        <w:pStyle w:val="Heading4"/>
        <w:spacing w:line="240" w:lineRule="auto" w:before="177"/>
        <w:ind w:left="1133" w:right="1121"/>
        <w:jc w:val="left"/>
        <w:rPr>
          <w:b w:val="0"/>
          <w:bCs w:val="0"/>
        </w:rPr>
      </w:pPr>
      <w:bookmarkStart w:name="1、 以公允价值计量的资产和负债的期末公允价值" w:id="432"/>
      <w:bookmarkEnd w:id="432"/>
      <w:r>
        <w:rPr>
          <w:b w:val="0"/>
          <w:bCs w:val="0"/>
        </w:rPr>
      </w:r>
      <w:r>
        <w:rPr>
          <w:rFonts w:ascii="宋体" w:hAnsi="宋体" w:cs="宋体" w:eastAsia="宋体" w:hint="default"/>
        </w:rPr>
        <w:t>1</w:t>
      </w:r>
      <w:r>
        <w:rPr/>
        <w:t>、</w:t>
      </w:r>
      <w:r>
        <w:rPr>
          <w:spacing w:val="-69"/>
        </w:rPr>
        <w:t> </w:t>
      </w:r>
      <w:r>
        <w:rPr/>
        <w:t>以公允价值计量的资产和负债的期末公允价值</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516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持续和非持续第一层次公允价值计量项目市价的确定依据" w:id="433"/>
      <w:bookmarkEnd w:id="433"/>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pStyle w:val="BodyText"/>
        <w:spacing w:line="240" w:lineRule="auto"/>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持续和非持续第二层次公允价值计量项目，采用的估值技术和重要参数的定性及定量信息" w:id="434"/>
      <w:bookmarkEnd w:id="434"/>
      <w:r>
        <w:rPr>
          <w:b w:val="0"/>
          <w:bCs w:val="0"/>
        </w:rPr>
      </w:r>
      <w:r>
        <w:rPr>
          <w:rFonts w:ascii="宋体" w:hAnsi="宋体" w:cs="宋体" w:eastAsia="宋体" w:hint="default"/>
        </w:rPr>
        <w:t>3</w:t>
      </w:r>
      <w:r>
        <w:rPr>
          <w:rFonts w:ascii="宋体" w:hAnsi="宋体" w:cs="宋体" w:eastAsia="宋体" w:hint="default"/>
          <w:spacing w:val="-62"/>
        </w:rPr>
        <w:t> </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112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持续和非持续第三层次公允价值计量项目，采用的估值技术和重要参数的定性及定量信" w:id="435"/>
      <w:bookmarkEnd w:id="435"/>
      <w:r>
        <w:rPr>
          <w:rFonts w:ascii="宋体" w:hAnsi="宋体" w:cs="宋体" w:eastAsia="宋体" w:hint="default"/>
          <w:sz w:val="21"/>
          <w:szCs w:val="21"/>
        </w:rPr>
      </w:r>
      <w:r>
        <w:rPr>
          <w:rFonts w:ascii="宋体" w:hAnsi="宋体" w:cs="宋体" w:eastAsia="宋体" w:hint="default"/>
          <w:b/>
          <w:bCs/>
          <w:w w:val="95"/>
          <w:sz w:val="21"/>
          <w:szCs w:val="21"/>
        </w:rPr>
        <w:t>4</w:t>
      </w:r>
      <w:r>
        <w:rPr>
          <w:rFonts w:ascii="宋体" w:hAnsi="宋体" w:cs="宋体" w:eastAsia="宋体" w:hint="default"/>
          <w:b/>
          <w:bCs/>
          <w:w w:val="95"/>
          <w:sz w:val="21"/>
          <w:szCs w:val="21"/>
        </w:rPr>
        <w:t>、持续和非持续第三层次公允价值计量项目，采用的估值技术和重要参数的定性及定量信息</w:t>
      </w:r>
      <w:r>
        <w:rPr>
          <w:rFonts w:ascii="宋体" w:hAnsi="宋体" w:cs="宋体" w:eastAsia="宋体" w:hint="default"/>
          <w:sz w:val="21"/>
          <w:szCs w:val="21"/>
        </w:rPr>
      </w:r>
    </w:p>
    <w:p>
      <w:pPr>
        <w:pStyle w:val="Heading4"/>
        <w:spacing w:line="408" w:lineRule="auto" w:before="46"/>
        <w:ind w:right="1121"/>
        <w:jc w:val="left"/>
        <w:rPr>
          <w:b w:val="0"/>
          <w:bCs w:val="0"/>
        </w:rPr>
      </w:pPr>
      <w:r>
        <w:rPr>
          <w:rFonts w:ascii="宋体" w:hAnsi="宋体" w:cs="宋体" w:eastAsia="宋体" w:hint="default"/>
          <w:b w:val="0"/>
          <w:bCs w:val="0"/>
        </w:rPr>
        <w:t>□ 适用 √</w:t>
      </w:r>
      <w:r>
        <w:rPr>
          <w:rFonts w:ascii="宋体" w:hAnsi="宋体" w:cs="宋体" w:eastAsia="宋体" w:hint="default"/>
          <w:b w:val="0"/>
          <w:bCs w:val="0"/>
          <w:spacing w:val="-1"/>
        </w:rPr>
        <w:t> </w:t>
      </w:r>
      <w:r>
        <w:rPr>
          <w:rFonts w:ascii="宋体" w:hAnsi="宋体" w:cs="宋体" w:eastAsia="宋体" w:hint="default"/>
          <w:b w:val="0"/>
          <w:bCs w:val="0"/>
        </w:rPr>
        <w:t>不适用</w:t>
      </w:r>
      <w:r>
        <w:rPr>
          <w:rFonts w:ascii="宋体" w:hAnsi="宋体" w:cs="宋体" w:eastAsia="宋体" w:hint="default"/>
          <w:b w:val="0"/>
          <w:bCs w:val="0"/>
        </w:rPr>
        <w:t> </w:t>
      </w:r>
      <w:bookmarkStart w:name="5、持续的第三层次公允价值计量项目，期初与期末账面价值间的调节信息及不可观察参数" w:id="436"/>
      <w:bookmarkEnd w:id="436"/>
      <w:r>
        <w:rPr>
          <w:rFonts w:ascii="宋体" w:hAnsi="宋体" w:cs="宋体" w:eastAsia="宋体" w:hint="default"/>
          <w:b w:val="0"/>
          <w:bCs w:val="0"/>
        </w:rPr>
      </w:r>
      <w:r>
        <w:rPr>
          <w:rFonts w:ascii="宋体" w:hAnsi="宋体" w:cs="宋体" w:eastAsia="宋体" w:hint="default"/>
          <w:w w:val="95"/>
        </w:rPr>
        <w:t>5</w:t>
      </w:r>
      <w:r>
        <w:rPr>
          <w:w w:val="95"/>
        </w:rPr>
        <w:t>、持续的第三层次公允价值计量项目，期初与期末账面价值间的调节信息及不可观察参数敏感性分析</w:t>
      </w:r>
      <w:r>
        <w:rPr>
          <w:b w:val="0"/>
          <w:bCs w:val="0"/>
        </w:rPr>
      </w:r>
    </w:p>
    <w:p>
      <w:pPr>
        <w:spacing w:line="408" w:lineRule="auto" w:before="46"/>
        <w:ind w:left="1134" w:right="112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持续的公允价值计量项目，本期内发生各层级之间转换的，转换的原因及确定转换时点" w:id="437"/>
      <w:bookmarkEnd w:id="437"/>
      <w:r>
        <w:rPr>
          <w:rFonts w:ascii="宋体" w:hAnsi="宋体" w:cs="宋体" w:eastAsia="宋体" w:hint="default"/>
          <w:sz w:val="21"/>
          <w:szCs w:val="21"/>
        </w:rPr>
      </w:r>
      <w:r>
        <w:rPr>
          <w:rFonts w:ascii="宋体" w:hAnsi="宋体" w:cs="宋体" w:eastAsia="宋体" w:hint="default"/>
          <w:b/>
          <w:bCs/>
          <w:w w:val="95"/>
          <w:sz w:val="21"/>
          <w:szCs w:val="21"/>
        </w:rPr>
        <w:t>6</w:t>
      </w:r>
      <w:r>
        <w:rPr>
          <w:rFonts w:ascii="宋体" w:hAnsi="宋体" w:cs="宋体" w:eastAsia="宋体" w:hint="default"/>
          <w:b/>
          <w:bCs/>
          <w:w w:val="95"/>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408" w:lineRule="auto" w:before="46"/>
        <w:ind w:left="1134" w:right="685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本期内发生的估值技术变更及变更原因" w:id="438"/>
      <w:bookmarkEnd w:id="438"/>
      <w:r>
        <w:rPr>
          <w:rFonts w:ascii="宋体" w:hAnsi="宋体" w:cs="宋体" w:eastAsia="宋体" w:hint="default"/>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408" w:lineRule="auto" w:before="46"/>
        <w:ind w:left="1134" w:right="476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不以公允价值计量的金融资产和金融负债的公允价值情况" w:id="439"/>
      <w:bookmarkEnd w:id="439"/>
      <w:r>
        <w:rPr>
          <w:rFonts w:ascii="宋体" w:hAnsi="宋体" w:cs="宋体" w:eastAsia="宋体" w:hint="default"/>
          <w:sz w:val="21"/>
          <w:szCs w:val="21"/>
        </w:rPr>
      </w:r>
      <w:r>
        <w:rPr>
          <w:rFonts w:ascii="宋体" w:hAnsi="宋体" w:cs="宋体" w:eastAsia="宋体" w:hint="default"/>
          <w:b/>
          <w:bCs/>
          <w:w w:val="95"/>
          <w:sz w:val="21"/>
          <w:szCs w:val="21"/>
        </w:rPr>
        <w:t>8</w:t>
      </w:r>
      <w:r>
        <w:rPr>
          <w:rFonts w:ascii="宋体" w:hAnsi="宋体" w:cs="宋体" w:eastAsia="宋体" w:hint="default"/>
          <w:b/>
          <w:bCs/>
          <w:w w:val="95"/>
          <w:sz w:val="21"/>
          <w:szCs w:val="21"/>
        </w:rPr>
        <w:t>、不以公允价值计量的金融资产和金融负债的公允价值情况</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9、其他" w:id="440"/>
      <w:bookmarkEnd w:id="440"/>
      <w:r>
        <w:rPr>
          <w:rFonts w:ascii="宋体" w:hAnsi="宋体" w:cs="宋体" w:eastAsia="宋体" w:hint="default"/>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2"/>
        <w:spacing w:line="240" w:lineRule="auto" w:before="23"/>
        <w:ind w:right="1121"/>
        <w:jc w:val="left"/>
        <w:rPr>
          <w:b w:val="0"/>
          <w:bCs w:val="0"/>
        </w:rPr>
      </w:pPr>
      <w:bookmarkStart w:name="十二、关联方及关联交易" w:id="441"/>
      <w:bookmarkEnd w:id="441"/>
      <w:r>
        <w:rPr>
          <w:b w:val="0"/>
          <w:bCs w:val="0"/>
        </w:rPr>
      </w:r>
      <w:r>
        <w:rPr/>
        <w:t>十二、关联方及关联交易</w:t>
      </w:r>
      <w:r>
        <w:rPr>
          <w:b w:val="0"/>
          <w:bCs w:val="0"/>
        </w:rPr>
      </w:r>
    </w:p>
    <w:p>
      <w:pPr>
        <w:pStyle w:val="Heading4"/>
        <w:spacing w:line="240" w:lineRule="auto" w:before="177"/>
        <w:ind w:left="1133" w:right="1121"/>
        <w:jc w:val="left"/>
        <w:rPr>
          <w:b w:val="0"/>
          <w:bCs w:val="0"/>
        </w:rPr>
      </w:pPr>
      <w:bookmarkStart w:name="1、本企业的母公司情况" w:id="442"/>
      <w:bookmarkEnd w:id="442"/>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9"/>
          <w:szCs w:val="9"/>
        </w:rPr>
      </w:pPr>
    </w:p>
    <w:tbl>
      <w:tblPr>
        <w:tblW w:w="0" w:type="auto"/>
        <w:jc w:val="left"/>
        <w:tblInd w:w="1118" w:type="dxa"/>
        <w:tblLayout w:type="fixed"/>
        <w:tblCellMar>
          <w:top w:w="0" w:type="dxa"/>
          <w:left w:w="0" w:type="dxa"/>
          <w:bottom w:w="0" w:type="dxa"/>
          <w:right w:w="0" w:type="dxa"/>
        </w:tblCellMar>
        <w:tblLook w:val="01E0"/>
      </w:tblPr>
      <w:tblGrid>
        <w:gridCol w:w="2695"/>
        <w:gridCol w:w="1134"/>
        <w:gridCol w:w="1417"/>
        <w:gridCol w:w="1276"/>
        <w:gridCol w:w="1451"/>
        <w:gridCol w:w="1588"/>
      </w:tblGrid>
      <w:tr>
        <w:trPr>
          <w:trHeight w:val="727"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68" w:right="87"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339" w:right="53"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15"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876" w:right="0"/>
              <w:jc w:val="left"/>
              <w:rPr>
                <w:rFonts w:ascii="宋体" w:hAnsi="宋体" w:cs="宋体" w:eastAsia="宋体" w:hint="default"/>
                <w:sz w:val="18"/>
                <w:szCs w:val="18"/>
              </w:rPr>
            </w:pPr>
            <w:r>
              <w:rPr>
                <w:rFonts w:ascii="宋体"/>
                <w:sz w:val="18"/>
              </w:rPr>
              <w:t>25.67%</w:t>
            </w:r>
          </w:p>
        </w:tc>
        <w:tc>
          <w:tcPr>
            <w:tcW w:w="15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018" w:right="0"/>
              <w:jc w:val="left"/>
              <w:rPr>
                <w:rFonts w:ascii="宋体" w:hAnsi="宋体" w:cs="宋体" w:eastAsia="宋体" w:hint="default"/>
                <w:sz w:val="18"/>
                <w:szCs w:val="18"/>
              </w:rPr>
            </w:pPr>
            <w:r>
              <w:rPr>
                <w:rFonts w:ascii="宋体"/>
                <w:sz w:val="18"/>
              </w:rPr>
              <w:t>25.67%</w:t>
            </w:r>
          </w:p>
        </w:tc>
      </w:tr>
    </w:tbl>
    <w:p>
      <w:pPr>
        <w:spacing w:line="408" w:lineRule="auto" w:before="63"/>
        <w:ind w:left="1134" w:right="7392" w:firstLine="0"/>
        <w:jc w:val="left"/>
        <w:rPr>
          <w:rFonts w:ascii="宋体" w:hAnsi="宋体" w:cs="宋体" w:eastAsia="宋体" w:hint="default"/>
          <w:sz w:val="21"/>
          <w:szCs w:val="21"/>
        </w:rPr>
      </w:pPr>
      <w:r>
        <w:rPr>
          <w:rFonts w:ascii="宋体" w:hAnsi="宋体" w:cs="宋体" w:eastAsia="宋体" w:hint="default"/>
          <w:sz w:val="21"/>
          <w:szCs w:val="21"/>
        </w:rPr>
        <w:t>本企业最终控制方是龙昌明。 </w:t>
      </w:r>
      <w:bookmarkStart w:name="2、本企业的子公司情况" w:id="443"/>
      <w:bookmarkEnd w:id="443"/>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w:t>
      </w:r>
      <w:r>
        <w:rPr>
          <w:rFonts w:ascii="宋体" w:hAnsi="宋体" w:cs="宋体" w:eastAsia="宋体" w:hint="default"/>
          <w:sz w:val="21"/>
          <w:szCs w:val="21"/>
        </w:rPr>
        <w:t>.1</w:t>
      </w:r>
      <w:r>
        <w:rPr>
          <w:rFonts w:ascii="宋体" w:hAnsi="宋体" w:cs="宋体" w:eastAsia="宋体" w:hint="default"/>
          <w:sz w:val="21"/>
          <w:szCs w:val="21"/>
        </w:rPr>
        <w:t>。</w:t>
      </w:r>
    </w:p>
    <w:p>
      <w:pPr>
        <w:spacing w:after="0" w:line="408" w:lineRule="auto"/>
        <w:jc w:val="left"/>
        <w:rPr>
          <w:rFonts w:ascii="宋体" w:hAnsi="宋体" w:cs="宋体" w:eastAsia="宋体" w:hint="default"/>
          <w:sz w:val="21"/>
          <w:szCs w:val="21"/>
        </w:rPr>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27" w:lineRule="auto" w:before="0"/>
        <w:ind w:left="1133" w:right="6973" w:firstLine="0"/>
        <w:jc w:val="left"/>
        <w:rPr>
          <w:rFonts w:ascii="宋体" w:hAnsi="宋体" w:cs="宋体" w:eastAsia="宋体" w:hint="default"/>
          <w:sz w:val="21"/>
          <w:szCs w:val="21"/>
        </w:rPr>
      </w:pPr>
      <w:bookmarkStart w:name="3、本企业合营和联营企业情况" w:id="444"/>
      <w:bookmarkEnd w:id="444"/>
      <w:r>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 </w:t>
      </w:r>
      <w:bookmarkStart w:name="4、其他关联方情况" w:id="445"/>
      <w:bookmarkEnd w:id="445"/>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tbl>
      <w:tblPr>
        <w:tblW w:w="0" w:type="auto"/>
        <w:jc w:val="left"/>
        <w:tblInd w:w="1118" w:type="dxa"/>
        <w:tblLayout w:type="fixed"/>
        <w:tblCellMar>
          <w:top w:w="0" w:type="dxa"/>
          <w:left w:w="0" w:type="dxa"/>
          <w:bottom w:w="0" w:type="dxa"/>
          <w:right w:w="0" w:type="dxa"/>
        </w:tblCellMar>
        <w:tblLook w:val="01E0"/>
      </w:tblPr>
      <w:tblGrid>
        <w:gridCol w:w="4783"/>
        <w:gridCol w:w="4785"/>
      </w:tblGrid>
      <w:tr>
        <w:trPr>
          <w:trHeight w:val="415"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395"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熊珂</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实际控制人配偶</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中云文化大数据科技有限公司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广东今程光一电力科技有限责任公司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深圳贵仁创新产业基金合伙企业（有限合伙）</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投资公司</w:t>
            </w:r>
          </w:p>
        </w:tc>
      </w:tr>
      <w:tr>
        <w:trPr>
          <w:trHeight w:val="408"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江苏新宇能电力科技有限公司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15" w:hRule="exact"/>
        </w:trPr>
        <w:tc>
          <w:tcPr>
            <w:tcW w:w="47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南京光一文化产业投资发展合伙企业（有限合伙）</w:t>
            </w:r>
          </w:p>
        </w:tc>
        <w:tc>
          <w:tcPr>
            <w:tcW w:w="4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投资公司</w:t>
            </w:r>
          </w:p>
        </w:tc>
      </w:tr>
    </w:tbl>
    <w:p>
      <w:pPr>
        <w:pStyle w:val="Heading4"/>
        <w:spacing w:line="240" w:lineRule="auto" w:before="71"/>
        <w:ind w:right="1121"/>
        <w:jc w:val="left"/>
        <w:rPr>
          <w:b w:val="0"/>
          <w:bCs w:val="0"/>
        </w:rPr>
      </w:pPr>
      <w:bookmarkStart w:name="5、关联交易情况" w:id="446"/>
      <w:bookmarkEnd w:id="446"/>
      <w:r>
        <w:rPr>
          <w:b w:val="0"/>
          <w:bCs w:val="0"/>
        </w:rPr>
      </w:r>
      <w:r>
        <w:rPr>
          <w:rFonts w:ascii="宋体" w:hAnsi="宋体" w:cs="宋体" w:eastAsia="宋体" w:hint="default"/>
        </w:rPr>
        <w:t>5</w:t>
      </w:r>
      <w:r>
        <w:rPr/>
        <w:t>、关联交易情况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6641" w:firstLine="0"/>
        <w:jc w:val="left"/>
        <w:rPr>
          <w:rFonts w:ascii="宋体" w:hAnsi="宋体" w:cs="宋体" w:eastAsia="宋体" w:hint="default"/>
          <w:sz w:val="21"/>
          <w:szCs w:val="21"/>
        </w:rPr>
      </w:pPr>
      <w:bookmarkStart w:name="（1）购销商品、提供和接受劳务的关联交易" w:id="447"/>
      <w:bookmarkEnd w:id="44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269"/>
        <w:gridCol w:w="1560"/>
        <w:gridCol w:w="1276"/>
        <w:gridCol w:w="1560"/>
        <w:gridCol w:w="1559"/>
        <w:gridCol w:w="1346"/>
      </w:tblGrid>
      <w:tr>
        <w:trPr>
          <w:trHeight w:val="413"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7" w:hRule="exact"/>
        </w:trPr>
        <w:tc>
          <w:tcPr>
            <w:tcW w:w="2269"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2"/>
              <w:ind w:left="13" w:right="71"/>
              <w:jc w:val="left"/>
              <w:rPr>
                <w:rFonts w:ascii="宋体" w:hAnsi="宋体" w:cs="宋体" w:eastAsia="宋体" w:hint="default"/>
                <w:sz w:val="18"/>
                <w:szCs w:val="18"/>
              </w:rPr>
            </w:pPr>
            <w:r>
              <w:rPr>
                <w:rFonts w:ascii="宋体" w:hAnsi="宋体" w:cs="宋体" w:eastAsia="宋体" w:hint="default"/>
                <w:sz w:val="18"/>
                <w:szCs w:val="18"/>
              </w:rPr>
              <w:t>广东今程光一电力科技有限 责任公司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提供技术支持服务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sz w:val="18"/>
              </w:rPr>
              <w:t>2,424,584.28</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747" w:footer="1000" w:top="1040" w:bottom="1180" w:left="0" w:right="0"/>
        </w:sectPr>
      </w:pPr>
    </w:p>
    <w:p>
      <w:pPr>
        <w:pStyle w:val="BodyText"/>
        <w:spacing w:line="240" w:lineRule="auto" w:before="35"/>
        <w:ind w:left="1134" w:right="-9"/>
        <w:jc w:val="left"/>
      </w:pPr>
      <w:r>
        <w:rPr>
          <w:spacing w:val="-1"/>
        </w:rPr>
        <w:t>出售商品</w:t>
      </w:r>
      <w:r>
        <w:rPr>
          <w:rFonts w:ascii="宋体" w:hAnsi="宋体" w:cs="宋体" w:eastAsia="宋体" w:hint="default"/>
          <w:spacing w:val="-1"/>
        </w:rPr>
        <w:t>/</w:t>
      </w:r>
      <w:r>
        <w:rPr>
          <w:spacing w:val="-1"/>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549" w:space="5370"/>
            <w:col w:w="2991"/>
          </w:cols>
        </w:sectPr>
      </w:pP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5105"/>
        <w:gridCol w:w="1560"/>
        <w:gridCol w:w="1559"/>
        <w:gridCol w:w="1345"/>
      </w:tblGrid>
      <w:tr>
        <w:trPr>
          <w:trHeight w:val="415" w:hRule="exact"/>
        </w:trPr>
        <w:tc>
          <w:tcPr>
            <w:tcW w:w="510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4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5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南京光一文化产业投资发展合伙企业（有限合伙）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1,596,226.42</w:t>
            </w:r>
          </w:p>
        </w:tc>
        <w:tc>
          <w:tcPr>
            <w:tcW w:w="1345"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510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江苏新宇能电力科技有限公司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集抄器及服务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54,330.91</w:t>
            </w:r>
          </w:p>
        </w:tc>
        <w:tc>
          <w:tcPr>
            <w:tcW w:w="1345"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134" w:right="1121"/>
        <w:jc w:val="left"/>
      </w:pPr>
      <w:r>
        <w:rPr/>
        <w:t>购销商品、提供和接受劳务的关联交易说明：关联交易定价依据均为市场定价。</w:t>
      </w:r>
    </w:p>
    <w:p>
      <w:pPr>
        <w:spacing w:line="240" w:lineRule="auto" w:before="10"/>
        <w:rPr>
          <w:rFonts w:ascii="宋体" w:hAnsi="宋体" w:cs="宋体" w:eastAsia="宋体" w:hint="default"/>
          <w:sz w:val="14"/>
          <w:szCs w:val="14"/>
        </w:rPr>
      </w:pPr>
    </w:p>
    <w:p>
      <w:pPr>
        <w:pStyle w:val="Heading4"/>
        <w:spacing w:line="240" w:lineRule="auto"/>
        <w:ind w:left="1133" w:right="1121"/>
        <w:jc w:val="left"/>
        <w:rPr>
          <w:b w:val="0"/>
          <w:bCs w:val="0"/>
        </w:rPr>
      </w:pPr>
      <w:bookmarkStart w:name="（2）关联受托管理/承包及委托管理/出包情况" w:id="448"/>
      <w:bookmarkEnd w:id="448"/>
      <w:r>
        <w:rPr>
          <w:b w:val="0"/>
          <w:bCs w:val="0"/>
        </w:rPr>
      </w: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关联租赁情况" w:id="449"/>
      <w:bookmarkEnd w:id="449"/>
      <w:r>
        <w:rPr>
          <w:b w:val="0"/>
          <w:bCs w:val="0"/>
        </w:rPr>
      </w:r>
      <w:r>
        <w:rPr/>
        <w:t>（</w:t>
      </w:r>
      <w:r>
        <w:rPr>
          <w:rFonts w:ascii="宋体" w:hAnsi="宋体" w:cs="宋体" w:eastAsia="宋体" w:hint="default"/>
        </w:rPr>
        <w:t>3</w:t>
      </w:r>
      <w:r>
        <w:rPr/>
        <w:t>）关联租赁情况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关联担保情况" w:id="450"/>
      <w:bookmarkEnd w:id="450"/>
      <w:r>
        <w:rPr>
          <w:b w:val="0"/>
          <w:bCs w:val="0"/>
        </w:rPr>
      </w:r>
      <w:r>
        <w:rPr/>
        <w:t>（</w:t>
      </w:r>
      <w:r>
        <w:rPr>
          <w:rFonts w:ascii="宋体" w:hAnsi="宋体" w:cs="宋体" w:eastAsia="宋体" w:hint="default"/>
        </w:rPr>
        <w:t>4</w:t>
      </w:r>
      <w:r>
        <w:rPr/>
        <w:t>）关联担保情况</w:t>
      </w:r>
      <w:r>
        <w:rPr>
          <w:b w:val="0"/>
          <w:bCs w:val="0"/>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type w:val="continuous"/>
          <w:pgSz w:w="11910" w:h="16840"/>
          <w:pgMar w:top="1040" w:bottom="1180" w:left="0" w:right="0"/>
        </w:sectPr>
      </w:pPr>
    </w:p>
    <w:p>
      <w:pPr>
        <w:pStyle w:val="BodyText"/>
        <w:spacing w:line="240" w:lineRule="auto" w:before="35"/>
        <w:ind w:left="1134" w:right="-20"/>
        <w:jc w:val="left"/>
      </w:pPr>
      <w:r>
        <w:rPr/>
        <w:t>本公司作为担保方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815" w:space="6105"/>
            <w:col w:w="2990"/>
          </w:cols>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695"/>
        <w:gridCol w:w="1418"/>
        <w:gridCol w:w="1631"/>
        <w:gridCol w:w="1914"/>
        <w:gridCol w:w="1913"/>
      </w:tblGrid>
      <w:tr>
        <w:trPr>
          <w:trHeight w:val="415"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63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江苏其厚智能电气设备有限公司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9" w:right="0"/>
              <w:jc w:val="center"/>
              <w:rPr>
                <w:rFonts w:ascii="宋体" w:hAnsi="宋体" w:cs="宋体" w:eastAsia="宋体" w:hint="default"/>
                <w:sz w:val="18"/>
                <w:szCs w:val="18"/>
              </w:rPr>
            </w:pPr>
            <w:r>
              <w:rPr>
                <w:rFonts w:ascii="宋体"/>
                <w:sz w:val="18"/>
              </w:rPr>
              <w:t>20,000,000.00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99" w:right="0"/>
              <w:jc w:val="center"/>
              <w:rPr>
                <w:rFonts w:ascii="宋体" w:hAnsi="宋体" w:cs="宋体" w:eastAsia="宋体" w:hint="default"/>
                <w:sz w:val="18"/>
                <w:szCs w:val="18"/>
              </w:rPr>
            </w:pPr>
            <w:r>
              <w:rPr>
                <w:rFonts w:ascii="宋体"/>
                <w:sz w:val="18"/>
              </w:rPr>
              <w:t>288,000,000.00</w:t>
            </w:r>
          </w:p>
        </w:tc>
        <w:tc>
          <w:tcPr>
            <w:tcW w:w="1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747" w:footer="1000" w:top="1040" w:bottom="1180" w:left="0" w:right="0"/>
        </w:sectPr>
      </w:pPr>
    </w:p>
    <w:p>
      <w:pPr>
        <w:pStyle w:val="BodyText"/>
        <w:spacing w:line="240" w:lineRule="auto" w:before="35"/>
        <w:ind w:left="1134" w:right="-20"/>
        <w:jc w:val="left"/>
      </w:pPr>
      <w:r>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025" w:space="5895"/>
            <w:col w:w="299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695"/>
        <w:gridCol w:w="1418"/>
        <w:gridCol w:w="1700"/>
        <w:gridCol w:w="1845"/>
        <w:gridCol w:w="1913"/>
      </w:tblGrid>
      <w:tr>
        <w:trPr>
          <w:trHeight w:val="418"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8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22,000,000.00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6" w:lineRule="auto" w:before="11"/>
              <w:ind w:left="13" w:right="-44"/>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418"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0.2pt;height:7.8pt;mso-position-horizontal-relative:char;mso-position-vertical-relative:line" coordorigin="0,0" coordsize="1404,156">
                  <v:group style="position:absolute;left:0;top:0;width:1404;height:156" coordorigin="0,0" coordsize="1404,156">
                    <v:shape style="position:absolute;left:0;top:0;width:1404;height:156" coordorigin="0,0" coordsize="1404,156" path="m0,156l1403,156,140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0"/>
              <w:ind w:right="21"/>
              <w:jc w:val="right"/>
              <w:rPr>
                <w:rFonts w:ascii="宋体" w:hAnsi="宋体" w:cs="宋体" w:eastAsia="宋体" w:hint="default"/>
                <w:sz w:val="18"/>
                <w:szCs w:val="18"/>
              </w:rPr>
            </w:pPr>
            <w:r>
              <w:rPr>
                <w:rFonts w:ascii="宋体"/>
                <w:sz w:val="18"/>
              </w:rPr>
              <w:t>150,000,000.00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60,000,000.00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50,000,000.00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8,500,000.00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40"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6" w:lineRule="auto" w:before="11"/>
              <w:ind w:left="13" w:right="-44"/>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418"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0.2pt;height:7.8pt;mso-position-horizontal-relative:char;mso-position-vertical-relative:line" coordorigin="0,0" coordsize="1404,156">
                  <v:group style="position:absolute;left:0;top:0;width:1404;height:156" coordorigin="0,0" coordsize="1404,156">
                    <v:shape style="position:absolute;left:0;top:0;width:1404;height:156" coordorigin="0,0" coordsize="1404,156" path="m0,156l1403,156,140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0"/>
              <w:ind w:right="21"/>
              <w:jc w:val="right"/>
              <w:rPr>
                <w:rFonts w:ascii="宋体" w:hAnsi="宋体" w:cs="宋体" w:eastAsia="宋体" w:hint="default"/>
                <w:sz w:val="18"/>
                <w:szCs w:val="18"/>
              </w:rPr>
            </w:pPr>
            <w:r>
              <w:rPr>
                <w:rFonts w:ascii="宋体"/>
                <w:sz w:val="18"/>
              </w:rPr>
              <w:t>19,383,368.00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6" w:lineRule="auto" w:before="10"/>
              <w:ind w:left="13" w:right="-44"/>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418"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0.2pt;height:7.8pt;mso-position-horizontal-relative:char;mso-position-vertical-relative:line" coordorigin="0,0" coordsize="1404,156">
                  <v:group style="position:absolute;left:0;top:0;width:1404;height:156" coordorigin="0,0" coordsize="1404,156">
                    <v:shape style="position:absolute;left:0;top:0;width:1404;height:156" coordorigin="0,0" coordsize="1404,156" path="m0,156l1403,156,140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0"/>
              <w:ind w:right="21"/>
              <w:jc w:val="right"/>
              <w:rPr>
                <w:rFonts w:ascii="宋体" w:hAnsi="宋体" w:cs="宋体" w:eastAsia="宋体" w:hint="default"/>
                <w:sz w:val="18"/>
                <w:szCs w:val="18"/>
              </w:rPr>
            </w:pPr>
            <w:r>
              <w:rPr>
                <w:rFonts w:ascii="宋体"/>
                <w:sz w:val="18"/>
              </w:rPr>
              <w:t>3,000,000.00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15,000,000.00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8"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6" w:lineRule="auto" w:before="10"/>
              <w:ind w:left="13" w:right="-44"/>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418"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0.2pt;height:7.8pt;mso-position-horizontal-relative:char;mso-position-vertical-relative:line" coordorigin="0,0" coordsize="1404,156">
                  <v:group style="position:absolute;left:0;top:0;width:1404;height:156" coordorigin="0,0" coordsize="1404,156">
                    <v:shape style="position:absolute;left:0;top:0;width:1404;height:156" coordorigin="0,0" coordsize="1404,156" path="m0,156l1403,156,140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0"/>
              <w:ind w:right="21"/>
              <w:jc w:val="right"/>
              <w:rPr>
                <w:rFonts w:ascii="宋体" w:hAnsi="宋体" w:cs="宋体" w:eastAsia="宋体" w:hint="default"/>
                <w:sz w:val="18"/>
                <w:szCs w:val="18"/>
              </w:rPr>
            </w:pPr>
            <w:r>
              <w:rPr>
                <w:rFonts w:ascii="宋体"/>
                <w:sz w:val="18"/>
              </w:rPr>
              <w:t>100,000,000.00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9,000,000.00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129,500,000.00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70,000,000.00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80,000,000.00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46" w:hRule="exact"/>
        </w:trPr>
        <w:tc>
          <w:tcPr>
            <w:tcW w:w="2695" w:type="dxa"/>
            <w:tcBorders>
              <w:top w:val="single" w:sz="6" w:space="0" w:color="000000"/>
              <w:left w:val="single" w:sz="12" w:space="0" w:color="000000"/>
              <w:bottom w:val="single" w:sz="12" w:space="0" w:color="000000"/>
              <w:right w:val="single" w:sz="8" w:space="0" w:color="FFFFFF"/>
            </w:tcBorders>
          </w:tcPr>
          <w:p>
            <w:pPr>
              <w:pStyle w:val="TableParagraph"/>
              <w:spacing w:line="316" w:lineRule="auto" w:before="10"/>
              <w:ind w:left="13" w:right="-44"/>
              <w:jc w:val="left"/>
              <w:rPr>
                <w:rFonts w:ascii="宋体" w:hAnsi="宋体" w:cs="宋体" w:eastAsia="宋体" w:hint="default"/>
                <w:sz w:val="18"/>
                <w:szCs w:val="18"/>
              </w:rPr>
            </w:pPr>
            <w:r>
              <w:rPr>
                <w:rFonts w:ascii="宋体" w:hAnsi="宋体" w:cs="宋体" w:eastAsia="宋体" w:hint="default"/>
                <w:sz w:val="18"/>
                <w:szCs w:val="18"/>
              </w:rPr>
              <w:t>湖北索瑞电气有限公司、龙昌明、 熊珂</w:t>
            </w:r>
          </w:p>
        </w:tc>
        <w:tc>
          <w:tcPr>
            <w:tcW w:w="1418" w:type="dxa"/>
            <w:tcBorders>
              <w:top w:val="single" w:sz="6" w:space="0" w:color="000000"/>
              <w:left w:val="single" w:sz="8" w:space="0" w:color="FFFFFF"/>
              <w:bottom w:val="single" w:sz="12"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0.2pt;height:7.8pt;mso-position-horizontal-relative:char;mso-position-vertical-relative:line" coordorigin="0,0" coordsize="1404,156">
                  <v:group style="position:absolute;left:0;top:0;width:1404;height:156" coordorigin="0,0" coordsize="1404,156">
                    <v:shape style="position:absolute;left:0;top:0;width:1404;height:156" coordorigin="0,0" coordsize="1404,156" path="m0,156l1403,156,1403,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10"/>
              <w:ind w:right="21"/>
              <w:jc w:val="right"/>
              <w:rPr>
                <w:rFonts w:ascii="宋体" w:hAnsi="宋体" w:cs="宋体" w:eastAsia="宋体" w:hint="default"/>
                <w:sz w:val="18"/>
                <w:szCs w:val="18"/>
              </w:rPr>
            </w:pPr>
            <w:r>
              <w:rPr>
                <w:rFonts w:ascii="宋体"/>
                <w:sz w:val="18"/>
              </w:rPr>
              <w:t>180,000,000.00</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2695"/>
        <w:gridCol w:w="1418"/>
        <w:gridCol w:w="1700"/>
        <w:gridCol w:w="1845"/>
        <w:gridCol w:w="1913"/>
      </w:tblGrid>
      <w:tr>
        <w:trPr>
          <w:trHeight w:val="419"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33,000,000.00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1"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21"/>
              <w:jc w:val="right"/>
              <w:rPr>
                <w:rFonts w:ascii="宋体" w:hAnsi="宋体" w:cs="宋体" w:eastAsia="宋体" w:hint="default"/>
                <w:sz w:val="18"/>
                <w:szCs w:val="18"/>
              </w:rPr>
            </w:pPr>
            <w:r>
              <w:rPr>
                <w:rFonts w:ascii="宋体"/>
                <w:sz w:val="18"/>
              </w:rPr>
              <w:t>20,000,000.00</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Heading4"/>
        <w:spacing w:line="240" w:lineRule="auto" w:before="63"/>
        <w:ind w:right="1121"/>
        <w:jc w:val="left"/>
        <w:rPr>
          <w:b w:val="0"/>
          <w:bCs w:val="0"/>
        </w:rPr>
      </w:pPr>
      <w:bookmarkStart w:name="（5）关联方资金拆借" w:id="451"/>
      <w:bookmarkEnd w:id="451"/>
      <w:r>
        <w:rPr>
          <w:b w:val="0"/>
          <w:bCs w:val="0"/>
        </w:rPr>
      </w:r>
      <w:r>
        <w:rPr/>
        <w:t>（</w:t>
      </w:r>
      <w:r>
        <w:rPr>
          <w:rFonts w:ascii="宋体" w:hAnsi="宋体" w:cs="宋体" w:eastAsia="宋体" w:hint="default"/>
        </w:rPr>
        <w:t>5</w:t>
      </w:r>
      <w:r>
        <w:rPr/>
        <w:t>）关联方资金拆借</w:t>
      </w:r>
      <w:r>
        <w:rPr>
          <w:b w:val="0"/>
          <w:bCs w:val="0"/>
        </w:rPr>
      </w:r>
    </w:p>
    <w:p>
      <w:pPr>
        <w:spacing w:line="240" w:lineRule="auto" w:before="9"/>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6）关联方资产转让、债务重组情况" w:id="452"/>
      <w:bookmarkEnd w:id="452"/>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7）关键管理人员报酬" w:id="453"/>
      <w:bookmarkEnd w:id="453"/>
      <w:r>
        <w:rPr>
          <w:b w:val="0"/>
          <w:bCs w:val="0"/>
        </w:rPr>
      </w:r>
      <w:r>
        <w:rPr/>
        <w:t>（</w:t>
      </w:r>
      <w:r>
        <w:rPr>
          <w:rFonts w:ascii="宋体" w:hAnsi="宋体" w:cs="宋体" w:eastAsia="宋体" w:hint="default"/>
        </w:rPr>
        <w:t>7</w:t>
      </w:r>
      <w:r>
        <w:rPr/>
        <w:t>）关键管理人员报酬</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189"/>
        <w:gridCol w:w="3190"/>
        <w:gridCol w:w="3191"/>
      </w:tblGrid>
      <w:tr>
        <w:trPr>
          <w:trHeight w:val="415" w:hRule="exact"/>
        </w:trPr>
        <w:tc>
          <w:tcPr>
            <w:tcW w:w="318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18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75" w:right="0"/>
              <w:jc w:val="left"/>
              <w:rPr>
                <w:rFonts w:ascii="宋体" w:hAnsi="宋体" w:cs="宋体" w:eastAsia="宋体" w:hint="default"/>
                <w:sz w:val="18"/>
                <w:szCs w:val="18"/>
              </w:rPr>
            </w:pPr>
            <w:r>
              <w:rPr>
                <w:rFonts w:ascii="宋体"/>
                <w:sz w:val="18"/>
              </w:rPr>
              <w:t>3,933,870.06</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2076" w:right="0"/>
              <w:jc w:val="left"/>
              <w:rPr>
                <w:rFonts w:ascii="宋体" w:hAnsi="宋体" w:cs="宋体" w:eastAsia="宋体" w:hint="default"/>
                <w:sz w:val="18"/>
                <w:szCs w:val="18"/>
              </w:rPr>
            </w:pPr>
            <w:r>
              <w:rPr>
                <w:rFonts w:ascii="宋体"/>
                <w:sz w:val="18"/>
              </w:rPr>
              <w:t>3,061,437.76</w:t>
            </w:r>
          </w:p>
        </w:tc>
      </w:tr>
    </w:tbl>
    <w:p>
      <w:pPr>
        <w:pStyle w:val="Heading4"/>
        <w:spacing w:line="240" w:lineRule="auto" w:before="63"/>
        <w:ind w:right="1121"/>
        <w:jc w:val="left"/>
        <w:rPr>
          <w:b w:val="0"/>
          <w:bCs w:val="0"/>
        </w:rPr>
      </w:pPr>
      <w:bookmarkStart w:name="（8）其他关联交易" w:id="454"/>
      <w:bookmarkEnd w:id="454"/>
      <w:r>
        <w:rPr>
          <w:b w:val="0"/>
          <w:bCs w:val="0"/>
        </w:rPr>
      </w:r>
      <w:r>
        <w:rPr/>
        <w:t>（</w:t>
      </w:r>
      <w:r>
        <w:rPr>
          <w:rFonts w:ascii="宋体" w:hAnsi="宋体" w:cs="宋体" w:eastAsia="宋体" w:hint="default"/>
        </w:rPr>
        <w:t>8</w:t>
      </w:r>
      <w:r>
        <w:rPr/>
        <w:t>）其他关联交易</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53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关联方应收应付款项" w:id="455"/>
      <w:bookmarkEnd w:id="455"/>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pStyle w:val="Heading4"/>
        <w:spacing w:line="240" w:lineRule="auto" w:before="46"/>
        <w:ind w:right="1121"/>
        <w:jc w:val="left"/>
        <w:rPr>
          <w:b w:val="0"/>
          <w:bCs w:val="0"/>
        </w:rPr>
      </w:pPr>
      <w:bookmarkStart w:name="（1）应收项目" w:id="456"/>
      <w:bookmarkEnd w:id="456"/>
      <w:r>
        <w:rPr>
          <w:b w:val="0"/>
          <w:bCs w:val="0"/>
        </w:rPr>
      </w:r>
      <w:r>
        <w:rPr/>
        <w:t>（</w:t>
      </w:r>
      <w:r>
        <w:rPr>
          <w:rFonts w:ascii="宋体" w:hAnsi="宋体" w:cs="宋体" w:eastAsia="宋体" w:hint="default"/>
        </w:rPr>
        <w:t>1</w:t>
      </w:r>
      <w:r>
        <w:rPr/>
        <w:t>）应收项目</w:t>
      </w:r>
      <w:r>
        <w:rPr>
          <w:b w:val="0"/>
          <w:bCs w:val="0"/>
        </w:rPr>
      </w:r>
    </w:p>
    <w:p>
      <w:pPr>
        <w:spacing w:line="240" w:lineRule="auto" w:before="7"/>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135"/>
        <w:gridCol w:w="3970"/>
        <w:gridCol w:w="1134"/>
        <w:gridCol w:w="993"/>
        <w:gridCol w:w="1134"/>
        <w:gridCol w:w="1202"/>
      </w:tblGrid>
      <w:tr>
        <w:trPr>
          <w:trHeight w:val="413" w:hRule="exact"/>
        </w:trPr>
        <w:tc>
          <w:tcPr>
            <w:tcW w:w="113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7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36"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135" w:type="dxa"/>
            <w:vMerge/>
            <w:tcBorders>
              <w:left w:val="single" w:sz="12" w:space="0" w:color="000000"/>
              <w:bottom w:val="single" w:sz="6" w:space="0" w:color="000000"/>
              <w:right w:val="single" w:sz="6" w:space="0" w:color="000000"/>
            </w:tcBorders>
            <w:shd w:val="clear" w:color="auto" w:fill="D2D2D2"/>
          </w:tcPr>
          <w:p>
            <w:pPr/>
          </w:p>
        </w:tc>
        <w:tc>
          <w:tcPr>
            <w:tcW w:w="3970" w:type="dxa"/>
            <w:vMerge/>
            <w:tcBorders>
              <w:left w:val="single" w:sz="6" w:space="0" w:color="000000"/>
              <w:bottom w:val="single" w:sz="6" w:space="0" w:color="000000"/>
              <w:right w:val="single" w:sz="6" w:space="0" w:color="000000"/>
            </w:tcBorders>
            <w:shd w:val="clear" w:color="auto" w:fill="D2D2D2"/>
          </w:tcPr>
          <w:p>
            <w:pP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深圳贵仁创新产业基金合伙企业（有限合伙）</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100.00</w:t>
            </w:r>
          </w:p>
        </w:tc>
        <w:tc>
          <w:tcPr>
            <w:tcW w:w="993"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南京光一文化产业投资发展合伙企业（有限合伙</w:t>
            </w:r>
            <w:r>
              <w:rPr>
                <w:rFonts w:ascii="宋体" w:hAnsi="宋体" w:cs="宋体" w:eastAsia="宋体" w:hint="default"/>
                <w:sz w:val="18"/>
                <w:szCs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1,100.00</w:t>
            </w:r>
          </w:p>
        </w:tc>
        <w:tc>
          <w:tcPr>
            <w:tcW w:w="993"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1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广东今程光一电力科技有限责任公司</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14,400.00</w:t>
            </w:r>
          </w:p>
        </w:tc>
        <w:tc>
          <w:tcPr>
            <w:tcW w:w="993"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202"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1121"/>
        <w:jc w:val="left"/>
        <w:rPr>
          <w:b w:val="0"/>
          <w:bCs w:val="0"/>
        </w:rPr>
      </w:pPr>
      <w:bookmarkStart w:name="（2）应付项目" w:id="457"/>
      <w:bookmarkEnd w:id="457"/>
      <w:r>
        <w:rPr>
          <w:b w:val="0"/>
          <w:bCs w:val="0"/>
        </w:rPr>
      </w:r>
      <w:r>
        <w:rPr/>
        <w:t>（</w:t>
      </w:r>
      <w:r>
        <w:rPr>
          <w:rFonts w:ascii="宋体" w:hAnsi="宋体" w:cs="宋体" w:eastAsia="宋体" w:hint="default"/>
        </w:rPr>
        <w:t>2</w:t>
      </w:r>
      <w:r>
        <w:rPr/>
        <w:t>）应付项目</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关联方承诺" w:id="458"/>
      <w:bookmarkEnd w:id="458"/>
      <w:r>
        <w:rPr>
          <w:rFonts w:ascii="宋体" w:hAnsi="宋体" w:cs="宋体" w:eastAsia="宋体" w:hint="default"/>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其他" w:id="459"/>
      <w:bookmarkEnd w:id="459"/>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408" w:lineRule="auto" w:before="46"/>
        <w:ind w:left="113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三、股份支付" w:id="460"/>
      <w:bookmarkEnd w:id="460"/>
      <w:r>
        <w:rPr>
          <w:rFonts w:ascii="宋体" w:hAnsi="宋体" w:cs="宋体" w:eastAsia="宋体" w:hint="default"/>
          <w:sz w:val="21"/>
          <w:szCs w:val="21"/>
        </w:rPr>
      </w:r>
      <w:r>
        <w:rPr>
          <w:rFonts w:ascii="宋体" w:hAnsi="宋体" w:cs="宋体" w:eastAsia="宋体" w:hint="default"/>
          <w:b/>
          <w:bCs/>
          <w:sz w:val="21"/>
          <w:szCs w:val="21"/>
        </w:rPr>
        <w:t>十三、股份支付</w:t>
      </w:r>
      <w:r>
        <w:rPr>
          <w:rFonts w:ascii="宋体" w:hAnsi="宋体" w:cs="宋体" w:eastAsia="宋体" w:hint="default"/>
          <w:b/>
          <w:bCs/>
          <w:w w:val="99"/>
          <w:sz w:val="21"/>
          <w:szCs w:val="21"/>
        </w:rPr>
        <w:t> </w:t>
      </w:r>
      <w:bookmarkStart w:name="1、股份支付总体情况" w:id="461"/>
      <w:bookmarkEnd w:id="461"/>
      <w:r>
        <w:rPr>
          <w:rFonts w:ascii="宋体" w:hAnsi="宋体" w:cs="宋体" w:eastAsia="宋体" w:hint="default"/>
          <w:b/>
          <w:bCs/>
          <w:w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ind w:left="1134" w:right="1121"/>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5455"/>
        <w:gridCol w:w="4113"/>
      </w:tblGrid>
      <w:tr>
        <w:trPr>
          <w:trHeight w:val="415" w:hRule="exact"/>
        </w:trPr>
        <w:tc>
          <w:tcPr>
            <w:tcW w:w="545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7" w:hRule="exact"/>
        </w:trPr>
        <w:tc>
          <w:tcPr>
            <w:tcW w:w="54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4,850,000.00</w:t>
            </w:r>
          </w:p>
        </w:tc>
      </w:tr>
      <w:tr>
        <w:trPr>
          <w:trHeight w:val="407" w:hRule="exact"/>
        </w:trPr>
        <w:tc>
          <w:tcPr>
            <w:tcW w:w="54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455,000.00</w:t>
            </w:r>
          </w:p>
        </w:tc>
      </w:tr>
      <w:tr>
        <w:trPr>
          <w:trHeight w:val="1967" w:hRule="exact"/>
        </w:trPr>
        <w:tc>
          <w:tcPr>
            <w:tcW w:w="54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3"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0" w:right="11"/>
              <w:jc w:val="both"/>
              <w:rPr>
                <w:rFonts w:ascii="宋体" w:hAnsi="宋体" w:cs="宋体" w:eastAsia="宋体" w:hint="default"/>
                <w:sz w:val="18"/>
                <w:szCs w:val="18"/>
              </w:rPr>
            </w:pPr>
            <w:r>
              <w:rPr>
                <w:rFonts w:ascii="宋体" w:hAnsi="宋体" w:cs="宋体" w:eastAsia="宋体" w:hint="default"/>
                <w:sz w:val="18"/>
                <w:szCs w:val="18"/>
              </w:rPr>
              <w:t>限制性股票激励计划的有效期为自首次授予</w:t>
            </w:r>
            <w:r>
              <w:rPr>
                <w:rFonts w:ascii="宋体" w:hAnsi="宋体" w:cs="宋体" w:eastAsia="宋体" w:hint="default"/>
                <w:spacing w:val="-82"/>
                <w:sz w:val="18"/>
                <w:szCs w:val="18"/>
              </w:rPr>
              <w:t>日</w:t>
            </w:r>
            <w:r>
              <w:rPr>
                <w:rFonts w:ascii="宋体" w:hAnsi="宋体" w:cs="宋体" w:eastAsia="宋体" w:hint="default"/>
                <w:sz w:val="18"/>
                <w:szCs w:val="18"/>
              </w:rPr>
              <w:t>（</w:t>
            </w:r>
            <w:r>
              <w:rPr>
                <w:rFonts w:ascii="宋体" w:hAnsi="宋体" w:cs="宋体" w:eastAsia="宋体"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 </w:t>
            </w:r>
            <w:r>
              <w:rPr>
                <w:rFonts w:ascii="宋体" w:hAnsi="宋体" w:cs="宋体" w:eastAsia="宋体" w:hint="default"/>
                <w:sz w:val="18"/>
                <w:szCs w:val="18"/>
              </w:rPr>
              <w:t>月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81"/>
                <w:sz w:val="18"/>
                <w:szCs w:val="18"/>
              </w:rPr>
              <w:t>）</w:t>
            </w:r>
            <w:r>
              <w:rPr>
                <w:rFonts w:ascii="宋体" w:hAnsi="宋体" w:cs="宋体" w:eastAsia="宋体" w:hint="default"/>
                <w:sz w:val="18"/>
                <w:szCs w:val="18"/>
              </w:rPr>
              <w:t>起至所有限制性股票解锁或回购注销</w:t>
            </w:r>
          </w:p>
          <w:p>
            <w:pPr>
              <w:pStyle w:val="TableParagraph"/>
              <w:spacing w:line="319" w:lineRule="auto" w:before="19"/>
              <w:ind w:left="20" w:right="9"/>
              <w:jc w:val="both"/>
              <w:rPr>
                <w:rFonts w:ascii="宋体" w:hAnsi="宋体" w:cs="宋体" w:eastAsia="宋体" w:hint="default"/>
                <w:sz w:val="18"/>
                <w:szCs w:val="18"/>
              </w:rPr>
            </w:pPr>
            <w:r>
              <w:rPr>
                <w:rFonts w:ascii="宋体" w:hAnsi="宋体" w:cs="宋体" w:eastAsia="宋体" w:hint="default"/>
                <w:spacing w:val="-3"/>
                <w:sz w:val="18"/>
                <w:szCs w:val="18"/>
              </w:rPr>
              <w:t>完毕之日止，不超过</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pacing w:val="-5"/>
                <w:sz w:val="18"/>
                <w:szCs w:val="18"/>
              </w:rPr>
              <w:t>年，分三批行权。其中，首期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限制性股票（占比</w:t>
            </w:r>
            <w:r>
              <w:rPr>
                <w:rFonts w:ascii="宋体" w:hAnsi="宋体" w:cs="宋体" w:eastAsia="宋体" w:hint="default"/>
                <w:spacing w:val="-44"/>
                <w:sz w:val="18"/>
                <w:szCs w:val="18"/>
              </w:rPr>
              <w:t> </w:t>
            </w:r>
            <w:r>
              <w:rPr>
                <w:rFonts w:ascii="宋体" w:hAnsi="宋体" w:cs="宋体" w:eastAsia="宋体" w:hint="default"/>
                <w:spacing w:val="-6"/>
                <w:sz w:val="18"/>
                <w:szCs w:val="18"/>
              </w:rPr>
              <w:t>40%</w:t>
            </w:r>
            <w:r>
              <w:rPr>
                <w:rFonts w:ascii="宋体" w:hAnsi="宋体" w:cs="宋体" w:eastAsia="宋体" w:hint="default"/>
                <w:spacing w:val="-6"/>
                <w:sz w:val="18"/>
                <w:szCs w:val="18"/>
              </w:rPr>
              <w:t>），第二期限制性股票（占比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30%</w:t>
            </w:r>
            <w:r>
              <w:rPr>
                <w:rFonts w:ascii="宋体" w:hAnsi="宋体" w:cs="宋体" w:eastAsia="宋体" w:hint="default"/>
                <w:spacing w:val="-8"/>
                <w:sz w:val="18"/>
                <w:szCs w:val="18"/>
              </w:rPr>
              <w:t>）、第三期限制性股票（占比</w:t>
            </w:r>
            <w:r>
              <w:rPr>
                <w:rFonts w:ascii="宋体" w:hAnsi="宋体" w:cs="宋体" w:eastAsia="宋体" w:hint="default"/>
                <w:spacing w:val="-35"/>
                <w:sz w:val="18"/>
                <w:szCs w:val="18"/>
              </w:rPr>
              <w:t> </w:t>
            </w:r>
            <w:r>
              <w:rPr>
                <w:rFonts w:ascii="宋体" w:hAnsi="宋体" w:cs="宋体" w:eastAsia="宋体" w:hint="default"/>
                <w:spacing w:val="-2"/>
                <w:sz w:val="18"/>
                <w:szCs w:val="18"/>
              </w:rPr>
              <w:t>30%</w:t>
            </w:r>
            <w:r>
              <w:rPr>
                <w:rFonts w:ascii="宋体" w:hAnsi="宋体" w:cs="宋体" w:eastAsia="宋体" w:hint="default"/>
                <w:spacing w:val="-2"/>
                <w:sz w:val="18"/>
                <w:szCs w:val="18"/>
              </w:rPr>
              <w:t>）的合同剩余期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限分别为</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15" w:hRule="exact"/>
        </w:trPr>
        <w:tc>
          <w:tcPr>
            <w:tcW w:w="545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408" w:lineRule="auto" w:before="63"/>
        <w:ind w:left="1557" w:right="1121"/>
        <w:jc w:val="left"/>
      </w:pPr>
      <w:r>
        <w:rPr/>
        <w:t>其他说明 公司于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6</w:t>
      </w:r>
      <w:r>
        <w:rPr/>
        <w:t>日召开</w:t>
      </w:r>
      <w:r>
        <w:rPr>
          <w:rFonts w:ascii="宋体" w:hAnsi="宋体" w:cs="宋体" w:eastAsia="宋体" w:hint="default"/>
        </w:rPr>
        <w:t>2015</w:t>
      </w:r>
      <w:r>
        <w:rPr/>
        <w:t>年度股东大会，审议通过了《关于</w:t>
      </w:r>
      <w:r>
        <w:rPr>
          <w:rFonts w:ascii="宋体" w:hAnsi="宋体" w:cs="宋体" w:eastAsia="宋体" w:hint="default"/>
        </w:rPr>
        <w:t>&lt;</w:t>
      </w:r>
      <w:r>
        <w:rPr/>
        <w:t>光一科技股份有限公司限制性股票</w:t>
      </w:r>
    </w:p>
    <w:p>
      <w:pPr>
        <w:pStyle w:val="BodyText"/>
        <w:spacing w:line="408" w:lineRule="auto"/>
        <w:ind w:right="0"/>
        <w:jc w:val="left"/>
      </w:pPr>
      <w:r>
        <w:rPr/>
        <w:t>激励计划（草案）及其摘要</w:t>
      </w:r>
      <w:r>
        <w:rPr>
          <w:rFonts w:ascii="宋体" w:hAnsi="宋体" w:cs="宋体" w:eastAsia="宋体" w:hint="default"/>
        </w:rPr>
        <w:t>&gt;</w:t>
      </w:r>
      <w:r>
        <w:rPr/>
        <w:t>的议案》（以下简称“激励计划”），</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日召开第三届董事会第四 次会议审议通过了《光一科技股份有限公司关于向激励对象授予限制性股票的议案》，</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8</w:t>
      </w:r>
      <w:r>
        <w:rPr/>
        <w:t>日召开 第三届董事会第五次会议，因公司实施了</w:t>
      </w:r>
      <w:r>
        <w:rPr>
          <w:rFonts w:ascii="宋体" w:hAnsi="宋体" w:cs="宋体" w:eastAsia="宋体" w:hint="default"/>
        </w:rPr>
        <w:t>2015 </w:t>
      </w:r>
      <w:r>
        <w:rPr/>
        <w:t>年度权益分派方案，对限制性股票的授予价格进行调整情</w:t>
      </w:r>
      <w:r>
        <w:rPr>
          <w:spacing w:val="-32"/>
        </w:rPr>
        <w:t> </w:t>
      </w:r>
      <w:r>
        <w:rPr>
          <w:spacing w:val="-32"/>
        </w:rPr>
      </w:r>
      <w:r>
        <w:rPr>
          <w:spacing w:val="-1"/>
        </w:rPr>
        <w:t>况，公司本次激励计划拟授予的限制性股票数量</w:t>
      </w:r>
      <w:r>
        <w:rPr>
          <w:rFonts w:ascii="宋体" w:hAnsi="宋体" w:cs="宋体" w:eastAsia="宋体" w:hint="default"/>
          <w:spacing w:val="-1"/>
        </w:rPr>
        <w:t>520.00</w:t>
      </w:r>
      <w:r>
        <w:rPr>
          <w:spacing w:val="-1"/>
        </w:rPr>
        <w:t>万股，其中首次授予</w:t>
      </w:r>
      <w:r>
        <w:rPr>
          <w:rFonts w:ascii="宋体" w:hAnsi="宋体" w:cs="宋体" w:eastAsia="宋体" w:hint="default"/>
          <w:spacing w:val="-1"/>
        </w:rPr>
        <w:t>490.00</w:t>
      </w:r>
      <w:r>
        <w:rPr>
          <w:spacing w:val="-1"/>
        </w:rPr>
        <w:t>万股，预留</w:t>
      </w:r>
      <w:r>
        <w:rPr>
          <w:rFonts w:ascii="宋体" w:hAnsi="宋体" w:cs="宋体" w:eastAsia="宋体" w:hint="default"/>
          <w:spacing w:val="-1"/>
        </w:rPr>
        <w:t>30.00</w:t>
      </w:r>
      <w:r>
        <w:rPr>
          <w:spacing w:val="-1"/>
        </w:rPr>
        <w:t>万股。</w:t>
      </w:r>
      <w:r>
        <w:rPr>
          <w:spacing w:val="-77"/>
        </w:rPr>
        <w:t> </w:t>
      </w:r>
      <w:r>
        <w:rPr/>
        <w:t>限制性股票来源为公司向激励对象定向发行的公司人民币 </w:t>
      </w:r>
      <w:r>
        <w:rPr>
          <w:rFonts w:ascii="宋体" w:hAnsi="宋体" w:cs="宋体" w:eastAsia="宋体" w:hint="default"/>
        </w:rPr>
        <w:t>A</w:t>
      </w:r>
      <w:r>
        <w:rPr>
          <w:rFonts w:ascii="宋体" w:hAnsi="宋体" w:cs="宋体" w:eastAsia="宋体" w:hint="default"/>
          <w:spacing w:val="-3"/>
        </w:rPr>
        <w:t> </w:t>
      </w:r>
      <w:r>
        <w:rPr/>
        <w:t>股普通股，授予价格</w:t>
      </w:r>
      <w:r>
        <w:rPr>
          <w:rFonts w:ascii="宋体" w:hAnsi="宋体" w:cs="宋体" w:eastAsia="宋体" w:hint="default"/>
        </w:rPr>
        <w:t>19.48</w:t>
      </w:r>
      <w:r>
        <w:rPr/>
        <w:t>元</w:t>
      </w:r>
      <w:r>
        <w:rPr>
          <w:rFonts w:ascii="宋体" w:hAnsi="宋体" w:cs="宋体" w:eastAsia="宋体" w:hint="default"/>
        </w:rPr>
        <w:t>/</w:t>
      </w:r>
      <w:r>
        <w:rPr/>
        <w:t>股。</w:t>
      </w:r>
    </w:p>
    <w:p>
      <w:pPr>
        <w:pStyle w:val="BodyText"/>
        <w:spacing w:line="408" w:lineRule="auto"/>
        <w:ind w:right="1131" w:firstLine="423"/>
        <w:jc w:val="both"/>
      </w:pPr>
      <w:r>
        <w:rPr>
          <w:spacing w:val="-1"/>
        </w:rPr>
        <w:t>本激励计划的有效期为限制性股票授予之日起至所有限制性股票解锁或回购注销完毕之日止，不超过</w:t>
      </w:r>
      <w:r>
        <w:rPr/>
        <w:t> </w:t>
      </w:r>
      <w:r>
        <w:rPr>
          <w:rFonts w:ascii="宋体" w:hAnsi="宋体" w:cs="宋体" w:eastAsia="宋体" w:hint="default"/>
        </w:rPr>
        <w:t>5</w:t>
      </w:r>
      <w:r>
        <w:rPr/>
        <w:t>年。本激励计划授予的限制性股票自授予之日起</w:t>
      </w:r>
      <w:r>
        <w:rPr>
          <w:rFonts w:ascii="宋体" w:hAnsi="宋体" w:cs="宋体" w:eastAsia="宋体" w:hint="default"/>
        </w:rPr>
        <w:t>12</w:t>
      </w:r>
      <w:r>
        <w:rPr/>
        <w:t>个月内为锁定期。激励对象，根据本激励计划获授的</w:t>
      </w:r>
      <w:r>
        <w:rPr>
          <w:spacing w:val="-29"/>
        </w:rPr>
        <w:t> </w:t>
      </w:r>
      <w:r>
        <w:rPr>
          <w:spacing w:val="-29"/>
        </w:rPr>
      </w:r>
      <w:r>
        <w:rPr>
          <w:spacing w:val="-1"/>
        </w:rPr>
        <w:t>限制性股票在锁定期内不得转让、用于偿还债务。激励对象因获授的尚未解锁的限制性股票而取得的资本</w:t>
      </w:r>
      <w:r>
        <w:rPr>
          <w:spacing w:val="-81"/>
        </w:rPr>
        <w:t> </w:t>
      </w:r>
      <w:r>
        <w:rPr>
          <w:spacing w:val="-81"/>
        </w:rPr>
      </w:r>
      <w:r>
        <w:rPr>
          <w:spacing w:val="-1"/>
        </w:rPr>
        <w:t>公积转增股本、派息、派发股票红利、股票拆细等股份和红利同时按本激励计划进行锁定。在解锁期，公</w:t>
      </w:r>
      <w:r>
        <w:rPr>
          <w:spacing w:val="-83"/>
        </w:rPr>
        <w:t> </w:t>
      </w:r>
      <w:r>
        <w:rPr>
          <w:spacing w:val="-83"/>
        </w:rPr>
      </w:r>
      <w:r>
        <w:rPr>
          <w:spacing w:val="-1"/>
        </w:rPr>
        <w:t>司为满足解锁条件的激励对象办理解锁事宜，未满足解锁条件的激励对象持有的限制性股票由公司回购注</w:t>
      </w:r>
      <w:r>
        <w:rPr>
          <w:spacing w:val="-81"/>
        </w:rPr>
        <w:t> </w:t>
      </w:r>
      <w:r>
        <w:rPr>
          <w:spacing w:val="-81"/>
        </w:rPr>
      </w:r>
      <w:r>
        <w:rPr/>
        <w:t>销。</w:t>
      </w:r>
    </w:p>
    <w:p>
      <w:pPr>
        <w:pStyle w:val="BodyText"/>
        <w:spacing w:line="408" w:lineRule="auto"/>
        <w:ind w:right="1132" w:firstLine="423"/>
        <w:jc w:val="both"/>
      </w:pPr>
      <w:r>
        <w:rPr>
          <w:spacing w:val="-1"/>
        </w:rPr>
        <w:t>根据公司</w:t>
      </w:r>
      <w:r>
        <w:rPr>
          <w:rFonts w:ascii="宋体" w:hAnsi="宋体" w:cs="宋体" w:eastAsia="宋体" w:hint="default"/>
          <w:spacing w:val="-1"/>
        </w:rPr>
        <w:t>2016</w:t>
      </w:r>
      <w:r>
        <w:rPr>
          <w:spacing w:val="-1"/>
        </w:rPr>
        <w:t>年度股东大会审议通过的《关于</w:t>
      </w:r>
      <w:r>
        <w:rPr>
          <w:rFonts w:ascii="宋体" w:hAnsi="宋体" w:cs="宋体" w:eastAsia="宋体" w:hint="default"/>
          <w:spacing w:val="-1"/>
        </w:rPr>
        <w:t>2016</w:t>
      </w:r>
      <w:r>
        <w:rPr>
          <w:spacing w:val="-1"/>
        </w:rPr>
        <w:t>年度利润分配及资本公积金转增股本的议案》，按</w:t>
      </w:r>
      <w:r>
        <w:rPr/>
        <w:t> 每</w:t>
      </w:r>
      <w:r>
        <w:rPr>
          <w:rFonts w:ascii="宋体" w:hAnsi="宋体" w:cs="宋体" w:eastAsia="宋体" w:hint="default"/>
        </w:rPr>
        <w:t>10</w:t>
      </w:r>
      <w:r>
        <w:rPr/>
        <w:t>股转增</w:t>
      </w:r>
      <w:r>
        <w:rPr>
          <w:rFonts w:ascii="宋体" w:hAnsi="宋体" w:cs="宋体" w:eastAsia="宋体" w:hint="default"/>
        </w:rPr>
        <w:t>15</w:t>
      </w:r>
      <w:r>
        <w:rPr/>
        <w:t>股的比例以资本公积金转增股本，授予的限制性股票数量及回购价格亦作相应的调整。</w:t>
      </w:r>
    </w:p>
    <w:p>
      <w:pPr>
        <w:pStyle w:val="BodyText"/>
        <w:spacing w:line="408" w:lineRule="auto"/>
        <w:ind w:left="1134" w:right="1130" w:firstLine="423"/>
        <w:jc w:val="both"/>
      </w:pPr>
      <w:r>
        <w:rPr/>
        <w:t>根据</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日召开的第三届董事会第十六次会议审议通过的《关于公司限制性股票激励计划第 一个解锁期可解锁的议案》第一次解锁的条件已经成就，共申请解锁</w:t>
      </w:r>
      <w:r>
        <w:rPr>
          <w:rFonts w:ascii="宋体" w:hAnsi="宋体" w:cs="宋体" w:eastAsia="宋体" w:hint="default"/>
        </w:rPr>
        <w:t>485</w:t>
      </w:r>
      <w:r>
        <w:rPr/>
        <w:t>万股股票。</w:t>
      </w:r>
    </w:p>
    <w:p>
      <w:pPr>
        <w:pStyle w:val="BodyText"/>
        <w:spacing w:line="408" w:lineRule="auto"/>
        <w:ind w:left="1134" w:right="1138" w:firstLine="423"/>
        <w:jc w:val="both"/>
      </w:pPr>
      <w:r>
        <w:rPr/>
        <w:t>根据</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日召开的第三届董事会第十六次会议审议通过的《关于回购注销部分限制性股票的 议案》，部分激励对象因离职需回购其所持有的限制性股票，共计回购限制性股票</w:t>
      </w:r>
      <w:r>
        <w:rPr>
          <w:rFonts w:ascii="宋体" w:hAnsi="宋体" w:cs="宋体" w:eastAsia="宋体" w:hint="default"/>
        </w:rPr>
        <w:t>455,000.00</w:t>
      </w:r>
      <w:r>
        <w:rPr/>
        <w:t>股。</w:t>
      </w:r>
    </w:p>
    <w:p>
      <w:pPr>
        <w:pStyle w:val="BodyText"/>
        <w:spacing w:line="240" w:lineRule="auto"/>
        <w:ind w:left="1557" w:right="1121"/>
        <w:jc w:val="left"/>
      </w:pPr>
      <w:r>
        <w:rPr/>
        <w:t>首次解锁安排如下表所示：</w:t>
      </w:r>
    </w:p>
    <w:p>
      <w:pPr>
        <w:spacing w:line="240" w:lineRule="auto" w:before="12"/>
        <w:rPr>
          <w:rFonts w:ascii="宋体" w:hAnsi="宋体" w:cs="宋体" w:eastAsia="宋体" w:hint="default"/>
          <w:sz w:val="9"/>
          <w:szCs w:val="9"/>
        </w:rPr>
      </w:pPr>
    </w:p>
    <w:tbl>
      <w:tblPr>
        <w:tblW w:w="0" w:type="auto"/>
        <w:jc w:val="left"/>
        <w:tblInd w:w="1113" w:type="dxa"/>
        <w:tblLayout w:type="fixed"/>
        <w:tblCellMar>
          <w:top w:w="0" w:type="dxa"/>
          <w:left w:w="0" w:type="dxa"/>
          <w:bottom w:w="0" w:type="dxa"/>
          <w:right w:w="0" w:type="dxa"/>
        </w:tblCellMar>
        <w:tblLook w:val="01E0"/>
      </w:tblPr>
      <w:tblGrid>
        <w:gridCol w:w="7660"/>
        <w:gridCol w:w="1985"/>
      </w:tblGrid>
      <w:tr>
        <w:trPr>
          <w:trHeight w:val="440" w:hRule="exact"/>
        </w:trPr>
        <w:tc>
          <w:tcPr>
            <w:tcW w:w="76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解锁时间</w:t>
            </w:r>
          </w:p>
        </w:tc>
        <w:tc>
          <w:tcPr>
            <w:tcW w:w="19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解锁比例</w:t>
            </w:r>
          </w:p>
        </w:tc>
      </w:tr>
      <w:tr>
        <w:trPr>
          <w:trHeight w:val="440" w:hRule="exact"/>
        </w:trPr>
        <w:tc>
          <w:tcPr>
            <w:tcW w:w="76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自首次授权日起</w:t>
            </w:r>
            <w:r>
              <w:rPr>
                <w:rFonts w:ascii="宋体" w:hAnsi="宋体" w:cs="宋体" w:eastAsia="宋体" w:hint="default"/>
                <w:sz w:val="18"/>
                <w:szCs w:val="18"/>
              </w:rPr>
              <w:t>12</w:t>
            </w:r>
            <w:r>
              <w:rPr>
                <w:rFonts w:ascii="宋体" w:hAnsi="宋体" w:cs="宋体" w:eastAsia="宋体" w:hint="default"/>
                <w:sz w:val="18"/>
                <w:szCs w:val="18"/>
              </w:rPr>
              <w:t>个月后的首个交易日起至首次授权日起</w:t>
            </w:r>
            <w:r>
              <w:rPr>
                <w:rFonts w:ascii="宋体" w:hAnsi="宋体" w:cs="宋体" w:eastAsia="宋体" w:hint="default"/>
                <w:sz w:val="18"/>
                <w:szCs w:val="18"/>
              </w:rPr>
              <w:t>24</w:t>
            </w:r>
            <w:r>
              <w:rPr>
                <w:rFonts w:ascii="宋体" w:hAnsi="宋体" w:cs="宋体" w:eastAsia="宋体" w:hint="default"/>
                <w:sz w:val="18"/>
                <w:szCs w:val="18"/>
              </w:rPr>
              <w:t>个月内的最后一个交易日当日止</w:t>
            </w:r>
          </w:p>
        </w:tc>
        <w:tc>
          <w:tcPr>
            <w:tcW w:w="19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40%</w:t>
            </w:r>
          </w:p>
        </w:tc>
      </w:tr>
    </w:tbl>
    <w:p>
      <w:pPr>
        <w:spacing w:after="0" w:line="240" w:lineRule="auto"/>
        <w:jc w:val="center"/>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13" w:type="dxa"/>
        <w:tblLayout w:type="fixed"/>
        <w:tblCellMar>
          <w:top w:w="0" w:type="dxa"/>
          <w:left w:w="0" w:type="dxa"/>
          <w:bottom w:w="0" w:type="dxa"/>
          <w:right w:w="0" w:type="dxa"/>
        </w:tblCellMar>
        <w:tblLook w:val="01E0"/>
      </w:tblPr>
      <w:tblGrid>
        <w:gridCol w:w="7660"/>
        <w:gridCol w:w="1985"/>
      </w:tblGrid>
      <w:tr>
        <w:trPr>
          <w:trHeight w:val="440" w:hRule="exact"/>
        </w:trPr>
        <w:tc>
          <w:tcPr>
            <w:tcW w:w="76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自首次授权日起</w:t>
            </w:r>
            <w:r>
              <w:rPr>
                <w:rFonts w:ascii="宋体" w:hAnsi="宋体" w:cs="宋体" w:eastAsia="宋体" w:hint="default"/>
                <w:sz w:val="18"/>
                <w:szCs w:val="18"/>
              </w:rPr>
              <w:t>24</w:t>
            </w:r>
            <w:r>
              <w:rPr>
                <w:rFonts w:ascii="宋体" w:hAnsi="宋体" w:cs="宋体" w:eastAsia="宋体" w:hint="default"/>
                <w:sz w:val="18"/>
                <w:szCs w:val="18"/>
              </w:rPr>
              <w:t>个月后的首个交易日起至首次授权日起</w:t>
            </w:r>
            <w:r>
              <w:rPr>
                <w:rFonts w:ascii="宋体" w:hAnsi="宋体" w:cs="宋体" w:eastAsia="宋体" w:hint="default"/>
                <w:sz w:val="18"/>
                <w:szCs w:val="18"/>
              </w:rPr>
              <w:t>36</w:t>
            </w:r>
            <w:r>
              <w:rPr>
                <w:rFonts w:ascii="宋体" w:hAnsi="宋体" w:cs="宋体" w:eastAsia="宋体" w:hint="default"/>
                <w:sz w:val="18"/>
                <w:szCs w:val="18"/>
              </w:rPr>
              <w:t>个月内的最后一个交易日当日止</w:t>
            </w:r>
          </w:p>
        </w:tc>
        <w:tc>
          <w:tcPr>
            <w:tcW w:w="19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30%</w:t>
            </w:r>
          </w:p>
        </w:tc>
      </w:tr>
      <w:tr>
        <w:trPr>
          <w:trHeight w:val="440" w:hRule="exact"/>
        </w:trPr>
        <w:tc>
          <w:tcPr>
            <w:tcW w:w="76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自首次授权日起</w:t>
            </w:r>
            <w:r>
              <w:rPr>
                <w:rFonts w:ascii="宋体" w:hAnsi="宋体" w:cs="宋体" w:eastAsia="宋体" w:hint="default"/>
                <w:sz w:val="18"/>
                <w:szCs w:val="18"/>
              </w:rPr>
              <w:t>36</w:t>
            </w:r>
            <w:r>
              <w:rPr>
                <w:rFonts w:ascii="宋体" w:hAnsi="宋体" w:cs="宋体" w:eastAsia="宋体" w:hint="default"/>
                <w:sz w:val="18"/>
                <w:szCs w:val="18"/>
              </w:rPr>
              <w:t>个月后的首个交易日起至首次授权日起</w:t>
            </w:r>
            <w:r>
              <w:rPr>
                <w:rFonts w:ascii="宋体" w:hAnsi="宋体" w:cs="宋体" w:eastAsia="宋体" w:hint="default"/>
                <w:sz w:val="18"/>
                <w:szCs w:val="18"/>
              </w:rPr>
              <w:t>48</w:t>
            </w:r>
            <w:r>
              <w:rPr>
                <w:rFonts w:ascii="宋体" w:hAnsi="宋体" w:cs="宋体" w:eastAsia="宋体" w:hint="default"/>
                <w:sz w:val="18"/>
                <w:szCs w:val="18"/>
              </w:rPr>
              <w:t>个月内的最后一个交易日当日止</w:t>
            </w:r>
          </w:p>
        </w:tc>
        <w:tc>
          <w:tcPr>
            <w:tcW w:w="19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30%</w:t>
            </w:r>
          </w:p>
        </w:tc>
      </w:tr>
    </w:tbl>
    <w:p>
      <w:pPr>
        <w:pStyle w:val="Heading4"/>
        <w:spacing w:line="240" w:lineRule="auto" w:before="63"/>
        <w:ind w:right="1121"/>
        <w:jc w:val="left"/>
        <w:rPr>
          <w:b w:val="0"/>
          <w:bCs w:val="0"/>
        </w:rPr>
      </w:pPr>
      <w:bookmarkStart w:name="2、以权益结算的股份支付情况" w:id="462"/>
      <w:bookmarkEnd w:id="462"/>
      <w:r>
        <w:rPr>
          <w:b w:val="0"/>
          <w:bCs w:val="0"/>
        </w:rPr>
      </w:r>
      <w:r>
        <w:rPr>
          <w:rFonts w:ascii="宋体" w:hAnsi="宋体" w:cs="宋体" w:eastAsia="宋体" w:hint="default"/>
        </w:rPr>
        <w:t>2</w:t>
      </w:r>
      <w:r>
        <w:rPr/>
        <w:t>、以权益结算的股份支付情况</w:t>
      </w:r>
      <w:r>
        <w:rPr>
          <w:b w:val="0"/>
          <w:bCs w:val="0"/>
        </w:rPr>
      </w:r>
    </w:p>
    <w:p>
      <w:pPr>
        <w:spacing w:line="240" w:lineRule="auto" w:before="9"/>
        <w:rPr>
          <w:rFonts w:ascii="宋体" w:hAnsi="宋体" w:cs="宋体" w:eastAsia="宋体" w:hint="default"/>
          <w:b/>
          <w:bCs/>
          <w:sz w:val="14"/>
          <w:szCs w:val="14"/>
        </w:rPr>
      </w:pPr>
    </w:p>
    <w:p>
      <w:pPr>
        <w:pStyle w:val="BodyText"/>
        <w:spacing w:line="240" w:lineRule="auto" w:before="0"/>
        <w:ind w:left="1134" w:right="1121"/>
        <w:jc w:val="left"/>
      </w:pPr>
      <w:r>
        <w:rPr>
          <w:sz w:val="18"/>
          <w:szCs w:val="18"/>
        </w:rPr>
        <w:t>√ </w:t>
      </w:r>
      <w:r>
        <w:rPr/>
        <w:t>适用 □</w:t>
      </w:r>
      <w:r>
        <w:rPr>
          <w:spacing w:val="14"/>
        </w:rPr>
        <w:t> </w:t>
      </w:r>
      <w:r>
        <w:rPr/>
        <w:t>不适用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4985"/>
        <w:gridCol w:w="4584"/>
      </w:tblGrid>
      <w:tr>
        <w:trPr>
          <w:trHeight w:val="415" w:hRule="exact"/>
        </w:trPr>
        <w:tc>
          <w:tcPr>
            <w:tcW w:w="498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Black-Scholes </w:t>
            </w:r>
            <w:r>
              <w:rPr>
                <w:rFonts w:ascii="宋体" w:hAnsi="宋体" w:cs="宋体" w:eastAsia="宋体" w:hint="default"/>
                <w:sz w:val="18"/>
                <w:szCs w:val="18"/>
              </w:rPr>
              <w:t>模型定价</w:t>
            </w:r>
          </w:p>
        </w:tc>
      </w:tr>
      <w:tr>
        <w:trPr>
          <w:trHeight w:val="407" w:hRule="exact"/>
        </w:trPr>
        <w:tc>
          <w:tcPr>
            <w:tcW w:w="4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预计可以达到行权条件，被授予对象均可行权</w:t>
            </w:r>
          </w:p>
        </w:tc>
      </w:tr>
      <w:tr>
        <w:trPr>
          <w:trHeight w:val="407" w:hRule="exact"/>
        </w:trPr>
        <w:tc>
          <w:tcPr>
            <w:tcW w:w="4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8" w:hRule="exact"/>
        </w:trPr>
        <w:tc>
          <w:tcPr>
            <w:tcW w:w="498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13,553,384.01</w:t>
            </w:r>
          </w:p>
        </w:tc>
      </w:tr>
      <w:tr>
        <w:trPr>
          <w:trHeight w:val="414" w:hRule="exact"/>
        </w:trPr>
        <w:tc>
          <w:tcPr>
            <w:tcW w:w="498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3,519,723.81</w:t>
            </w:r>
          </w:p>
        </w:tc>
      </w:tr>
    </w:tbl>
    <w:p>
      <w:pPr>
        <w:pStyle w:val="Heading4"/>
        <w:spacing w:line="240" w:lineRule="auto" w:before="63"/>
        <w:ind w:right="1121"/>
        <w:jc w:val="left"/>
        <w:rPr>
          <w:b w:val="0"/>
          <w:bCs w:val="0"/>
        </w:rPr>
      </w:pPr>
      <w:bookmarkStart w:name="3、以现金结算的股份支付情况" w:id="463"/>
      <w:bookmarkEnd w:id="463"/>
      <w:r>
        <w:rPr>
          <w:b w:val="0"/>
          <w:bCs w:val="0"/>
        </w:rPr>
      </w:r>
      <w:r>
        <w:rPr>
          <w:rFonts w:ascii="宋体" w:hAnsi="宋体" w:cs="宋体" w:eastAsia="宋体" w:hint="default"/>
        </w:rPr>
        <w:t>3</w:t>
      </w:r>
      <w:r>
        <w:rPr/>
        <w:t>、以现金结算的股份支付情况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79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股份支付的修改、终止情况" w:id="464"/>
      <w:bookmarkEnd w:id="464"/>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391" w:lineRule="auto" w:before="46"/>
        <w:ind w:left="1133" w:right="83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其他" w:id="465"/>
      <w:bookmarkEnd w:id="465"/>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66"/>
      <w:bookmarkEnd w:id="466"/>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7"/>
      <w:bookmarkEnd w:id="467"/>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408" w:lineRule="auto" w:before="61"/>
        <w:ind w:right="4873"/>
        <w:jc w:val="left"/>
        <w:rPr>
          <w:rFonts w:ascii="宋体" w:hAnsi="宋体" w:cs="宋体" w:eastAsia="宋体" w:hint="default"/>
        </w:rPr>
      </w:pPr>
      <w:r>
        <w:rPr/>
        <w:t>资产负债表日存在的重要承诺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日，本公司不存在需要披露的重要承诺事项。 </w:t>
      </w:r>
      <w:bookmarkStart w:name="2、或有事项" w:id="468"/>
      <w:bookmarkEnd w:id="468"/>
      <w:r>
        <w:rPr/>
      </w:r>
      <w:r>
        <w:rPr>
          <w:rFonts w:ascii="宋体" w:hAnsi="宋体" w:cs="宋体" w:eastAsia="宋体" w:hint="default"/>
          <w:b/>
          <w:bCs/>
        </w:rPr>
        <w:t>2</w:t>
      </w:r>
      <w:r>
        <w:rPr>
          <w:rFonts w:ascii="宋体" w:hAnsi="宋体" w:cs="宋体" w:eastAsia="宋体" w:hint="default"/>
          <w:b/>
          <w:bCs/>
        </w:rPr>
        <w:t>、或有事项</w:t>
      </w:r>
      <w:r>
        <w:rPr>
          <w:rFonts w:ascii="宋体" w:hAnsi="宋体" w:cs="宋体" w:eastAsia="宋体" w:hint="default"/>
        </w:rPr>
      </w:r>
    </w:p>
    <w:p>
      <w:pPr>
        <w:spacing w:line="408" w:lineRule="auto" w:before="46"/>
        <w:ind w:left="1133" w:right="5293" w:firstLine="0"/>
        <w:jc w:val="left"/>
        <w:rPr>
          <w:rFonts w:ascii="宋体" w:hAnsi="宋体" w:cs="宋体" w:eastAsia="宋体" w:hint="default"/>
          <w:sz w:val="21"/>
          <w:szCs w:val="21"/>
        </w:rPr>
      </w:pPr>
      <w:bookmarkStart w:name="（1）资产负债表日存在的重要或有事项" w:id="469"/>
      <w:bookmarkEnd w:id="469"/>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日，本公司不存在需要披露的或有事项。</w:t>
      </w:r>
    </w:p>
    <w:p>
      <w:pPr>
        <w:spacing w:line="408" w:lineRule="auto" w:before="46"/>
        <w:ind w:left="1134" w:right="5586" w:firstLine="0"/>
        <w:jc w:val="left"/>
        <w:rPr>
          <w:rFonts w:ascii="宋体" w:hAnsi="宋体" w:cs="宋体" w:eastAsia="宋体" w:hint="default"/>
          <w:sz w:val="21"/>
          <w:szCs w:val="21"/>
        </w:rPr>
      </w:pPr>
      <w:bookmarkStart w:name="（2）公司没有需要披露的重要或有事项，也应予以说明" w:id="470"/>
      <w:bookmarkEnd w:id="470"/>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spacing w:line="381" w:lineRule="auto" w:before="46"/>
        <w:ind w:left="1134" w:right="7918" w:firstLine="0"/>
        <w:jc w:val="left"/>
        <w:rPr>
          <w:rFonts w:ascii="宋体" w:hAnsi="宋体" w:cs="宋体" w:eastAsia="宋体" w:hint="default"/>
          <w:sz w:val="21"/>
          <w:szCs w:val="21"/>
        </w:rPr>
      </w:pPr>
      <w:bookmarkStart w:name="3、其他" w:id="471"/>
      <w:bookmarkEnd w:id="471"/>
      <w:r>
        <w:rPr/>
      </w: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72"/>
      <w:bookmarkEnd w:id="472"/>
      <w:r>
        <w:rPr>
          <w:rFonts w:ascii="宋体" w:hAnsi="宋体" w:cs="宋体" w:eastAsia="宋体" w:hint="default"/>
          <w:b/>
          <w:bCs/>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 重要的非调整事项" w:id="473"/>
      <w:bookmarkEnd w:id="473"/>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408" w:lineRule="auto" w:before="69"/>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 利润分配情况" w:id="474"/>
      <w:bookmarkEnd w:id="474"/>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ind w:left="1134"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0"/>
        <w:jc w:val="both"/>
        <w:rPr>
          <w:b w:val="0"/>
          <w:bCs w:val="0"/>
        </w:rPr>
      </w:pPr>
      <w:bookmarkStart w:name="3、 销售退回" w:id="475"/>
      <w:bookmarkEnd w:id="475"/>
      <w:r>
        <w:rPr>
          <w:b w:val="0"/>
          <w:bCs w:val="0"/>
        </w:rPr>
      </w:r>
      <w:r>
        <w:rPr>
          <w:rFonts w:ascii="宋体" w:hAnsi="宋体" w:cs="宋体" w:eastAsia="宋体" w:hint="default"/>
        </w:rPr>
        <w:t>3</w:t>
      </w:r>
      <w:r>
        <w:rPr/>
        <w:t>、</w:t>
      </w:r>
      <w:r>
        <w:rPr>
          <w:spacing w:val="-63"/>
        </w:rPr>
        <w:t> </w:t>
      </w:r>
      <w:r>
        <w:rPr/>
        <w:t>销售退回</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4、 其他资产负债表日后事项说明" w:id="476"/>
      <w:bookmarkEnd w:id="476"/>
      <w:r>
        <w:rPr>
          <w:b w:val="0"/>
          <w:bCs w:val="0"/>
        </w:rPr>
      </w:r>
      <w:r>
        <w:rPr>
          <w:rFonts w:ascii="宋体" w:hAnsi="宋体" w:cs="宋体" w:eastAsia="宋体" w:hint="default"/>
        </w:rPr>
        <w:t>4</w:t>
      </w:r>
      <w:r>
        <w:rPr/>
        <w:t>、</w:t>
      </w:r>
      <w:r>
        <w:rPr>
          <w:spacing w:val="-67"/>
        </w:rPr>
        <w:t> </w:t>
      </w:r>
      <w:r>
        <w:rPr/>
        <w:t>其他资产负债表日后事项说明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before="0"/>
        <w:ind w:right="1125" w:firstLine="420"/>
        <w:jc w:val="left"/>
      </w:pPr>
      <w:r>
        <w:rPr/>
        <w:t>根据公司</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50"/>
        </w:rPr>
        <w:t> </w:t>
      </w:r>
      <w:r>
        <w:rPr>
          <w:rFonts w:ascii="宋体" w:hAnsi="宋体" w:cs="宋体" w:eastAsia="宋体" w:hint="default"/>
        </w:rPr>
        <w:t>23</w:t>
      </w:r>
      <w:r>
        <w:rPr>
          <w:rFonts w:ascii="宋体" w:hAnsi="宋体" w:cs="宋体" w:eastAsia="宋体" w:hint="default"/>
          <w:spacing w:val="-51"/>
        </w:rPr>
        <w:t> </w:t>
      </w:r>
      <w:r>
        <w:rPr/>
        <w:t>日第三届董事会第二十次会议审议的</w:t>
      </w:r>
      <w:r>
        <w:rPr>
          <w:spacing w:val="-50"/>
        </w:rPr>
        <w:t> </w:t>
      </w:r>
      <w:r>
        <w:rPr>
          <w:rFonts w:ascii="宋体" w:hAnsi="宋体" w:cs="宋体" w:eastAsia="宋体" w:hint="default"/>
        </w:rPr>
        <w:t>2017</w:t>
      </w:r>
      <w:r>
        <w:rPr>
          <w:rFonts w:ascii="宋体" w:hAnsi="宋体" w:cs="宋体" w:eastAsia="宋体" w:hint="default"/>
          <w:spacing w:val="-50"/>
        </w:rPr>
        <w:t> </w:t>
      </w:r>
      <w:r>
        <w:rPr/>
        <w:t>年度利润分配预案，</w:t>
      </w:r>
      <w:r>
        <w:rPr>
          <w:rFonts w:ascii="宋体" w:hAnsi="宋体" w:cs="宋体" w:eastAsia="宋体" w:hint="default"/>
        </w:rPr>
        <w:t>2017</w:t>
      </w:r>
      <w:r>
        <w:rPr>
          <w:rFonts w:ascii="宋体" w:hAnsi="宋体" w:cs="宋体" w:eastAsia="宋体" w:hint="default"/>
          <w:spacing w:val="-49"/>
        </w:rPr>
        <w:t> </w:t>
      </w:r>
      <w:r>
        <w:rPr/>
        <w:t>年度拟 不分派现金红利，不以资本公积金转增股本。</w:t>
      </w:r>
    </w:p>
    <w:p>
      <w:pPr>
        <w:pStyle w:val="BodyText"/>
        <w:spacing w:line="240" w:lineRule="auto"/>
        <w:ind w:left="1554" w:right="0"/>
        <w:jc w:val="left"/>
      </w:pPr>
      <w:r>
        <w:rPr/>
        <w:t>截至财务报告批准报出日，公司新增短期借款</w:t>
      </w:r>
      <w:r>
        <w:rPr>
          <w:spacing w:val="-60"/>
        </w:rPr>
        <w:t> </w:t>
      </w:r>
      <w:r>
        <w:rPr>
          <w:rFonts w:ascii="宋体" w:hAnsi="宋体" w:cs="宋体" w:eastAsia="宋体" w:hint="default"/>
        </w:rPr>
        <w:t>7,400.00</w:t>
      </w:r>
      <w:r>
        <w:rPr>
          <w:rFonts w:ascii="宋体" w:hAnsi="宋体" w:cs="宋体" w:eastAsia="宋体" w:hint="default"/>
          <w:spacing w:val="-60"/>
        </w:rPr>
        <w:t> </w:t>
      </w:r>
      <w:r>
        <w:rPr/>
        <w:t>万元，归还短期借款</w:t>
      </w:r>
      <w:r>
        <w:rPr>
          <w:spacing w:val="-60"/>
        </w:rPr>
        <w:t> </w:t>
      </w:r>
      <w:r>
        <w:rPr>
          <w:rFonts w:ascii="宋体" w:hAnsi="宋体" w:cs="宋体" w:eastAsia="宋体" w:hint="default"/>
        </w:rPr>
        <w:t>5,000.00</w:t>
      </w:r>
      <w:r>
        <w:rPr>
          <w:rFonts w:ascii="宋体" w:hAnsi="宋体" w:cs="宋体" w:eastAsia="宋体" w:hint="default"/>
          <w:spacing w:val="-60"/>
        </w:rPr>
        <w:t> </w:t>
      </w:r>
      <w:r>
        <w:rPr/>
        <w:t>万元，归还长</w:t>
      </w:r>
    </w:p>
    <w:p>
      <w:pPr>
        <w:spacing w:line="240" w:lineRule="auto" w:before="10"/>
        <w:rPr>
          <w:rFonts w:ascii="宋体" w:hAnsi="宋体" w:cs="宋体" w:eastAsia="宋体" w:hint="default"/>
          <w:sz w:val="14"/>
          <w:szCs w:val="14"/>
        </w:rPr>
      </w:pPr>
    </w:p>
    <w:p>
      <w:pPr>
        <w:spacing w:line="381" w:lineRule="auto" w:before="0"/>
        <w:ind w:left="1133" w:right="8564" w:firstLine="0"/>
        <w:jc w:val="both"/>
        <w:rPr>
          <w:rFonts w:ascii="宋体" w:hAnsi="宋体" w:cs="宋体" w:eastAsia="宋体" w:hint="default"/>
          <w:sz w:val="21"/>
          <w:szCs w:val="21"/>
        </w:rPr>
      </w:pPr>
      <w:r>
        <w:rPr>
          <w:rFonts w:ascii="宋体" w:hAnsi="宋体" w:cs="宋体" w:eastAsia="宋体" w:hint="default"/>
          <w:sz w:val="21"/>
          <w:szCs w:val="21"/>
        </w:rPr>
        <w:t>期借款</w:t>
      </w:r>
      <w:r>
        <w:rPr>
          <w:rFonts w:ascii="宋体" w:hAnsi="宋体" w:cs="宋体" w:eastAsia="宋体" w:hint="default"/>
          <w:spacing w:val="-52"/>
          <w:sz w:val="21"/>
          <w:szCs w:val="21"/>
        </w:rPr>
        <w:t> </w:t>
      </w:r>
      <w:r>
        <w:rPr>
          <w:rFonts w:ascii="宋体" w:hAnsi="宋体" w:cs="宋体" w:eastAsia="宋体" w:hint="default"/>
          <w:sz w:val="21"/>
          <w:szCs w:val="21"/>
        </w:rPr>
        <w:t>1,380.00</w:t>
      </w:r>
      <w:r>
        <w:rPr>
          <w:rFonts w:ascii="宋体" w:hAnsi="宋体" w:cs="宋体" w:eastAsia="宋体" w:hint="default"/>
          <w:spacing w:val="-53"/>
          <w:sz w:val="21"/>
          <w:szCs w:val="21"/>
        </w:rPr>
        <w:t> </w:t>
      </w:r>
      <w:r>
        <w:rPr>
          <w:rFonts w:ascii="宋体" w:hAnsi="宋体" w:cs="宋体" w:eastAsia="宋体" w:hint="default"/>
          <w:sz w:val="21"/>
          <w:szCs w:val="21"/>
        </w:rPr>
        <w:t>万元。 </w:t>
      </w:r>
      <w:bookmarkStart w:name="十六、其他重要事项" w:id="477"/>
      <w:bookmarkEnd w:id="477"/>
      <w:r>
        <w:rPr>
          <w:rFonts w:ascii="宋体" w:hAnsi="宋体" w:cs="宋体" w:eastAsia="宋体" w:hint="default"/>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8"/>
      <w:bookmarkEnd w:id="478"/>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69"/>
        <w:ind w:left="1133" w:right="0"/>
        <w:jc w:val="both"/>
        <w:rPr>
          <w:b w:val="0"/>
          <w:bCs w:val="0"/>
        </w:rPr>
      </w:pPr>
      <w:bookmarkStart w:name="（1）追溯重述法" w:id="479"/>
      <w:bookmarkEnd w:id="479"/>
      <w:r>
        <w:rPr>
          <w:b w:val="0"/>
          <w:bCs w:val="0"/>
        </w:rPr>
      </w:r>
      <w:r>
        <w:rPr/>
        <w:t>（</w:t>
      </w:r>
      <w:r>
        <w:rPr>
          <w:rFonts w:ascii="宋体" w:hAnsi="宋体" w:cs="宋体" w:eastAsia="宋体" w:hint="default"/>
        </w:rPr>
        <w:t>1</w:t>
      </w:r>
      <w:r>
        <w:rPr/>
        <w:t>）追溯重述法</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2）未来适用法" w:id="480"/>
      <w:bookmarkEnd w:id="480"/>
      <w:r>
        <w:rPr>
          <w:b w:val="0"/>
          <w:bCs w:val="0"/>
        </w:rPr>
      </w:r>
      <w:r>
        <w:rPr/>
        <w:t>（</w:t>
      </w:r>
      <w:r>
        <w:rPr>
          <w:rFonts w:ascii="宋体" w:hAnsi="宋体" w:cs="宋体" w:eastAsia="宋体" w:hint="default"/>
        </w:rPr>
        <w:t>2</w:t>
      </w:r>
      <w:r>
        <w:rPr/>
        <w:t>）未来适用法</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债务重组" w:id="481"/>
      <w:bookmarkEnd w:id="481"/>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资产置换" w:id="482"/>
      <w:bookmarkEnd w:id="482"/>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4"/>
        <w:spacing w:line="240" w:lineRule="auto" w:before="46"/>
        <w:ind w:right="0"/>
        <w:jc w:val="both"/>
        <w:rPr>
          <w:b w:val="0"/>
          <w:bCs w:val="0"/>
        </w:rPr>
      </w:pPr>
      <w:bookmarkStart w:name="（1）非货币性资产交换" w:id="483"/>
      <w:bookmarkEnd w:id="483"/>
      <w:r>
        <w:rPr>
          <w:b w:val="0"/>
          <w:bCs w:val="0"/>
        </w:rPr>
      </w:r>
      <w:r>
        <w:rPr/>
        <w:t>（</w:t>
      </w:r>
      <w:r>
        <w:rPr>
          <w:rFonts w:ascii="宋体" w:hAnsi="宋体" w:cs="宋体" w:eastAsia="宋体" w:hint="default"/>
        </w:rPr>
        <w:t>1</w:t>
      </w:r>
      <w:r>
        <w:rPr/>
        <w:t>）非货币性资产交换</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2）其他资产置换" w:id="484"/>
      <w:bookmarkEnd w:id="484"/>
      <w:r>
        <w:rPr>
          <w:b w:val="0"/>
          <w:bCs w:val="0"/>
        </w:rPr>
      </w:r>
      <w:r>
        <w:rPr/>
        <w:t>（</w:t>
      </w:r>
      <w:r>
        <w:rPr>
          <w:rFonts w:ascii="宋体" w:hAnsi="宋体" w:cs="宋体" w:eastAsia="宋体" w:hint="default"/>
        </w:rPr>
        <w:t>2</w:t>
      </w:r>
      <w:r>
        <w:rPr/>
        <w:t>）其他资产置换</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年金计划" w:id="485"/>
      <w:bookmarkEnd w:id="485"/>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终止经营" w:id="486"/>
      <w:bookmarkEnd w:id="486"/>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分部信息" w:id="487"/>
      <w:bookmarkEnd w:id="487"/>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4"/>
        <w:spacing w:line="240" w:lineRule="auto" w:before="46"/>
        <w:ind w:left="1133" w:right="0"/>
        <w:jc w:val="both"/>
        <w:rPr>
          <w:b w:val="0"/>
          <w:bCs w:val="0"/>
        </w:rPr>
      </w:pPr>
      <w:bookmarkStart w:name="（1）报告分部的确定依据与会计政策" w:id="488"/>
      <w:bookmarkEnd w:id="488"/>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013" w:firstLine="423"/>
        <w:jc w:val="left"/>
      </w:pPr>
      <w:r>
        <w:rPr>
          <w:spacing w:val="-3"/>
        </w:rPr>
        <w:t>①经营分部，是指企业内同时满足下列条件的组成部分：</w:t>
      </w:r>
      <w:r>
        <w:rPr>
          <w:spacing w:val="-58"/>
        </w:rPr>
        <w:t> </w:t>
      </w:r>
      <w:r>
        <w:rPr>
          <w:rFonts w:ascii="宋体" w:hAnsi="宋体" w:cs="宋体" w:eastAsia="宋体" w:hint="default"/>
        </w:rPr>
        <w:t>(1)</w:t>
      </w:r>
      <w:r>
        <w:rPr/>
        <w:t>该组成部分能够在日常活动中产生收入、 发生费用；</w:t>
      </w:r>
      <w:r>
        <w:rPr>
          <w:rFonts w:ascii="宋体" w:hAnsi="宋体" w:cs="宋体" w:eastAsia="宋体" w:hint="default"/>
        </w:rPr>
        <w:t>(2)</w:t>
      </w:r>
      <w:r>
        <w:rPr/>
        <w:t>企业管理层能够定期评价该组成部分的经营成果，以决定向其配置资源、评价其业绩；</w:t>
      </w:r>
      <w:r>
        <w:rPr>
          <w:rFonts w:ascii="宋体" w:hAnsi="宋体" w:cs="宋体" w:eastAsia="宋体" w:hint="default"/>
        </w:rPr>
        <w:t>(3) </w:t>
      </w:r>
      <w:r>
        <w:rPr/>
        <w:t>企业能够取得该组成部分的财务状况、经营成果和现金流量等有关会计信息。</w:t>
      </w:r>
    </w:p>
    <w:p>
      <w:pPr>
        <w:spacing w:after="0" w:line="408"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557" w:right="1121"/>
        <w:jc w:val="left"/>
      </w:pPr>
      <w:r>
        <w:rPr/>
        <w:t>重要性标准的判断 </w:t>
      </w:r>
      <w:r>
        <w:rPr>
          <w:spacing w:val="-1"/>
        </w:rPr>
        <w:t>报告分部是指符合经营分部定义，按规定应予披露的经营分部。报告分部的确定应当以经营分部为基</w:t>
      </w:r>
    </w:p>
    <w:p>
      <w:pPr>
        <w:pStyle w:val="BodyText"/>
        <w:spacing w:line="408" w:lineRule="auto"/>
        <w:ind w:right="1110"/>
        <w:jc w:val="both"/>
      </w:pPr>
      <w:r>
        <w:rPr/>
        <w:t>础，而经营分部的划分通常是以不同的风险和报酬为基础，而不论其是否重要。</w:t>
      </w:r>
      <w:r>
        <w:rPr>
          <w:spacing w:val="72"/>
        </w:rPr>
        <w:t> </w:t>
      </w:r>
      <w:r>
        <w:rPr/>
        <w:t>存在多种产品经营或</w:t>
      </w:r>
      <w:r>
        <w:rPr>
          <w:spacing w:val="-100"/>
        </w:rPr>
        <w:t> </w:t>
      </w:r>
      <w:r>
        <w:rPr>
          <w:spacing w:val="-100"/>
        </w:rPr>
      </w:r>
      <w:r>
        <w:rPr>
          <w:spacing w:val="-1"/>
        </w:rPr>
        <w:t>者跨多个地区经营的企业可能会拥有大量规模较小、不是很重要的经营分部，而单独披露如此之多但规模</w:t>
      </w:r>
      <w:r>
        <w:rPr>
          <w:spacing w:val="-81"/>
        </w:rPr>
        <w:t> </w:t>
      </w:r>
      <w:r>
        <w:rPr>
          <w:spacing w:val="-81"/>
        </w:rPr>
      </w:r>
      <w:r>
        <w:rPr/>
        <w:t>较小的经营分部信息不仅会给财务报表使用者带来困惑，也会给财务报告编制者带来不必要的披露成本。 </w:t>
      </w:r>
      <w:r>
        <w:rPr>
          <w:spacing w:val="-1"/>
        </w:rPr>
        <w:t>因此，报告分部的确定应当考虑重要性原则，通常情况下，符合重要性标准的经营分部才能确定为报告分</w:t>
      </w:r>
      <w:r>
        <w:rPr>
          <w:spacing w:val="-82"/>
        </w:rPr>
        <w:t> </w:t>
      </w:r>
      <w:r>
        <w:rPr>
          <w:spacing w:val="-82"/>
        </w:rPr>
      </w:r>
      <w:r>
        <w:rPr/>
        <w:t>部。</w:t>
      </w:r>
    </w:p>
    <w:p>
      <w:pPr>
        <w:pStyle w:val="BodyText"/>
        <w:spacing w:line="240" w:lineRule="auto"/>
        <w:ind w:left="1557" w:right="1121"/>
        <w:jc w:val="left"/>
      </w:pPr>
      <w:r>
        <w:rPr/>
        <w:t>经营分部满足下列条件之一的，应当确定为报告分部：</w:t>
      </w:r>
    </w:p>
    <w:p>
      <w:pPr>
        <w:spacing w:line="240" w:lineRule="auto" w:before="10"/>
        <w:rPr>
          <w:rFonts w:ascii="宋体" w:hAnsi="宋体" w:cs="宋体" w:eastAsia="宋体" w:hint="default"/>
          <w:sz w:val="14"/>
          <w:szCs w:val="14"/>
        </w:rPr>
      </w:pPr>
    </w:p>
    <w:p>
      <w:pPr>
        <w:pStyle w:val="BodyText"/>
        <w:spacing w:line="408" w:lineRule="auto" w:before="0"/>
        <w:ind w:right="1132" w:firstLine="423"/>
        <w:jc w:val="both"/>
      </w:pPr>
      <w:r>
        <w:rPr>
          <w:spacing w:val="-1"/>
        </w:rPr>
        <w:t>（</w:t>
      </w:r>
      <w:r>
        <w:rPr>
          <w:rFonts w:ascii="宋体" w:hAnsi="宋体" w:cs="宋体" w:eastAsia="宋体" w:hint="default"/>
          <w:spacing w:val="-1"/>
        </w:rPr>
        <w:t>1</w:t>
      </w:r>
      <w:r>
        <w:rPr>
          <w:spacing w:val="-1"/>
        </w:rPr>
        <w:t>）该经营分部的分部收入占所有分部收入合计的</w:t>
      </w:r>
      <w:r>
        <w:rPr>
          <w:rFonts w:ascii="宋体" w:hAnsi="宋体" w:cs="宋体" w:eastAsia="宋体" w:hint="default"/>
          <w:spacing w:val="-1"/>
        </w:rPr>
        <w:t>10%</w:t>
      </w:r>
      <w:r>
        <w:rPr>
          <w:spacing w:val="-1"/>
        </w:rPr>
        <w:t>或者以上。分部收入是指可归属于分部的对外</w:t>
      </w:r>
      <w:r>
        <w:rPr/>
        <w:t> 交易收入和对其他分部交易收入。</w:t>
      </w:r>
    </w:p>
    <w:p>
      <w:pPr>
        <w:pStyle w:val="BodyText"/>
        <w:spacing w:line="408" w:lineRule="auto"/>
        <w:ind w:right="1139" w:firstLine="423"/>
        <w:jc w:val="both"/>
      </w:pPr>
      <w:r>
        <w:rPr/>
        <w:t>（</w:t>
      </w:r>
      <w:r>
        <w:rPr>
          <w:rFonts w:ascii="宋体" w:hAnsi="宋体" w:cs="宋体" w:eastAsia="宋体" w:hint="default"/>
        </w:rPr>
        <w:t>2</w:t>
      </w:r>
      <w:r>
        <w:rPr/>
        <w:t>）该分部的分部利润</w:t>
      </w:r>
      <w:r>
        <w:rPr>
          <w:rFonts w:ascii="宋体" w:hAnsi="宋体" w:cs="宋体" w:eastAsia="宋体" w:hint="default"/>
        </w:rPr>
        <w:t>(</w:t>
      </w:r>
      <w:r>
        <w:rPr/>
        <w:t>亏损</w:t>
      </w:r>
      <w:r>
        <w:rPr>
          <w:rFonts w:ascii="宋体" w:hAnsi="宋体" w:cs="宋体" w:eastAsia="宋体" w:hint="default"/>
        </w:rPr>
        <w:t>)</w:t>
      </w:r>
      <w:r>
        <w:rPr/>
        <w:t>的绝对额，占所有盈利分部利润合计额或者所有亏损分部亏损合计额 的绝对额两者中较大者的</w:t>
      </w:r>
      <w:r>
        <w:rPr>
          <w:rFonts w:ascii="宋体" w:hAnsi="宋体" w:cs="宋体" w:eastAsia="宋体" w:hint="default"/>
        </w:rPr>
        <w:t>10%</w:t>
      </w:r>
      <w:r>
        <w:rPr/>
        <w:t>或者以上。</w:t>
      </w:r>
    </w:p>
    <w:p>
      <w:pPr>
        <w:pStyle w:val="BodyText"/>
        <w:spacing w:line="408" w:lineRule="auto"/>
        <w:ind w:right="1132" w:firstLine="423"/>
        <w:jc w:val="both"/>
      </w:pPr>
      <w:r>
        <w:rPr>
          <w:spacing w:val="-1"/>
        </w:rPr>
        <w:t>（</w:t>
      </w:r>
      <w:r>
        <w:rPr>
          <w:rFonts w:ascii="宋体" w:hAnsi="宋体" w:cs="宋体" w:eastAsia="宋体" w:hint="default"/>
          <w:spacing w:val="-1"/>
        </w:rPr>
        <w:t>3</w:t>
      </w:r>
      <w:r>
        <w:rPr>
          <w:spacing w:val="-1"/>
        </w:rPr>
        <w:t>）该分部的分部资产占所有分部资产合计额的</w:t>
      </w:r>
      <w:r>
        <w:rPr>
          <w:rFonts w:ascii="宋体" w:hAnsi="宋体" w:cs="宋体" w:eastAsia="宋体" w:hint="default"/>
          <w:spacing w:val="-1"/>
        </w:rPr>
        <w:t>10%</w:t>
      </w:r>
      <w:r>
        <w:rPr>
          <w:spacing w:val="-1"/>
        </w:rPr>
        <w:t>或者以上。分部资产，是指经营分部日常活动中</w:t>
      </w:r>
      <w:r>
        <w:rPr/>
        <w:t> 使用的可以归属于该分部的资产，不包括递延所得税资产。</w:t>
      </w:r>
    </w:p>
    <w:p>
      <w:pPr>
        <w:pStyle w:val="BodyText"/>
        <w:spacing w:line="408" w:lineRule="auto"/>
        <w:ind w:left="1557" w:right="2664"/>
        <w:jc w:val="left"/>
      </w:pPr>
      <w:r>
        <w:rPr/>
        <w:t>低于</w:t>
      </w:r>
      <w:r>
        <w:rPr>
          <w:rFonts w:ascii="宋体" w:hAnsi="宋体" w:cs="宋体" w:eastAsia="宋体" w:hint="default"/>
        </w:rPr>
        <w:t>10%</w:t>
      </w:r>
      <w:r>
        <w:rPr/>
        <w:t>重要性标准的选择 经营分部未满足上述</w:t>
      </w:r>
      <w:r>
        <w:rPr>
          <w:rFonts w:ascii="宋体" w:hAnsi="宋体" w:cs="宋体" w:eastAsia="宋体" w:hint="default"/>
        </w:rPr>
        <w:t>10%</w:t>
      </w:r>
      <w:r>
        <w:rPr/>
        <w:t>重要性判断标准的，可以按照下列规定进行确定报告分部：</w:t>
      </w:r>
    </w:p>
    <w:p>
      <w:pPr>
        <w:pStyle w:val="BodyText"/>
        <w:spacing w:line="408" w:lineRule="auto"/>
        <w:ind w:left="1134" w:right="1138" w:firstLine="423"/>
        <w:jc w:val="both"/>
      </w:pPr>
      <w:r>
        <w:rPr/>
        <w:t>（</w:t>
      </w:r>
      <w:r>
        <w:rPr>
          <w:rFonts w:ascii="宋体" w:hAnsi="宋体" w:cs="宋体" w:eastAsia="宋体" w:hint="default"/>
        </w:rPr>
        <w:t>1</w:t>
      </w:r>
      <w:r>
        <w:rPr/>
        <w:t>）企业管理层如果认为披露该经营分部信息对会计信息使用者有用，那么可以将其确定为报告分 部。在这种情况下，无论该分部是否满足</w:t>
      </w:r>
      <w:r>
        <w:rPr>
          <w:rFonts w:ascii="宋体" w:hAnsi="宋体" w:cs="宋体" w:eastAsia="宋体" w:hint="default"/>
        </w:rPr>
        <w:t>10%</w:t>
      </w:r>
      <w:r>
        <w:rPr/>
        <w:t>的重要性标准，企业都可以直接将其指定为报告分部。</w:t>
      </w:r>
    </w:p>
    <w:p>
      <w:pPr>
        <w:pStyle w:val="BodyText"/>
        <w:spacing w:line="408" w:lineRule="auto"/>
        <w:ind w:right="1131" w:firstLine="423"/>
        <w:jc w:val="both"/>
      </w:pPr>
      <w:r>
        <w:rPr/>
        <w:t>（</w:t>
      </w:r>
      <w:r>
        <w:rPr>
          <w:rFonts w:ascii="宋体" w:hAnsi="宋体" w:cs="宋体" w:eastAsia="宋体" w:hint="default"/>
        </w:rPr>
        <w:t>2</w:t>
      </w:r>
      <w:r>
        <w:rPr/>
        <w:t>）将该经营分部与一个或一个以上的具有相似经济特征、满足经营分部合并条件的其他经营分部 </w:t>
      </w:r>
      <w:r>
        <w:rPr>
          <w:spacing w:val="-1"/>
        </w:rPr>
        <w:t>合并，作为一个报告分部。对经营分部</w:t>
      </w:r>
      <w:r>
        <w:rPr>
          <w:rFonts w:ascii="宋体" w:hAnsi="宋体" w:cs="宋体" w:eastAsia="宋体" w:hint="default"/>
          <w:spacing w:val="-1"/>
        </w:rPr>
        <w:t>10%</w:t>
      </w:r>
      <w:r>
        <w:rPr>
          <w:spacing w:val="-1"/>
        </w:rPr>
        <w:t>的重要性测试可能会导致企业拥有大量未满足</w:t>
      </w:r>
      <w:r>
        <w:rPr>
          <w:rFonts w:ascii="宋体" w:hAnsi="宋体" w:cs="宋体" w:eastAsia="宋体" w:hint="default"/>
          <w:spacing w:val="-1"/>
        </w:rPr>
        <w:t>10%</w:t>
      </w:r>
      <w:r>
        <w:rPr>
          <w:spacing w:val="-1"/>
        </w:rPr>
        <w:t>数量临界线的</w:t>
      </w:r>
      <w:r>
        <w:rPr>
          <w:spacing w:val="-81"/>
        </w:rPr>
        <w:t> </w:t>
      </w:r>
      <w:r>
        <w:rPr>
          <w:spacing w:val="-81"/>
        </w:rPr>
      </w:r>
      <w:r>
        <w:rPr>
          <w:spacing w:val="-1"/>
        </w:rPr>
        <w:t>经营分部，在这种情况下，如果企业没有直接将这些分部指定为报告分部的，可以将一个或一个以上具有</w:t>
      </w:r>
      <w:r>
        <w:rPr>
          <w:spacing w:val="-83"/>
        </w:rPr>
        <w:t> </w:t>
      </w:r>
      <w:r>
        <w:rPr>
          <w:spacing w:val="-83"/>
        </w:rPr>
      </w:r>
      <w:r>
        <w:rPr/>
        <w:t>相似经济特征、满足经营分部合并条件的一个以上的经营分部合并成一个报告分部。</w:t>
      </w:r>
    </w:p>
    <w:p>
      <w:pPr>
        <w:pStyle w:val="BodyText"/>
        <w:spacing w:line="408" w:lineRule="auto"/>
        <w:ind w:right="1131" w:firstLine="423"/>
        <w:jc w:val="both"/>
      </w:pPr>
      <w:r>
        <w:rPr/>
        <w:t>（</w:t>
      </w:r>
      <w:r>
        <w:rPr>
          <w:rFonts w:ascii="宋体" w:hAnsi="宋体" w:cs="宋体" w:eastAsia="宋体" w:hint="default"/>
        </w:rPr>
        <w:t>3</w:t>
      </w:r>
      <w:r>
        <w:rPr/>
        <w:t>）不将该经营分部指定为报告分部，也不将该经营分部与其他未作为报告分部的经营分部合并为 </w:t>
      </w:r>
      <w:r>
        <w:rPr>
          <w:spacing w:val="-1"/>
        </w:rPr>
        <w:t>一个报告分部的，企业在披露分部信息时，应当将该经营分部的信息与其他组成部分的信息合并，作为其</w:t>
      </w:r>
      <w:r>
        <w:rPr>
          <w:spacing w:val="-83"/>
        </w:rPr>
        <w:t> </w:t>
      </w:r>
      <w:r>
        <w:rPr>
          <w:spacing w:val="-83"/>
        </w:rPr>
      </w:r>
      <w:r>
        <w:rPr/>
        <w:t>他项目单独披露。</w:t>
      </w:r>
    </w:p>
    <w:p>
      <w:pPr>
        <w:pStyle w:val="BodyText"/>
        <w:spacing w:line="408" w:lineRule="auto"/>
        <w:ind w:right="1121" w:firstLine="423"/>
        <w:jc w:val="left"/>
      </w:pPr>
      <w:r>
        <w:rPr/>
        <w:t>②报告分部的确定 </w:t>
      </w:r>
      <w:r>
        <w:rPr>
          <w:spacing w:val="-1"/>
        </w:rPr>
        <w:t>根据本公司内部组织结构、管理要求、内部报告制度为依据确定将索瑞及其子公司作为一个经营分部（简</w:t>
      </w:r>
      <w:r>
        <w:rPr>
          <w:spacing w:val="-83"/>
        </w:rPr>
        <w:t> </w:t>
      </w:r>
      <w:r>
        <w:rPr>
          <w:spacing w:val="-83"/>
        </w:rPr>
      </w:r>
      <w:r>
        <w:rPr/>
        <w:t>称湖北分部），除索瑞分部以外的公司作为一个经营分部（简称南京分部）。</w:t>
      </w:r>
    </w:p>
    <w:p>
      <w:pPr>
        <w:pStyle w:val="Heading4"/>
        <w:spacing w:line="240" w:lineRule="auto" w:before="46"/>
        <w:ind w:left="1133" w:right="0"/>
        <w:jc w:val="both"/>
        <w:rPr>
          <w:b w:val="0"/>
          <w:bCs w:val="0"/>
        </w:rPr>
      </w:pPr>
      <w:bookmarkStart w:name="（2）报告分部的财务信息" w:id="489"/>
      <w:bookmarkEnd w:id="489"/>
      <w:r>
        <w:rPr>
          <w:b w:val="0"/>
          <w:bCs w:val="0"/>
        </w:rPr>
      </w:r>
      <w:r>
        <w:rPr/>
        <w:t>（</w:t>
      </w:r>
      <w:r>
        <w:rPr>
          <w:rFonts w:ascii="宋体" w:hAnsi="宋体" w:cs="宋体" w:eastAsia="宋体" w:hint="default"/>
        </w:rPr>
        <w:t>2</w:t>
      </w:r>
      <w:r>
        <w:rPr/>
        <w:t>）报告分部的财务信息</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1898"/>
        <w:gridCol w:w="1925"/>
        <w:gridCol w:w="1914"/>
        <w:gridCol w:w="1914"/>
        <w:gridCol w:w="1913"/>
      </w:tblGrid>
      <w:tr>
        <w:trPr>
          <w:trHeight w:val="415" w:hRule="exact"/>
        </w:trPr>
        <w:tc>
          <w:tcPr>
            <w:tcW w:w="1898" w:type="dxa"/>
            <w:tcBorders>
              <w:top w:val="single" w:sz="12" w:space="0" w:color="000000"/>
              <w:left w:val="single" w:sz="12" w:space="0" w:color="000000"/>
              <w:bottom w:val="single" w:sz="6" w:space="0" w:color="000000"/>
              <w:right w:val="single" w:sz="14"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12" w:space="0" w:color="000000"/>
              <w:left w:val="single" w:sz="14" w:space="0" w:color="D2D2D2"/>
              <w:bottom w:val="single" w:sz="6" w:space="0" w:color="000000"/>
              <w:right w:val="single" w:sz="6" w:space="0" w:color="000000"/>
            </w:tcBorders>
            <w:shd w:val="clear" w:color="auto" w:fill="E0FFFF"/>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湖北分部</w:t>
            </w:r>
          </w:p>
        </w:tc>
        <w:tc>
          <w:tcPr>
            <w:tcW w:w="1914" w:type="dxa"/>
            <w:tcBorders>
              <w:top w:val="single" w:sz="12" w:space="0" w:color="000000"/>
              <w:left w:val="single" w:sz="6" w:space="0" w:color="000000"/>
              <w:bottom w:val="single" w:sz="6" w:space="0" w:color="000000"/>
              <w:right w:val="single" w:sz="8" w:space="0" w:color="D2D2D2"/>
            </w:tcBorders>
            <w:shd w:val="clear" w:color="auto" w:fill="E0FFFF"/>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南京分部</w:t>
            </w:r>
          </w:p>
        </w:tc>
        <w:tc>
          <w:tcPr>
            <w:tcW w:w="1914" w:type="dxa"/>
            <w:tcBorders>
              <w:top w:val="single" w:sz="12" w:space="0" w:color="000000"/>
              <w:left w:val="single" w:sz="14" w:space="0" w:color="E0FFFF"/>
              <w:bottom w:val="single" w:sz="6" w:space="0" w:color="000000"/>
              <w:right w:val="single" w:sz="6" w:space="0" w:color="000000"/>
            </w:tcBorders>
            <w:shd w:val="clear" w:color="auto" w:fill="D2D2D2"/>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299,341,030.39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242,138,943.15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1,255,764.98</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540,224,208.56</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其中：对外交易</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298,085,265.41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242,138,943.15</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540,224,208.56</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分部间交易</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1,255,764.98</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1,255,764.98</w:t>
            </w: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316" w:lineRule="auto" w:before="52"/>
              <w:ind w:left="6" w:right="67"/>
              <w:jc w:val="left"/>
              <w:rPr>
                <w:rFonts w:ascii="宋体" w:hAnsi="宋体" w:cs="宋体" w:eastAsia="宋体" w:hint="default"/>
                <w:sz w:val="18"/>
                <w:szCs w:val="18"/>
              </w:rPr>
            </w:pPr>
            <w:r>
              <w:rPr>
                <w:rFonts w:ascii="宋体" w:hAnsi="宋体" w:cs="宋体" w:eastAsia="宋体" w:hint="default"/>
                <w:sz w:val="18"/>
                <w:szCs w:val="18"/>
              </w:rPr>
              <w:t>对外交易收入占分部收 入总额百分比</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99.58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100.00</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1,670,718.05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260,526,259.09</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-137,841,566.27</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400,038,543.41</w:t>
            </w:r>
          </w:p>
        </w:tc>
      </w:tr>
      <w:tr>
        <w:trPr>
          <w:trHeight w:val="408"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2,855,326.17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17,357,679.98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-4,171,334.14</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24,384,340.29</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44,739,200.10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-275,613,181.37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160,128,936.39</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-391,002,917.66</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5,059,036.02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1,684,471.35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1,981,032.16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4,762,475.21</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39,680,164.08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-277,297,652.72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158,147,904.23</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-395,765,392.87</w:t>
            </w:r>
          </w:p>
        </w:tc>
      </w:tr>
      <w:tr>
        <w:trPr>
          <w:trHeight w:val="407" w:hRule="exact"/>
        </w:trPr>
        <w:tc>
          <w:tcPr>
            <w:tcW w:w="1898"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6" w:space="0" w:color="000000"/>
              <w:left w:val="single" w:sz="14" w:space="0" w:color="E0FFFF"/>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721,221,419.25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1,589,694,695.90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476,896,764.28</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1,834,019,350.87</w:t>
            </w:r>
          </w:p>
        </w:tc>
      </w:tr>
      <w:tr>
        <w:trPr>
          <w:trHeight w:val="415" w:hRule="exact"/>
        </w:trPr>
        <w:tc>
          <w:tcPr>
            <w:tcW w:w="1898" w:type="dxa"/>
            <w:tcBorders>
              <w:top w:val="single" w:sz="6" w:space="0" w:color="000000"/>
              <w:left w:val="single" w:sz="12" w:space="0" w:color="000000"/>
              <w:bottom w:val="single" w:sz="12" w:space="0" w:color="000000"/>
              <w:right w:val="single" w:sz="6" w:space="0" w:color="000000"/>
            </w:tcBorders>
            <w:shd w:val="clear" w:color="auto" w:fill="E0FFFF"/>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6" w:space="0" w:color="000000"/>
              <w:left w:val="single" w:sz="14" w:space="0" w:color="E0FFFF"/>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156,830,516.53</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640,348,648.57</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3,216,032.44</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793,963,132.66</w:t>
            </w:r>
          </w:p>
        </w:tc>
      </w:tr>
    </w:tbl>
    <w:p>
      <w:pPr>
        <w:pStyle w:val="Heading4"/>
        <w:spacing w:line="240" w:lineRule="auto" w:before="63"/>
        <w:ind w:right="1121"/>
        <w:jc w:val="left"/>
        <w:rPr>
          <w:b w:val="0"/>
          <w:bCs w:val="0"/>
        </w:rPr>
      </w:pPr>
      <w:bookmarkStart w:name="（3）公司无报告分部的，或者不能披露各报告分部的资产总额和负债总额的，应说明原因" w:id="490"/>
      <w:bookmarkEnd w:id="490"/>
      <w:r>
        <w:rPr>
          <w:b w:val="0"/>
          <w:bCs w:val="0"/>
        </w:rPr>
      </w: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其他说明" w:id="491"/>
      <w:bookmarkEnd w:id="491"/>
      <w:r>
        <w:rPr>
          <w:b w:val="0"/>
          <w:bCs w:val="0"/>
        </w:rPr>
      </w:r>
      <w:r>
        <w:rPr/>
        <w:t>（</w:t>
      </w:r>
      <w:r>
        <w:rPr>
          <w:rFonts w:ascii="宋体" w:hAnsi="宋体" w:cs="宋体" w:eastAsia="宋体" w:hint="default"/>
        </w:rPr>
        <w:t>4</w:t>
      </w:r>
      <w:r>
        <w:rPr/>
        <w:t>）其他说明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613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其他对投资者决策有影响的重要交易和事项" w:id="492"/>
      <w:bookmarkEnd w:id="492"/>
      <w:r>
        <w:rPr>
          <w:rFonts w:ascii="宋体" w:hAnsi="宋体" w:cs="宋体" w:eastAsia="宋体" w:hint="default"/>
          <w:sz w:val="21"/>
          <w:szCs w:val="21"/>
        </w:rPr>
      </w:r>
      <w:r>
        <w:rPr>
          <w:rFonts w:ascii="宋体" w:hAnsi="宋体" w:cs="宋体" w:eastAsia="宋体" w:hint="default"/>
          <w:b/>
          <w:bCs/>
          <w:w w:val="95"/>
          <w:sz w:val="21"/>
          <w:szCs w:val="21"/>
        </w:rPr>
        <w:t>7</w:t>
      </w:r>
      <w:r>
        <w:rPr>
          <w:rFonts w:ascii="宋体" w:hAnsi="宋体" w:cs="宋体" w:eastAsia="宋体" w:hint="default"/>
          <w:b/>
          <w:bCs/>
          <w:w w:val="95"/>
          <w:sz w:val="21"/>
          <w:szCs w:val="21"/>
        </w:rPr>
        <w:t>、其他对投资者决策有影响的重要交易和事项</w:t>
      </w:r>
      <w:r>
        <w:rPr>
          <w:rFonts w:ascii="宋体" w:hAnsi="宋体" w:cs="宋体" w:eastAsia="宋体" w:hint="default"/>
          <w:sz w:val="21"/>
          <w:szCs w:val="21"/>
        </w:rPr>
      </w:r>
    </w:p>
    <w:p>
      <w:pPr>
        <w:spacing w:line="408" w:lineRule="auto" w:before="46"/>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其他" w:id="493"/>
      <w:bookmarkEnd w:id="493"/>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408" w:lineRule="auto"/>
        <w:ind w:left="1134" w:right="1131" w:firstLine="423"/>
        <w:jc w:val="both"/>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日，江苏光一投资管理有限责任公司持有公司股份</w:t>
      </w:r>
      <w:r>
        <w:rPr>
          <w:rFonts w:ascii="宋体" w:hAnsi="宋体" w:cs="宋体" w:eastAsia="宋体" w:hint="default"/>
        </w:rPr>
        <w:t>10,650.00</w:t>
      </w:r>
      <w:r>
        <w:rPr/>
        <w:t>万股，占公司股份总 数的</w:t>
      </w:r>
      <w:r>
        <w:rPr>
          <w:rFonts w:ascii="宋体" w:hAnsi="宋体" w:cs="宋体" w:eastAsia="宋体" w:hint="default"/>
        </w:rPr>
        <w:t>25.67%</w:t>
      </w:r>
      <w:r>
        <w:rPr/>
        <w:t>，尚处于质押状态的股份数量累计为</w:t>
      </w:r>
      <w:r>
        <w:rPr>
          <w:rFonts w:ascii="宋体" w:hAnsi="宋体" w:cs="宋体" w:eastAsia="宋体" w:hint="default"/>
        </w:rPr>
        <w:t>10,123.75</w:t>
      </w:r>
      <w:r>
        <w:rPr/>
        <w:t>万股，占其所持股份比例的</w:t>
      </w:r>
      <w:r>
        <w:rPr>
          <w:rFonts w:ascii="宋体" w:hAnsi="宋体" w:cs="宋体" w:eastAsia="宋体" w:hint="default"/>
        </w:rPr>
        <w:t>95.06%</w:t>
      </w:r>
      <w:r>
        <w:rPr/>
        <w:t>，占公司股</w:t>
      </w:r>
      <w:r>
        <w:rPr>
          <w:spacing w:val="-30"/>
        </w:rPr>
        <w:t> </w:t>
      </w:r>
      <w:r>
        <w:rPr>
          <w:spacing w:val="-30"/>
        </w:rPr>
      </w:r>
      <w:r>
        <w:rPr/>
        <w:t>份总数的</w:t>
      </w:r>
      <w:r>
        <w:rPr>
          <w:rFonts w:ascii="宋体" w:hAnsi="宋体" w:cs="宋体" w:eastAsia="宋体" w:hint="default"/>
        </w:rPr>
        <w:t>24.40%</w:t>
      </w:r>
      <w:r>
        <w:rPr/>
        <w:t>；尚余</w:t>
      </w:r>
      <w:r>
        <w:rPr>
          <w:rFonts w:ascii="宋体" w:hAnsi="宋体" w:cs="宋体" w:eastAsia="宋体" w:hint="default"/>
        </w:rPr>
        <w:t>526.25</w:t>
      </w:r>
      <w:r>
        <w:rPr/>
        <w:t>万股未质押。</w:t>
      </w:r>
    </w:p>
    <w:p>
      <w:pPr>
        <w:pStyle w:val="BodyText"/>
        <w:spacing w:line="408" w:lineRule="auto"/>
        <w:ind w:left="1134" w:right="1131" w:firstLine="423"/>
        <w:jc w:val="both"/>
      </w:pP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日公司公告了拟筹划发行股份收购资产相关事项，经初步判断，该事项构成重大资产重</w:t>
      </w:r>
      <w:r>
        <w:rPr/>
        <w:t> </w:t>
      </w:r>
      <w:r>
        <w:rPr>
          <w:spacing w:val="-1"/>
        </w:rPr>
        <w:t>组，截至审计报告日，公司及有关各方正在积极推进本次重组的相关工作，重组方案的相关内容正在进一</w:t>
      </w:r>
      <w:r>
        <w:rPr>
          <w:spacing w:val="-83"/>
        </w:rPr>
        <w:t> </w:t>
      </w:r>
      <w:r>
        <w:rPr>
          <w:spacing w:val="-83"/>
        </w:rPr>
      </w:r>
      <w:r>
        <w:rPr/>
        <w:t>步论证和完善，因相关程序正在进行中。</w:t>
      </w:r>
    </w:p>
    <w:p>
      <w:pPr>
        <w:pStyle w:val="BodyText"/>
        <w:spacing w:line="408" w:lineRule="auto"/>
        <w:ind w:right="1131" w:firstLine="423"/>
        <w:jc w:val="both"/>
      </w:pP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13</w:t>
      </w:r>
      <w:r>
        <w:rPr/>
        <w:t>日公司公告了全资子公司江苏光一贵仁股权投资基金管理有限公司（与无锡金投领航产 </w:t>
      </w:r>
      <w:r>
        <w:rPr>
          <w:spacing w:val="-1"/>
        </w:rPr>
        <w:t>业升级并购投资企业（有限合伙）共同出资成立南京领航光一科技产业投资合伙企业（有限合伙），基金</w:t>
      </w:r>
      <w:r>
        <w:rPr>
          <w:spacing w:val="-83"/>
        </w:rPr>
        <w:t> </w:t>
      </w:r>
      <w:r>
        <w:rPr>
          <w:spacing w:val="-83"/>
        </w:rPr>
      </w:r>
      <w:r>
        <w:rPr>
          <w:spacing w:val="-3"/>
        </w:rPr>
        <w:t>总规模为</w:t>
      </w:r>
      <w:r>
        <w:rPr>
          <w:rFonts w:ascii="宋体" w:hAnsi="宋体" w:cs="宋体" w:eastAsia="宋体" w:hint="default"/>
          <w:spacing w:val="-3"/>
        </w:rPr>
        <w:t>20,100</w:t>
      </w:r>
      <w:r>
        <w:rPr>
          <w:spacing w:val="-3"/>
        </w:rPr>
        <w:t>万元，其中：光一贵仁作为普通合伙人出资</w:t>
      </w:r>
      <w:r>
        <w:rPr>
          <w:rFonts w:ascii="宋体" w:hAnsi="宋体" w:cs="宋体" w:eastAsia="宋体" w:hint="default"/>
          <w:spacing w:val="-3"/>
        </w:rPr>
        <w:t>100</w:t>
      </w:r>
      <w:r>
        <w:rPr>
          <w:spacing w:val="-3"/>
        </w:rPr>
        <w:t>万元，金投领航作为有限合伙人出资</w:t>
      </w:r>
      <w:r>
        <w:rPr>
          <w:rFonts w:ascii="宋体" w:hAnsi="宋体" w:cs="宋体" w:eastAsia="宋体" w:hint="default"/>
          <w:spacing w:val="-3"/>
        </w:rPr>
        <w:t>20,000</w:t>
      </w:r>
      <w:r>
        <w:rPr>
          <w:rFonts w:ascii="宋体" w:hAnsi="宋体" w:cs="宋体" w:eastAsia="宋体" w:hint="default"/>
          <w:spacing w:val="-72"/>
        </w:rPr>
        <w:t> </w:t>
      </w:r>
      <w:r>
        <w:rPr>
          <w:spacing w:val="-1"/>
        </w:rPr>
        <w:t>万元。为保证产业投资基金募资工作的顺利开展，在合伙企业存续期间，由公司对金投领航所持份额的投</w:t>
      </w:r>
      <w:r>
        <w:rPr>
          <w:spacing w:val="-83"/>
        </w:rPr>
        <w:t> </w:t>
      </w:r>
      <w:r>
        <w:rPr>
          <w:spacing w:val="-83"/>
        </w:rPr>
      </w:r>
      <w:r>
        <w:rPr>
          <w:spacing w:val="-1"/>
        </w:rPr>
        <w:t>资回报承担差额补足义务；在达到约定的回购条件时，公司对金投领航尚未退出的剩余投资份额按照本金</w:t>
      </w:r>
    </w:p>
    <w:p>
      <w:pPr>
        <w:spacing w:after="0" w:line="408" w:lineRule="auto"/>
        <w:jc w:val="both"/>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121"/>
        <w:jc w:val="left"/>
      </w:pPr>
      <w:r>
        <w:rPr>
          <w:spacing w:val="-1"/>
        </w:rPr>
        <w:t>加年化门槛收益率全额回购。截至审计报告日，该公司已获得统一社会信用代码为：</w:t>
      </w:r>
      <w:r>
        <w:rPr>
          <w:rFonts w:ascii="宋体" w:hAnsi="宋体" w:cs="宋体" w:eastAsia="宋体" w:hint="default"/>
          <w:spacing w:val="-1"/>
        </w:rPr>
        <w:t>91320115MA1W6WK72G</w:t>
      </w:r>
      <w:r>
        <w:rPr>
          <w:rFonts w:ascii="宋体" w:hAnsi="宋体" w:cs="宋体" w:eastAsia="宋体" w:hint="default"/>
          <w:spacing w:val="-73"/>
        </w:rPr>
        <w:t> </w:t>
      </w:r>
      <w:r>
        <w:rPr/>
        <w:t>的营业执照，目前正申请办理私募股权投资基金备案手续。</w:t>
      </w:r>
    </w:p>
    <w:p>
      <w:pPr>
        <w:spacing w:line="240" w:lineRule="auto" w:before="11"/>
        <w:rPr>
          <w:rFonts w:ascii="宋体" w:hAnsi="宋体" w:cs="宋体" w:eastAsia="宋体" w:hint="default"/>
          <w:sz w:val="18"/>
          <w:szCs w:val="18"/>
        </w:rPr>
      </w:pPr>
    </w:p>
    <w:p>
      <w:pPr>
        <w:pStyle w:val="Heading2"/>
        <w:spacing w:line="240" w:lineRule="auto"/>
        <w:ind w:left="1133" w:right="1121"/>
        <w:jc w:val="left"/>
        <w:rPr>
          <w:b w:val="0"/>
          <w:bCs w:val="0"/>
        </w:rPr>
      </w:pPr>
      <w:bookmarkStart w:name="十七、母公司财务报表主要项目注释" w:id="494"/>
      <w:bookmarkEnd w:id="494"/>
      <w:r>
        <w:rPr>
          <w:b w:val="0"/>
          <w:bCs w:val="0"/>
        </w:rPr>
      </w:r>
      <w:r>
        <w:rPr/>
        <w:t>十七、母公司财务报表主要项目注释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33" w:right="1121"/>
        <w:jc w:val="left"/>
        <w:rPr>
          <w:b w:val="0"/>
          <w:bCs w:val="0"/>
        </w:rPr>
      </w:pPr>
      <w:bookmarkStart w:name="1、应收账款" w:id="495"/>
      <w:bookmarkEnd w:id="495"/>
      <w:r>
        <w:rPr>
          <w:b w:val="0"/>
          <w:bCs w:val="0"/>
        </w:rPr>
      </w:r>
      <w:r>
        <w:rPr>
          <w:rFonts w:ascii="宋体" w:hAnsi="宋体" w:cs="宋体" w:eastAsia="宋体" w:hint="default"/>
        </w:rPr>
        <w:t>1</w:t>
      </w:r>
      <w:r>
        <w:rPr/>
        <w:t>、应收账款</w:t>
      </w:r>
      <w:r>
        <w:rPr>
          <w:b w:val="0"/>
          <w:bCs w:val="0"/>
        </w:rPr>
      </w:r>
    </w:p>
    <w:p>
      <w:pPr>
        <w:spacing w:line="240" w:lineRule="auto" w:before="4"/>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7" w:footer="1000" w:top="1040" w:bottom="1180" w:left="0" w:right="0"/>
        </w:sectPr>
      </w:pPr>
    </w:p>
    <w:p>
      <w:pPr>
        <w:pStyle w:val="Heading4"/>
        <w:spacing w:line="240" w:lineRule="auto" w:before="35"/>
        <w:ind w:left="1133" w:right="0"/>
        <w:jc w:val="left"/>
        <w:rPr>
          <w:b w:val="0"/>
          <w:bCs w:val="0"/>
        </w:rPr>
      </w:pPr>
      <w:bookmarkStart w:name="（1）应收账款分类披露" w:id="496"/>
      <w:bookmarkEnd w:id="496"/>
      <w:r>
        <w:rPr>
          <w:b w:val="0"/>
          <w:bCs w:val="0"/>
        </w:rPr>
      </w:r>
      <w:r>
        <w:rPr>
          <w:w w:val="95"/>
        </w:rPr>
        <w:t>（</w:t>
      </w:r>
      <w:r>
        <w:rPr>
          <w:rFonts w:ascii="宋体" w:hAnsi="宋体" w:cs="宋体" w:eastAsia="宋体" w:hint="default"/>
          <w:w w:val="95"/>
        </w:rPr>
        <w:t>1</w:t>
      </w:r>
      <w:r>
        <w:rPr>
          <w:w w:val="95"/>
        </w:rPr>
        <w:t>）应收账款分类披露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348" w:space="5572"/>
            <w:col w:w="2990"/>
          </w:cols>
        </w:sectPr>
      </w:pPr>
    </w:p>
    <w:p>
      <w:pPr>
        <w:spacing w:line="240" w:lineRule="auto" w:before="2"/>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3960"/>
        <w:gridCol w:w="1428"/>
        <w:gridCol w:w="709"/>
        <w:gridCol w:w="1276"/>
        <w:gridCol w:w="802"/>
        <w:gridCol w:w="1376"/>
      </w:tblGrid>
      <w:tr>
        <w:trPr>
          <w:trHeight w:val="418" w:hRule="exact"/>
        </w:trPr>
        <w:tc>
          <w:tcPr>
            <w:tcW w:w="396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591"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7" w:hRule="exact"/>
        </w:trPr>
        <w:tc>
          <w:tcPr>
            <w:tcW w:w="396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left="7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7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left="6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6"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6" w:hRule="exact"/>
        </w:trPr>
        <w:tc>
          <w:tcPr>
            <w:tcW w:w="3960" w:type="dxa"/>
            <w:vMerge/>
            <w:tcBorders>
              <w:left w:val="single" w:sz="12" w:space="0" w:color="000000"/>
              <w:bottom w:val="nil" w:sz="6" w:space="0" w:color="auto"/>
              <w:right w:val="single" w:sz="6" w:space="0" w:color="000000"/>
            </w:tcBorders>
            <w:shd w:val="clear" w:color="auto" w:fill="D2D2D2"/>
          </w:tcPr>
          <w:p>
            <w:pPr/>
          </w:p>
        </w:tc>
        <w:tc>
          <w:tcPr>
            <w:tcW w:w="2137" w:type="dxa"/>
            <w:gridSpan w:val="2"/>
            <w:vMerge/>
            <w:tcBorders>
              <w:left w:val="single" w:sz="6" w:space="0" w:color="000000"/>
              <w:bottom w:val="single" w:sz="6" w:space="0" w:color="000000"/>
              <w:right w:val="single" w:sz="6" w:space="0" w:color="000000"/>
            </w:tcBorders>
            <w:shd w:val="clear" w:color="auto" w:fill="D2D2D2"/>
          </w:tcPr>
          <w:p>
            <w:pPr/>
          </w:p>
        </w:tc>
        <w:tc>
          <w:tcPr>
            <w:tcW w:w="2078" w:type="dxa"/>
            <w:gridSpan w:val="2"/>
            <w:vMerge/>
            <w:tcBorders>
              <w:left w:val="single" w:sz="6" w:space="0" w:color="000000"/>
              <w:bottom w:val="single" w:sz="6" w:space="0" w:color="000000"/>
              <w:right w:val="single" w:sz="6" w:space="0" w:color="000000"/>
            </w:tcBorders>
            <w:shd w:val="clear" w:color="auto" w:fill="D2D2D2"/>
          </w:tcPr>
          <w:p>
            <w:pPr/>
          </w:p>
        </w:tc>
        <w:tc>
          <w:tcPr>
            <w:tcW w:w="137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3960" w:type="dxa"/>
            <w:vMerge w:val="restart"/>
            <w:tcBorders>
              <w:top w:val="nil" w:sz="6" w:space="0" w:color="auto"/>
              <w:left w:val="single" w:sz="12" w:space="0" w:color="000000"/>
              <w:right w:val="single" w:sz="6" w:space="0" w:color="000000"/>
            </w:tcBorders>
            <w:shd w:val="clear" w:color="auto" w:fill="D2D2D2"/>
          </w:tcPr>
          <w:p>
            <w:pPr/>
          </w:p>
        </w:tc>
        <w:tc>
          <w:tcPr>
            <w:tcW w:w="142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76" w:type="dxa"/>
            <w:vMerge/>
            <w:tcBorders>
              <w:left w:val="single" w:sz="6" w:space="0" w:color="000000"/>
              <w:bottom w:val="nil" w:sz="6" w:space="0" w:color="auto"/>
              <w:right w:val="single" w:sz="12" w:space="0" w:color="000000"/>
            </w:tcBorders>
            <w:shd w:val="clear" w:color="auto" w:fill="D2D2D2"/>
          </w:tcPr>
          <w:p>
            <w:pPr/>
          </w:p>
        </w:tc>
      </w:tr>
      <w:tr>
        <w:trPr>
          <w:trHeight w:val="218" w:hRule="exact"/>
        </w:trPr>
        <w:tc>
          <w:tcPr>
            <w:tcW w:w="3960" w:type="dxa"/>
            <w:vMerge/>
            <w:tcBorders>
              <w:left w:val="single" w:sz="12" w:space="0" w:color="000000"/>
              <w:bottom w:val="single" w:sz="6" w:space="0" w:color="000000"/>
              <w:right w:val="single" w:sz="6" w:space="0" w:color="000000"/>
            </w:tcBorders>
            <w:shd w:val="clear" w:color="auto" w:fill="D2D2D2"/>
          </w:tcPr>
          <w:p>
            <w:pPr/>
          </w:p>
        </w:tc>
        <w:tc>
          <w:tcPr>
            <w:tcW w:w="1428" w:type="dxa"/>
            <w:vMerge/>
            <w:tcBorders>
              <w:left w:val="single" w:sz="6" w:space="0" w:color="000000"/>
              <w:bottom w:val="single" w:sz="6" w:space="0" w:color="000000"/>
              <w:right w:val="single" w:sz="6" w:space="0" w:color="000000"/>
            </w:tcBorders>
            <w:shd w:val="clear" w:color="auto" w:fill="D2D2D2"/>
          </w:tcPr>
          <w:p>
            <w:pPr/>
          </w:p>
        </w:tc>
        <w:tc>
          <w:tcPr>
            <w:tcW w:w="709"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802" w:type="dxa"/>
            <w:vMerge/>
            <w:tcBorders>
              <w:left w:val="single" w:sz="6" w:space="0" w:color="000000"/>
              <w:bottom w:val="single" w:sz="6" w:space="0" w:color="000000"/>
              <w:right w:val="single" w:sz="6" w:space="0" w:color="000000"/>
            </w:tcBorders>
            <w:shd w:val="clear" w:color="auto" w:fill="D2D2D2"/>
          </w:tcPr>
          <w:p>
            <w:pPr/>
          </w:p>
        </w:tc>
        <w:tc>
          <w:tcPr>
            <w:tcW w:w="1376"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0" w:hRule="exact"/>
        </w:trPr>
        <w:tc>
          <w:tcPr>
            <w:tcW w:w="3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单项金额重大并单独计提坏账准备的应收账款</w:t>
            </w:r>
          </w:p>
        </w:tc>
        <w:tc>
          <w:tcPr>
            <w:tcW w:w="1428" w:type="dxa"/>
            <w:tcBorders>
              <w:top w:val="single" w:sz="7" w:space="0" w:color="000000"/>
              <w:left w:val="single" w:sz="14" w:space="0" w:color="D2D2D2"/>
              <w:bottom w:val="single" w:sz="6" w:space="0" w:color="000000"/>
              <w:right w:val="single" w:sz="6" w:space="0" w:color="000000"/>
            </w:tcBorders>
          </w:tcPr>
          <w:p>
            <w:pPr/>
          </w:p>
        </w:tc>
        <w:tc>
          <w:tcPr>
            <w:tcW w:w="709" w:type="dxa"/>
            <w:tcBorders>
              <w:top w:val="single" w:sz="7" w:space="0" w:color="000000"/>
              <w:left w:val="single" w:sz="6" w:space="0" w:color="000000"/>
              <w:bottom w:val="single" w:sz="6" w:space="0" w:color="000000"/>
              <w:right w:val="single" w:sz="6" w:space="0" w:color="000000"/>
            </w:tcBorders>
          </w:tcPr>
          <w:p>
            <w:pPr/>
          </w:p>
        </w:tc>
        <w:tc>
          <w:tcPr>
            <w:tcW w:w="1276" w:type="dxa"/>
            <w:tcBorders>
              <w:top w:val="single" w:sz="7" w:space="0" w:color="000000"/>
              <w:left w:val="single" w:sz="6" w:space="0" w:color="000000"/>
              <w:bottom w:val="single" w:sz="6" w:space="0" w:color="000000"/>
              <w:right w:val="single" w:sz="6" w:space="0" w:color="000000"/>
            </w:tcBorders>
          </w:tcPr>
          <w:p>
            <w:pPr/>
          </w:p>
        </w:tc>
        <w:tc>
          <w:tcPr>
            <w:tcW w:w="802" w:type="dxa"/>
            <w:tcBorders>
              <w:top w:val="single" w:sz="7"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4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left="102" w:right="0"/>
              <w:jc w:val="center"/>
              <w:rPr>
                <w:rFonts w:ascii="宋体" w:hAnsi="宋体" w:cs="宋体" w:eastAsia="宋体" w:hint="default"/>
                <w:sz w:val="18"/>
                <w:szCs w:val="18"/>
              </w:rPr>
            </w:pPr>
            <w:r>
              <w:rPr>
                <w:rFonts w:ascii="宋体"/>
                <w:sz w:val="18"/>
              </w:rPr>
              <w:t>194,444,812.91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17,715,221.43</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9.11%</w:t>
            </w:r>
          </w:p>
        </w:tc>
        <w:tc>
          <w:tcPr>
            <w:tcW w:w="1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69" w:right="0"/>
              <w:jc w:val="center"/>
              <w:rPr>
                <w:rFonts w:ascii="宋体" w:hAnsi="宋体" w:cs="宋体" w:eastAsia="宋体" w:hint="default"/>
                <w:sz w:val="18"/>
                <w:szCs w:val="18"/>
              </w:rPr>
            </w:pPr>
            <w:r>
              <w:rPr>
                <w:rFonts w:ascii="宋体"/>
                <w:sz w:val="18"/>
              </w:rPr>
              <w:t>176,729,591.48</w:t>
            </w:r>
          </w:p>
        </w:tc>
      </w:tr>
      <w:tr>
        <w:trPr>
          <w:trHeight w:val="412" w:hRule="exact"/>
        </w:trPr>
        <w:tc>
          <w:tcPr>
            <w:tcW w:w="39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单项金额不重大但单独计提坏账准备的应收账款</w:t>
            </w:r>
          </w:p>
        </w:tc>
        <w:tc>
          <w:tcPr>
            <w:tcW w:w="1428" w:type="dxa"/>
            <w:tcBorders>
              <w:top w:val="single" w:sz="6" w:space="0" w:color="000000"/>
              <w:left w:val="single" w:sz="14" w:space="0" w:color="D2D2D2"/>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396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4"/>
              <w:ind w:left="102" w:right="0"/>
              <w:jc w:val="center"/>
              <w:rPr>
                <w:rFonts w:ascii="宋体" w:hAnsi="宋体" w:cs="宋体" w:eastAsia="宋体" w:hint="default"/>
                <w:sz w:val="18"/>
                <w:szCs w:val="18"/>
              </w:rPr>
            </w:pPr>
            <w:r>
              <w:rPr>
                <w:rFonts w:ascii="宋体"/>
                <w:sz w:val="18"/>
              </w:rPr>
              <w:t>194,444,812.91</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17,715,221.43</w:t>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9.11%</w:t>
            </w:r>
          </w:p>
        </w:tc>
        <w:tc>
          <w:tcPr>
            <w:tcW w:w="13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left="69" w:right="0"/>
              <w:jc w:val="center"/>
              <w:rPr>
                <w:rFonts w:ascii="宋体" w:hAnsi="宋体" w:cs="宋体" w:eastAsia="宋体" w:hint="default"/>
                <w:sz w:val="18"/>
                <w:szCs w:val="18"/>
              </w:rPr>
            </w:pPr>
            <w:r>
              <w:rPr>
                <w:rFonts w:ascii="宋体"/>
                <w:sz w:val="18"/>
              </w:rPr>
              <w:t>176,729,591.48</w:t>
            </w:r>
          </w:p>
        </w:tc>
      </w:tr>
    </w:tbl>
    <w:p>
      <w:pPr>
        <w:spacing w:line="240" w:lineRule="auto" w:before="1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3954"/>
        <w:gridCol w:w="1428"/>
        <w:gridCol w:w="709"/>
        <w:gridCol w:w="1276"/>
        <w:gridCol w:w="851"/>
        <w:gridCol w:w="1341"/>
      </w:tblGrid>
      <w:tr>
        <w:trPr>
          <w:trHeight w:val="419" w:hRule="exact"/>
        </w:trPr>
        <w:tc>
          <w:tcPr>
            <w:tcW w:w="3954"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605"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5" w:hRule="exact"/>
        </w:trPr>
        <w:tc>
          <w:tcPr>
            <w:tcW w:w="3954"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62"/>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21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left="7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left="6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1"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6" w:hRule="exact"/>
        </w:trPr>
        <w:tc>
          <w:tcPr>
            <w:tcW w:w="3954" w:type="dxa"/>
            <w:vMerge/>
            <w:tcBorders>
              <w:left w:val="single" w:sz="12" w:space="0" w:color="000000"/>
              <w:bottom w:val="nil" w:sz="6" w:space="0" w:color="auto"/>
              <w:right w:val="single" w:sz="6" w:space="0" w:color="000000"/>
            </w:tcBorders>
            <w:shd w:val="clear" w:color="auto" w:fill="D2D2D2"/>
          </w:tcPr>
          <w:p>
            <w:pPr/>
          </w:p>
        </w:tc>
        <w:tc>
          <w:tcPr>
            <w:tcW w:w="2137" w:type="dxa"/>
            <w:gridSpan w:val="2"/>
            <w:vMerge/>
            <w:tcBorders>
              <w:left w:val="single" w:sz="6" w:space="0" w:color="000000"/>
              <w:bottom w:val="single" w:sz="6" w:space="0" w:color="000000"/>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6" w:space="0" w:color="000000"/>
            </w:tcBorders>
            <w:shd w:val="clear" w:color="auto" w:fill="D2D2D2"/>
          </w:tcPr>
          <w:p>
            <w:pPr/>
          </w:p>
        </w:tc>
        <w:tc>
          <w:tcPr>
            <w:tcW w:w="1341"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3954" w:type="dxa"/>
            <w:vMerge w:val="restart"/>
            <w:tcBorders>
              <w:top w:val="nil" w:sz="6" w:space="0" w:color="auto"/>
              <w:left w:val="single" w:sz="12" w:space="0" w:color="000000"/>
              <w:right w:val="single" w:sz="6" w:space="0" w:color="000000"/>
            </w:tcBorders>
            <w:shd w:val="clear" w:color="auto" w:fill="D2D2D2"/>
          </w:tcPr>
          <w:p>
            <w:pPr/>
          </w:p>
        </w:tc>
        <w:tc>
          <w:tcPr>
            <w:tcW w:w="142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41" w:type="dxa"/>
            <w:vMerge/>
            <w:tcBorders>
              <w:left w:val="single" w:sz="6" w:space="0" w:color="000000"/>
              <w:bottom w:val="nil" w:sz="6" w:space="0" w:color="auto"/>
              <w:right w:val="single" w:sz="12" w:space="0" w:color="000000"/>
            </w:tcBorders>
            <w:shd w:val="clear" w:color="auto" w:fill="D2D2D2"/>
          </w:tcPr>
          <w:p>
            <w:pPr/>
          </w:p>
        </w:tc>
      </w:tr>
      <w:tr>
        <w:trPr>
          <w:trHeight w:val="217" w:hRule="exact"/>
        </w:trPr>
        <w:tc>
          <w:tcPr>
            <w:tcW w:w="3954" w:type="dxa"/>
            <w:vMerge/>
            <w:tcBorders>
              <w:left w:val="single" w:sz="12" w:space="0" w:color="000000"/>
              <w:bottom w:val="single" w:sz="6" w:space="0" w:color="000000"/>
              <w:right w:val="single" w:sz="6" w:space="0" w:color="000000"/>
            </w:tcBorders>
            <w:shd w:val="clear" w:color="auto" w:fill="D2D2D2"/>
          </w:tcPr>
          <w:p>
            <w:pPr/>
          </w:p>
        </w:tc>
        <w:tc>
          <w:tcPr>
            <w:tcW w:w="1428" w:type="dxa"/>
            <w:vMerge/>
            <w:tcBorders>
              <w:left w:val="single" w:sz="6" w:space="0" w:color="000000"/>
              <w:bottom w:val="single" w:sz="6" w:space="0" w:color="000000"/>
              <w:right w:val="single" w:sz="6" w:space="0" w:color="000000"/>
            </w:tcBorders>
            <w:shd w:val="clear" w:color="auto" w:fill="D2D2D2"/>
          </w:tcPr>
          <w:p>
            <w:pPr/>
          </w:p>
        </w:tc>
        <w:tc>
          <w:tcPr>
            <w:tcW w:w="709"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341"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1" w:hRule="exact"/>
        </w:trPr>
        <w:tc>
          <w:tcPr>
            <w:tcW w:w="39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单项金额重大并单独计提坏账准备的应收账款</w:t>
            </w:r>
          </w:p>
        </w:tc>
        <w:tc>
          <w:tcPr>
            <w:tcW w:w="1428" w:type="dxa"/>
            <w:tcBorders>
              <w:top w:val="single" w:sz="7" w:space="0" w:color="000000"/>
              <w:left w:val="single" w:sz="14" w:space="0" w:color="D2D2D2"/>
              <w:bottom w:val="single" w:sz="6" w:space="0" w:color="000000"/>
              <w:right w:val="single" w:sz="6" w:space="0" w:color="000000"/>
            </w:tcBorders>
          </w:tcPr>
          <w:p>
            <w:pPr/>
          </w:p>
        </w:tc>
        <w:tc>
          <w:tcPr>
            <w:tcW w:w="709" w:type="dxa"/>
            <w:tcBorders>
              <w:top w:val="single" w:sz="7" w:space="0" w:color="000000"/>
              <w:left w:val="single" w:sz="6" w:space="0" w:color="000000"/>
              <w:bottom w:val="single" w:sz="6" w:space="0" w:color="000000"/>
              <w:right w:val="single" w:sz="6" w:space="0" w:color="000000"/>
            </w:tcBorders>
          </w:tcPr>
          <w:p>
            <w:pPr/>
          </w:p>
        </w:tc>
        <w:tc>
          <w:tcPr>
            <w:tcW w:w="1276" w:type="dxa"/>
            <w:tcBorders>
              <w:top w:val="single" w:sz="7" w:space="0" w:color="000000"/>
              <w:left w:val="single" w:sz="6" w:space="0" w:color="000000"/>
              <w:bottom w:val="single" w:sz="6" w:space="0" w:color="000000"/>
              <w:right w:val="single" w:sz="6" w:space="0" w:color="000000"/>
            </w:tcBorders>
          </w:tcPr>
          <w:p>
            <w:pPr/>
          </w:p>
        </w:tc>
        <w:tc>
          <w:tcPr>
            <w:tcW w:w="851" w:type="dxa"/>
            <w:tcBorders>
              <w:top w:val="single" w:sz="7" w:space="0" w:color="000000"/>
              <w:left w:val="single" w:sz="6" w:space="0" w:color="000000"/>
              <w:bottom w:val="single" w:sz="6" w:space="0" w:color="000000"/>
              <w:right w:val="single" w:sz="6" w:space="0" w:color="000000"/>
            </w:tcBorders>
          </w:tcPr>
          <w:p>
            <w:pPr/>
          </w:p>
        </w:tc>
        <w:tc>
          <w:tcPr>
            <w:tcW w:w="134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4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left="102" w:right="0"/>
              <w:jc w:val="center"/>
              <w:rPr>
                <w:rFonts w:ascii="宋体" w:hAnsi="宋体" w:cs="宋体" w:eastAsia="宋体" w:hint="default"/>
                <w:sz w:val="18"/>
                <w:szCs w:val="18"/>
              </w:rPr>
            </w:pPr>
            <w:r>
              <w:rPr>
                <w:rFonts w:ascii="宋体"/>
                <w:sz w:val="18"/>
              </w:rPr>
              <w:t>229,271,856.73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19,962,952.40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8.71%</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34" w:right="0"/>
              <w:jc w:val="center"/>
              <w:rPr>
                <w:rFonts w:ascii="宋体" w:hAnsi="宋体" w:cs="宋体" w:eastAsia="宋体" w:hint="default"/>
                <w:sz w:val="18"/>
                <w:szCs w:val="18"/>
              </w:rPr>
            </w:pPr>
            <w:r>
              <w:rPr>
                <w:rFonts w:ascii="宋体"/>
                <w:sz w:val="18"/>
              </w:rPr>
              <w:t>209,308,904.33</w:t>
            </w:r>
          </w:p>
        </w:tc>
      </w:tr>
      <w:tr>
        <w:trPr>
          <w:trHeight w:val="412" w:hRule="exact"/>
        </w:trPr>
        <w:tc>
          <w:tcPr>
            <w:tcW w:w="395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6"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单项金额不重大但单独计提坏账准备的应收账款</w:t>
            </w:r>
          </w:p>
        </w:tc>
        <w:tc>
          <w:tcPr>
            <w:tcW w:w="1428" w:type="dxa"/>
            <w:tcBorders>
              <w:top w:val="single" w:sz="6" w:space="0" w:color="000000"/>
              <w:left w:val="single" w:sz="14" w:space="0" w:color="D2D2D2"/>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341"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95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18"/>
                <w:szCs w:val="18"/>
              </w:rPr>
            </w:pPr>
            <w:r>
              <w:rPr>
                <w:rFonts w:ascii="宋体"/>
                <w:sz w:val="18"/>
              </w:rPr>
              <w:t>229,271,856.73</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4"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19,962,952.40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8.71%</w:t>
            </w:r>
          </w:p>
        </w:tc>
        <w:tc>
          <w:tcPr>
            <w:tcW w:w="13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34" w:right="0"/>
              <w:jc w:val="center"/>
              <w:rPr>
                <w:rFonts w:ascii="宋体" w:hAnsi="宋体" w:cs="宋体" w:eastAsia="宋体" w:hint="default"/>
                <w:sz w:val="18"/>
                <w:szCs w:val="18"/>
              </w:rPr>
            </w:pPr>
            <w:r>
              <w:rPr>
                <w:rFonts w:ascii="宋体"/>
                <w:sz w:val="18"/>
              </w:rPr>
              <w:t>209,308,904.33</w:t>
            </w:r>
          </w:p>
        </w:tc>
      </w:tr>
    </w:tbl>
    <w:p>
      <w:pPr>
        <w:pStyle w:val="BodyText"/>
        <w:spacing w:line="240" w:lineRule="auto" w:before="63"/>
        <w:ind w:left="1134" w:right="1121"/>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before="0"/>
        <w:ind w:left="1134" w:right="6132"/>
        <w:jc w:val="left"/>
      </w:pPr>
      <w:r>
        <w:rPr/>
        <w:t>□ 适用 √</w:t>
      </w:r>
      <w:r>
        <w:rPr>
          <w:spacing w:val="-1"/>
        </w:rPr>
        <w:t> </w:t>
      </w:r>
      <w:r>
        <w:rPr/>
        <w:t>不适用</w:t>
      </w:r>
      <w:r>
        <w:rPr/>
        <w:t> 组合中，按账龄分析法计提坏账准备的应收账款：</w:t>
      </w:r>
    </w:p>
    <w:p>
      <w:pPr>
        <w:pStyle w:val="BodyText"/>
        <w:spacing w:line="240" w:lineRule="auto"/>
        <w:ind w:left="1134" w:right="1121"/>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495"/>
        <w:gridCol w:w="2295"/>
        <w:gridCol w:w="2391"/>
        <w:gridCol w:w="2389"/>
      </w:tblGrid>
      <w:tr>
        <w:trPr>
          <w:trHeight w:val="413" w:hRule="exact"/>
        </w:trPr>
        <w:tc>
          <w:tcPr>
            <w:tcW w:w="24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495" w:type="dxa"/>
            <w:vMerge/>
            <w:tcBorders>
              <w:left w:val="single" w:sz="12" w:space="0" w:color="000000"/>
              <w:bottom w:val="single" w:sz="6" w:space="0" w:color="000000"/>
              <w:right w:val="single" w:sz="6" w:space="0" w:color="000000"/>
            </w:tcBorders>
            <w:shd w:val="clear" w:color="auto" w:fill="D2D2D2"/>
          </w:tcPr>
          <w:p>
            <w:pPr/>
          </w:p>
        </w:tc>
        <w:tc>
          <w:tcPr>
            <w:tcW w:w="22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122,226,637.33</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3,666,799.12</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15" w:hRule="exact"/>
        </w:trPr>
        <w:tc>
          <w:tcPr>
            <w:tcW w:w="24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122,226,637.33</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3,666,799.12</w:t>
            </w:r>
          </w:p>
        </w:tc>
        <w:tc>
          <w:tcPr>
            <w:tcW w:w="2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bl>
    <w:p>
      <w:pPr>
        <w:spacing w:after="0" w:line="240" w:lineRule="auto"/>
        <w:jc w:val="right"/>
        <w:rPr>
          <w:rFonts w:ascii="宋体" w:hAnsi="宋体" w:cs="宋体" w:eastAsia="宋体" w:hint="default"/>
          <w:sz w:val="18"/>
          <w:szCs w:val="18"/>
        </w:rPr>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2477"/>
        <w:gridCol w:w="2306"/>
        <w:gridCol w:w="2391"/>
        <w:gridCol w:w="2389"/>
      </w:tblGrid>
      <w:tr>
        <w:trPr>
          <w:trHeight w:val="219" w:hRule="exact"/>
        </w:trPr>
        <w:tc>
          <w:tcPr>
            <w:tcW w:w="2477" w:type="dxa"/>
            <w:tcBorders>
              <w:top w:val="single" w:sz="12" w:space="0" w:color="000000"/>
              <w:left w:val="single" w:sz="12" w:space="0" w:color="000000"/>
              <w:bottom w:val="nil" w:sz="6" w:space="0" w:color="auto"/>
              <w:right w:val="single" w:sz="6" w:space="0" w:color="000000"/>
            </w:tcBorders>
            <w:shd w:val="clear" w:color="auto" w:fill="D2D2D2"/>
          </w:tcPr>
          <w:p>
            <w:pPr/>
          </w:p>
        </w:tc>
        <w:tc>
          <w:tcPr>
            <w:tcW w:w="7085"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085" w:type="dxa"/>
            <w:gridSpan w:val="3"/>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2477" w:type="dxa"/>
            <w:vMerge/>
            <w:tcBorders>
              <w:left w:val="single" w:sz="12" w:space="0" w:color="000000"/>
              <w:bottom w:val="nil" w:sz="6" w:space="0" w:color="auto"/>
              <w:right w:val="single" w:sz="6" w:space="0" w:color="000000"/>
            </w:tcBorders>
            <w:shd w:val="clear" w:color="auto" w:fill="D2D2D2"/>
          </w:tcPr>
          <w:p>
            <w:pPr/>
          </w:p>
        </w:tc>
        <w:tc>
          <w:tcPr>
            <w:tcW w:w="230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12" w:space="0" w:color="000000"/>
              <w:bottom w:val="single" w:sz="6" w:space="0" w:color="000000"/>
              <w:right w:val="single" w:sz="6" w:space="0" w:color="000000"/>
            </w:tcBorders>
            <w:shd w:val="clear" w:color="auto" w:fill="D2D2D2"/>
          </w:tcPr>
          <w:p>
            <w:pPr/>
          </w:p>
        </w:tc>
        <w:tc>
          <w:tcPr>
            <w:tcW w:w="2306" w:type="dxa"/>
            <w:vMerge/>
            <w:tcBorders>
              <w:left w:val="single" w:sz="6" w:space="0" w:color="000000"/>
              <w:bottom w:val="single" w:sz="6" w:space="0" w:color="000000"/>
              <w:right w:val="single" w:sz="6" w:space="0" w:color="000000"/>
            </w:tcBorders>
            <w:shd w:val="clear" w:color="auto" w:fill="D2D2D2"/>
          </w:tcPr>
          <w:p>
            <w:pPr/>
          </w:p>
        </w:tc>
        <w:tc>
          <w:tcPr>
            <w:tcW w:w="2391" w:type="dxa"/>
            <w:vMerge/>
            <w:tcBorders>
              <w:left w:val="single" w:sz="6" w:space="0" w:color="000000"/>
              <w:bottom w:val="single" w:sz="6" w:space="0" w:color="000000"/>
              <w:right w:val="single" w:sz="6" w:space="0" w:color="000000"/>
            </w:tcBorders>
            <w:shd w:val="clear" w:color="auto" w:fill="D2D2D2"/>
          </w:tcPr>
          <w:p>
            <w:pPr/>
          </w:p>
        </w:tc>
        <w:tc>
          <w:tcPr>
            <w:tcW w:w="2389"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4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47,182,393.71</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4,718,239.37</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24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13,741,956.45</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4,122,586.94</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24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5,939,115.42</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5,207,596.00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87.68%</w:t>
            </w:r>
          </w:p>
        </w:tc>
      </w:tr>
      <w:tr>
        <w:trPr>
          <w:trHeight w:val="407" w:hRule="exact"/>
        </w:trPr>
        <w:tc>
          <w:tcPr>
            <w:tcW w:w="24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1,459,078.84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729,539.42</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8" w:hRule="exact"/>
        </w:trPr>
        <w:tc>
          <w:tcPr>
            <w:tcW w:w="24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6,599.99</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4,619.99</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r>
        <w:trPr>
          <w:trHeight w:val="407" w:hRule="exact"/>
        </w:trPr>
        <w:tc>
          <w:tcPr>
            <w:tcW w:w="247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4,473,436.59</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4,473,436.59</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5" w:hRule="exact"/>
        </w:trPr>
        <w:tc>
          <w:tcPr>
            <w:tcW w:w="247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189,090,102.91</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17,715,221.43</w:t>
            </w:r>
          </w:p>
        </w:tc>
        <w:tc>
          <w:tcPr>
            <w:tcW w:w="2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9.37%</w:t>
            </w:r>
          </w:p>
        </w:tc>
      </w:tr>
    </w:tbl>
    <w:p>
      <w:pPr>
        <w:pStyle w:val="BodyText"/>
        <w:spacing w:line="240" w:lineRule="auto" w:before="63"/>
        <w:ind w:left="1134" w:right="1121"/>
        <w:jc w:val="left"/>
      </w:pPr>
      <w:r>
        <w:rPr/>
        <w:t>组合中，采用余额百分比法计提坏账准备的应收账款：</w:t>
      </w:r>
    </w:p>
    <w:p>
      <w:pPr>
        <w:spacing w:line="240" w:lineRule="auto" w:before="10"/>
        <w:rPr>
          <w:rFonts w:ascii="宋体" w:hAnsi="宋体" w:cs="宋体" w:eastAsia="宋体" w:hint="default"/>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134" w:right="3718" w:firstLine="0"/>
        <w:jc w:val="left"/>
        <w:rPr>
          <w:rFonts w:ascii="宋体" w:hAnsi="宋体" w:cs="宋体" w:eastAsia="宋体" w:hint="default"/>
          <w:sz w:val="21"/>
          <w:szCs w:val="21"/>
        </w:rPr>
      </w:pPr>
      <w:bookmarkStart w:name="（2）本期计提、收回或转回的坏账准备情况" w:id="497"/>
      <w:bookmarkEnd w:id="49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本期计提坏账准备金额元；本期收回或转回坏账准备金额</w:t>
      </w:r>
      <w:r>
        <w:rPr>
          <w:rFonts w:ascii="宋体" w:hAnsi="宋体" w:cs="宋体" w:eastAsia="宋体" w:hint="default"/>
          <w:spacing w:val="-52"/>
          <w:sz w:val="21"/>
          <w:szCs w:val="21"/>
        </w:rPr>
        <w:t> </w:t>
      </w:r>
      <w:r>
        <w:rPr>
          <w:rFonts w:ascii="宋体" w:hAnsi="宋体" w:cs="宋体" w:eastAsia="宋体" w:hint="default"/>
          <w:sz w:val="21"/>
          <w:szCs w:val="21"/>
        </w:rPr>
        <w:t>2,247,730.97</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Heading4"/>
        <w:spacing w:line="240" w:lineRule="auto" w:before="46"/>
        <w:ind w:left="1133" w:right="1121"/>
        <w:jc w:val="left"/>
        <w:rPr>
          <w:b w:val="0"/>
          <w:bCs w:val="0"/>
        </w:rPr>
      </w:pPr>
      <w:bookmarkStart w:name="（3）本期实际核销的应收账款情况" w:id="498"/>
      <w:bookmarkEnd w:id="498"/>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按欠款方归集的期末余额前五名的应收账款情况" w:id="499"/>
      <w:bookmarkEnd w:id="499"/>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tbl>
      <w:tblPr>
        <w:tblW w:w="0" w:type="auto"/>
        <w:jc w:val="left"/>
        <w:tblInd w:w="1102" w:type="dxa"/>
        <w:tblLayout w:type="fixed"/>
        <w:tblCellMar>
          <w:top w:w="0" w:type="dxa"/>
          <w:left w:w="0" w:type="dxa"/>
          <w:bottom w:w="0" w:type="dxa"/>
          <w:right w:w="0" w:type="dxa"/>
        </w:tblCellMar>
        <w:tblLook w:val="01E0"/>
      </w:tblPr>
      <w:tblGrid>
        <w:gridCol w:w="2852"/>
        <w:gridCol w:w="1418"/>
        <w:gridCol w:w="1559"/>
        <w:gridCol w:w="992"/>
        <w:gridCol w:w="2451"/>
      </w:tblGrid>
      <w:tr>
        <w:trPr>
          <w:trHeight w:val="418" w:hRule="exact"/>
        </w:trPr>
        <w:tc>
          <w:tcPr>
            <w:tcW w:w="28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占应收账款总额比例（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13" w:hRule="exact"/>
        </w:trPr>
        <w:tc>
          <w:tcPr>
            <w:tcW w:w="2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国网江苏省电力公司物资公司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32,655,277.22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sz w:val="18"/>
              </w:rPr>
              <w:t>16.79%</w:t>
            </w:r>
          </w:p>
        </w:tc>
      </w:tr>
      <w:tr>
        <w:trPr>
          <w:trHeight w:val="412" w:hRule="exact"/>
        </w:trPr>
        <w:tc>
          <w:tcPr>
            <w:tcW w:w="2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国网山东省电力公司物资公司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21,983,660.95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sz w:val="18"/>
              </w:rPr>
              <w:t>11.31%</w:t>
            </w:r>
          </w:p>
        </w:tc>
      </w:tr>
      <w:tr>
        <w:trPr>
          <w:trHeight w:val="412" w:hRule="exact"/>
        </w:trPr>
        <w:tc>
          <w:tcPr>
            <w:tcW w:w="2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13,852,520.28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sz w:val="18"/>
              </w:rPr>
              <w:t>7.12%</w:t>
            </w:r>
          </w:p>
        </w:tc>
      </w:tr>
      <w:tr>
        <w:trPr>
          <w:trHeight w:val="413" w:hRule="exact"/>
        </w:trPr>
        <w:tc>
          <w:tcPr>
            <w:tcW w:w="2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国网山西省电力公司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13,248,334.04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sz w:val="18"/>
              </w:rPr>
              <w:t>6.81%</w:t>
            </w:r>
          </w:p>
        </w:tc>
      </w:tr>
      <w:tr>
        <w:trPr>
          <w:trHeight w:val="412" w:hRule="exact"/>
        </w:trPr>
        <w:tc>
          <w:tcPr>
            <w:tcW w:w="28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青岛盛邦慧通能源科技有限公司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6,961,800.00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2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sz w:val="18"/>
              </w:rPr>
              <w:t>3.58%</w:t>
            </w:r>
          </w:p>
        </w:tc>
      </w:tr>
      <w:tr>
        <w:trPr>
          <w:trHeight w:val="419" w:hRule="exact"/>
        </w:trPr>
        <w:tc>
          <w:tcPr>
            <w:tcW w:w="28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79" w:right="0"/>
              <w:jc w:val="center"/>
              <w:rPr>
                <w:rFonts w:ascii="宋体" w:hAnsi="宋体" w:cs="宋体" w:eastAsia="宋体" w:hint="default"/>
                <w:sz w:val="18"/>
                <w:szCs w:val="18"/>
              </w:rPr>
            </w:pPr>
            <w:r>
              <w:rPr>
                <w:rFonts w:ascii="宋体"/>
                <w:sz w:val="18"/>
              </w:rPr>
              <w:t>-</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88,701,592.49</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24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sz w:val="18"/>
              </w:rPr>
              <w:t>45.62%</w:t>
            </w:r>
          </w:p>
        </w:tc>
      </w:tr>
    </w:tbl>
    <w:p>
      <w:pPr>
        <w:spacing w:before="51"/>
        <w:ind w:left="1134" w:right="112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6,837,820.5</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123,979.50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2"/>
          <w:szCs w:val="12"/>
        </w:rPr>
      </w:pPr>
    </w:p>
    <w:p>
      <w:pPr>
        <w:pStyle w:val="Heading4"/>
        <w:spacing w:line="240" w:lineRule="auto"/>
        <w:ind w:left="1133" w:right="1121"/>
        <w:jc w:val="left"/>
        <w:rPr>
          <w:b w:val="0"/>
          <w:bCs w:val="0"/>
        </w:rPr>
      </w:pPr>
      <w:bookmarkStart w:name="（5）因金融资产转移而终止确认的应收账款" w:id="500"/>
      <w:bookmarkEnd w:id="500"/>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6）转移应收账款且继续涉入形成的资产、负债金额" w:id="501"/>
      <w:bookmarkEnd w:id="501"/>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其他应收款" w:id="502"/>
      <w:bookmarkEnd w:id="502"/>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4"/>
        <w:spacing w:line="240" w:lineRule="auto" w:before="46"/>
        <w:ind w:right="1121"/>
        <w:jc w:val="left"/>
        <w:rPr>
          <w:b w:val="0"/>
          <w:bCs w:val="0"/>
        </w:rPr>
      </w:pPr>
      <w:bookmarkStart w:name="（1）其他应收款分类披露" w:id="503"/>
      <w:bookmarkEnd w:id="503"/>
      <w:r>
        <w:rPr>
          <w:b w:val="0"/>
          <w:bCs w:val="0"/>
        </w:rPr>
      </w:r>
      <w:r>
        <w:rPr/>
        <w:t>（</w:t>
      </w:r>
      <w:r>
        <w:rPr>
          <w:rFonts w:ascii="宋体" w:hAnsi="宋体" w:cs="宋体" w:eastAsia="宋体" w:hint="default"/>
        </w:rPr>
        <w:t>1</w:t>
      </w:r>
      <w:r>
        <w:rPr/>
        <w:t>）其他应收款分类披露</w:t>
      </w:r>
      <w:r>
        <w:rPr>
          <w:b w:val="0"/>
          <w:bCs w:val="0"/>
        </w:rPr>
      </w:r>
    </w:p>
    <w:p>
      <w:pPr>
        <w:spacing w:line="240" w:lineRule="auto" w:before="6"/>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4"/>
        <w:rPr>
          <w:rFonts w:ascii="宋体" w:hAnsi="宋体" w:cs="宋体" w:eastAsia="宋体" w:hint="default"/>
          <w:sz w:val="29"/>
          <w:szCs w:val="29"/>
        </w:rPr>
      </w:pPr>
    </w:p>
    <w:tbl>
      <w:tblPr>
        <w:tblW w:w="0" w:type="auto"/>
        <w:jc w:val="left"/>
        <w:tblInd w:w="1118" w:type="dxa"/>
        <w:tblLayout w:type="fixed"/>
        <w:tblCellMar>
          <w:top w:w="0" w:type="dxa"/>
          <w:left w:w="0" w:type="dxa"/>
          <w:bottom w:w="0" w:type="dxa"/>
          <w:right w:w="0" w:type="dxa"/>
        </w:tblCellMar>
        <w:tblLook w:val="01E0"/>
      </w:tblPr>
      <w:tblGrid>
        <w:gridCol w:w="4102"/>
        <w:gridCol w:w="1286"/>
        <w:gridCol w:w="709"/>
        <w:gridCol w:w="1276"/>
        <w:gridCol w:w="851"/>
        <w:gridCol w:w="1327"/>
      </w:tblGrid>
      <w:tr>
        <w:trPr>
          <w:trHeight w:val="418" w:hRule="exact"/>
        </w:trPr>
        <w:tc>
          <w:tcPr>
            <w:tcW w:w="410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449"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16" w:hRule="exact"/>
        </w:trPr>
        <w:tc>
          <w:tcPr>
            <w:tcW w:w="410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6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7"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6" w:hRule="exact"/>
        </w:trPr>
        <w:tc>
          <w:tcPr>
            <w:tcW w:w="4102" w:type="dxa"/>
            <w:vMerge/>
            <w:tcBorders>
              <w:left w:val="single" w:sz="12" w:space="0" w:color="000000"/>
              <w:bottom w:val="nil" w:sz="6" w:space="0" w:color="auto"/>
              <w:right w:val="single" w:sz="6" w:space="0" w:color="000000"/>
            </w:tcBorders>
            <w:shd w:val="clear" w:color="auto" w:fill="D2D2D2"/>
          </w:tcPr>
          <w:p>
            <w:pPr/>
          </w:p>
        </w:tc>
        <w:tc>
          <w:tcPr>
            <w:tcW w:w="1996" w:type="dxa"/>
            <w:gridSpan w:val="2"/>
            <w:vMerge/>
            <w:tcBorders>
              <w:left w:val="single" w:sz="6" w:space="0" w:color="000000"/>
              <w:bottom w:val="single" w:sz="6" w:space="0" w:color="000000"/>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6" w:space="0" w:color="000000"/>
            </w:tcBorders>
            <w:shd w:val="clear" w:color="auto" w:fill="D2D2D2"/>
          </w:tcPr>
          <w:p>
            <w:pPr/>
          </w:p>
        </w:tc>
        <w:tc>
          <w:tcPr>
            <w:tcW w:w="132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4102" w:type="dxa"/>
            <w:vMerge w:val="restart"/>
            <w:tcBorders>
              <w:top w:val="nil" w:sz="6" w:space="0" w:color="auto"/>
              <w:left w:val="single" w:sz="12" w:space="0" w:color="000000"/>
              <w:right w:val="single" w:sz="6" w:space="0" w:color="000000"/>
            </w:tcBorders>
            <w:shd w:val="clear" w:color="auto" w:fill="D2D2D2"/>
          </w:tcPr>
          <w:p>
            <w:pPr/>
          </w:p>
        </w:tc>
        <w:tc>
          <w:tcPr>
            <w:tcW w:w="12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4"/>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7" w:type="dxa"/>
            <w:vMerge/>
            <w:tcBorders>
              <w:left w:val="single" w:sz="6" w:space="0" w:color="000000"/>
              <w:bottom w:val="nil" w:sz="6" w:space="0" w:color="auto"/>
              <w:right w:val="single" w:sz="12" w:space="0" w:color="000000"/>
            </w:tcBorders>
            <w:shd w:val="clear" w:color="auto" w:fill="D2D2D2"/>
          </w:tcPr>
          <w:p>
            <w:pPr/>
          </w:p>
        </w:tc>
      </w:tr>
      <w:tr>
        <w:trPr>
          <w:trHeight w:val="217" w:hRule="exact"/>
        </w:trPr>
        <w:tc>
          <w:tcPr>
            <w:tcW w:w="4102" w:type="dxa"/>
            <w:vMerge/>
            <w:tcBorders>
              <w:left w:val="single" w:sz="12" w:space="0" w:color="000000"/>
              <w:bottom w:val="single" w:sz="6"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shd w:val="clear" w:color="auto" w:fill="D2D2D2"/>
          </w:tcPr>
          <w:p>
            <w:pPr/>
          </w:p>
        </w:tc>
        <w:tc>
          <w:tcPr>
            <w:tcW w:w="709"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327"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1"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86" w:type="dxa"/>
            <w:tcBorders>
              <w:top w:val="single" w:sz="7" w:space="0" w:color="000000"/>
              <w:left w:val="single" w:sz="14" w:space="0" w:color="D2D2D2"/>
              <w:bottom w:val="single" w:sz="6" w:space="0" w:color="000000"/>
              <w:right w:val="single" w:sz="6" w:space="0" w:color="000000"/>
            </w:tcBorders>
          </w:tcPr>
          <w:p>
            <w:pPr/>
          </w:p>
        </w:tc>
        <w:tc>
          <w:tcPr>
            <w:tcW w:w="709" w:type="dxa"/>
            <w:tcBorders>
              <w:top w:val="single" w:sz="7" w:space="0" w:color="000000"/>
              <w:left w:val="single" w:sz="6" w:space="0" w:color="000000"/>
              <w:bottom w:val="single" w:sz="6" w:space="0" w:color="000000"/>
              <w:right w:val="single" w:sz="6" w:space="0" w:color="000000"/>
            </w:tcBorders>
          </w:tcPr>
          <w:p>
            <w:pPr/>
          </w:p>
        </w:tc>
        <w:tc>
          <w:tcPr>
            <w:tcW w:w="1276" w:type="dxa"/>
            <w:tcBorders>
              <w:top w:val="single" w:sz="7" w:space="0" w:color="000000"/>
              <w:left w:val="single" w:sz="6" w:space="0" w:color="000000"/>
              <w:bottom w:val="single" w:sz="6" w:space="0" w:color="000000"/>
              <w:right w:val="single" w:sz="6" w:space="0" w:color="000000"/>
            </w:tcBorders>
          </w:tcPr>
          <w:p>
            <w:pPr/>
          </w:p>
        </w:tc>
        <w:tc>
          <w:tcPr>
            <w:tcW w:w="851" w:type="dxa"/>
            <w:tcBorders>
              <w:top w:val="single" w:sz="7"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26,513,514.05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4"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1,693,450.35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6.39%</w:t>
            </w:r>
          </w:p>
        </w:tc>
        <w:tc>
          <w:tcPr>
            <w:tcW w:w="13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24,820,063.70</w:t>
            </w:r>
          </w:p>
        </w:tc>
      </w:tr>
      <w:tr>
        <w:trPr>
          <w:trHeight w:val="412" w:hRule="exact"/>
        </w:trPr>
        <w:tc>
          <w:tcPr>
            <w:tcW w:w="410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410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26,513,514.05</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1,693,450.35</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6.39%</w:t>
            </w:r>
          </w:p>
        </w:tc>
        <w:tc>
          <w:tcPr>
            <w:tcW w:w="13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24,820,063.70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25" w:type="dxa"/>
        <w:tblLayout w:type="fixed"/>
        <w:tblCellMar>
          <w:top w:w="0" w:type="dxa"/>
          <w:left w:w="0" w:type="dxa"/>
          <w:bottom w:w="0" w:type="dxa"/>
          <w:right w:w="0" w:type="dxa"/>
        </w:tblCellMar>
        <w:tblLook w:val="01E0"/>
      </w:tblPr>
      <w:tblGrid>
        <w:gridCol w:w="4095"/>
        <w:gridCol w:w="1286"/>
        <w:gridCol w:w="709"/>
        <w:gridCol w:w="1276"/>
        <w:gridCol w:w="851"/>
        <w:gridCol w:w="1357"/>
      </w:tblGrid>
      <w:tr>
        <w:trPr>
          <w:trHeight w:val="418" w:hRule="exact"/>
        </w:trPr>
        <w:tc>
          <w:tcPr>
            <w:tcW w:w="409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5479"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17" w:hRule="exact"/>
        </w:trPr>
        <w:tc>
          <w:tcPr>
            <w:tcW w:w="409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left="6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4"/>
              <w:ind w:left="6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7"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6" w:hRule="exact"/>
        </w:trPr>
        <w:tc>
          <w:tcPr>
            <w:tcW w:w="4095" w:type="dxa"/>
            <w:vMerge/>
            <w:tcBorders>
              <w:left w:val="single" w:sz="12" w:space="0" w:color="000000"/>
              <w:bottom w:val="nil" w:sz="6" w:space="0" w:color="auto"/>
              <w:right w:val="single" w:sz="6" w:space="0" w:color="000000"/>
            </w:tcBorders>
            <w:shd w:val="clear" w:color="auto" w:fill="D2D2D2"/>
          </w:tcPr>
          <w:p>
            <w:pPr/>
          </w:p>
        </w:tc>
        <w:tc>
          <w:tcPr>
            <w:tcW w:w="1996" w:type="dxa"/>
            <w:gridSpan w:val="2"/>
            <w:vMerge/>
            <w:tcBorders>
              <w:left w:val="single" w:sz="6" w:space="0" w:color="000000"/>
              <w:bottom w:val="single" w:sz="6" w:space="0" w:color="000000"/>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6" w:space="0" w:color="000000"/>
            </w:tcBorders>
            <w:shd w:val="clear" w:color="auto" w:fill="D2D2D2"/>
          </w:tcPr>
          <w:p>
            <w:pPr/>
          </w:p>
        </w:tc>
        <w:tc>
          <w:tcPr>
            <w:tcW w:w="135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4095" w:type="dxa"/>
            <w:vMerge w:val="restart"/>
            <w:tcBorders>
              <w:top w:val="nil" w:sz="6" w:space="0" w:color="auto"/>
              <w:left w:val="single" w:sz="12" w:space="0" w:color="000000"/>
              <w:right w:val="single" w:sz="6" w:space="0" w:color="000000"/>
            </w:tcBorders>
            <w:shd w:val="clear" w:color="auto" w:fill="D2D2D2"/>
          </w:tcPr>
          <w:p>
            <w:pPr/>
          </w:p>
        </w:tc>
        <w:tc>
          <w:tcPr>
            <w:tcW w:w="12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57" w:type="dxa"/>
            <w:vMerge/>
            <w:tcBorders>
              <w:left w:val="single" w:sz="6" w:space="0" w:color="000000"/>
              <w:bottom w:val="nil" w:sz="6" w:space="0" w:color="auto"/>
              <w:right w:val="single" w:sz="12" w:space="0" w:color="000000"/>
            </w:tcBorders>
            <w:shd w:val="clear" w:color="auto" w:fill="D2D2D2"/>
          </w:tcPr>
          <w:p>
            <w:pPr/>
          </w:p>
        </w:tc>
      </w:tr>
      <w:tr>
        <w:trPr>
          <w:trHeight w:val="218" w:hRule="exact"/>
        </w:trPr>
        <w:tc>
          <w:tcPr>
            <w:tcW w:w="4095" w:type="dxa"/>
            <w:vMerge/>
            <w:tcBorders>
              <w:left w:val="single" w:sz="12" w:space="0" w:color="000000"/>
              <w:bottom w:val="single" w:sz="6"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shd w:val="clear" w:color="auto" w:fill="D2D2D2"/>
          </w:tcPr>
          <w:p>
            <w:pPr/>
          </w:p>
        </w:tc>
        <w:tc>
          <w:tcPr>
            <w:tcW w:w="709" w:type="dxa"/>
            <w:vMerge/>
            <w:tcBorders>
              <w:left w:val="single" w:sz="6" w:space="0" w:color="000000"/>
              <w:bottom w:val="single" w:sz="6"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1357"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0" w:hRule="exact"/>
        </w:trPr>
        <w:tc>
          <w:tcPr>
            <w:tcW w:w="40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0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52,383,316.08</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1,369,439.88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2.61%</w:t>
            </w:r>
          </w:p>
        </w:tc>
        <w:tc>
          <w:tcPr>
            <w:tcW w:w="13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51,013,876.20</w:t>
            </w:r>
          </w:p>
        </w:tc>
      </w:tr>
      <w:tr>
        <w:trPr>
          <w:trHeight w:val="412" w:hRule="exact"/>
        </w:trPr>
        <w:tc>
          <w:tcPr>
            <w:tcW w:w="40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86" w:type="dxa"/>
            <w:tcBorders>
              <w:top w:val="single" w:sz="6" w:space="0" w:color="000000"/>
              <w:left w:val="single" w:sz="14" w:space="0" w:color="D2D2D2"/>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40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4"/>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52,383,316.08</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1,369,439.88</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2.61%</w:t>
            </w:r>
          </w:p>
        </w:tc>
        <w:tc>
          <w:tcPr>
            <w:tcW w:w="13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51,013,876.20</w:t>
            </w:r>
          </w:p>
        </w:tc>
      </w:tr>
    </w:tbl>
    <w:p>
      <w:pPr>
        <w:pStyle w:val="BodyText"/>
        <w:spacing w:line="240" w:lineRule="auto" w:before="63"/>
        <w:ind w:left="1134" w:right="1121"/>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408" w:lineRule="auto" w:before="0"/>
        <w:ind w:left="1134" w:right="5922"/>
        <w:jc w:val="left"/>
      </w:pPr>
      <w:r>
        <w:rPr/>
        <w:t>□ 适用 √</w:t>
      </w:r>
      <w:r>
        <w:rPr>
          <w:spacing w:val="-1"/>
        </w:rPr>
        <w:t> </w:t>
      </w:r>
      <w:r>
        <w:rPr/>
        <w:t>不适用</w:t>
      </w:r>
      <w:r>
        <w:rPr/>
        <w:t> 组合中，按账龄分析法计提坏账准备的其他应收款：</w:t>
      </w:r>
    </w:p>
    <w:p>
      <w:pPr>
        <w:pStyle w:val="BodyText"/>
        <w:spacing w:line="240" w:lineRule="auto"/>
        <w:ind w:left="1134" w:right="1121"/>
        <w:jc w:val="left"/>
      </w:pPr>
      <w:r>
        <w:rPr/>
        <w:t>√ 适用 □</w:t>
      </w:r>
      <w:r>
        <w:rPr>
          <w:spacing w:val="-1"/>
        </w:rPr>
        <w:t> </w:t>
      </w:r>
      <w:r>
        <w:rPr/>
        <w:t>不适用</w:t>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2495"/>
        <w:gridCol w:w="2295"/>
        <w:gridCol w:w="2391"/>
        <w:gridCol w:w="2389"/>
      </w:tblGrid>
      <w:tr>
        <w:trPr>
          <w:trHeight w:val="415" w:hRule="exact"/>
        </w:trPr>
        <w:tc>
          <w:tcPr>
            <w:tcW w:w="24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495" w:type="dxa"/>
            <w:vMerge/>
            <w:tcBorders>
              <w:left w:val="single" w:sz="12" w:space="0" w:color="000000"/>
              <w:bottom w:val="single" w:sz="6" w:space="0" w:color="000000"/>
              <w:right w:val="single" w:sz="6" w:space="0" w:color="000000"/>
            </w:tcBorders>
            <w:shd w:val="clear" w:color="auto" w:fill="D2D2D2"/>
          </w:tcPr>
          <w:p>
            <w:pPr/>
          </w:p>
        </w:tc>
        <w:tc>
          <w:tcPr>
            <w:tcW w:w="22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8,584,141.55</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257,524.25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8"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8,584,141.55</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257,524.25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122,425.50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12,242.55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988,400.00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296,520.00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1,318,447.00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1,127,163.55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85.50%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373,898.10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186,949.05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14,448.00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10,113.60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r>
        <w:trPr>
          <w:trHeight w:val="408"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930,100.90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930,100.90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100.00%</w:t>
            </w:r>
          </w:p>
        </w:tc>
      </w:tr>
      <w:tr>
        <w:trPr>
          <w:trHeight w:val="415" w:hRule="exact"/>
        </w:trPr>
        <w:tc>
          <w:tcPr>
            <w:tcW w:w="24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11,013,414.05</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1,693,450.35</w:t>
            </w:r>
          </w:p>
        </w:tc>
        <w:tc>
          <w:tcPr>
            <w:tcW w:w="2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15.38%</w:t>
            </w:r>
          </w:p>
        </w:tc>
      </w:tr>
    </w:tbl>
    <w:p>
      <w:pPr>
        <w:pStyle w:val="BodyText"/>
        <w:spacing w:line="240" w:lineRule="auto" w:before="63"/>
        <w:ind w:left="1134" w:right="1121"/>
        <w:jc w:val="left"/>
      </w:pPr>
      <w:r>
        <w:rPr/>
        <w:t>组合中，采用余额百分比法计提坏账准备的其他应收款：</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1134" w:right="5922"/>
        <w:jc w:val="left"/>
      </w:pPr>
      <w:r>
        <w:rPr/>
        <w:t>□ 适用 √</w:t>
      </w:r>
      <w:r>
        <w:rPr>
          <w:spacing w:val="-1"/>
        </w:rPr>
        <w:t> </w:t>
      </w:r>
      <w:r>
        <w:rPr/>
        <w:t>不适用</w:t>
      </w:r>
      <w:r>
        <w:rPr/>
        <w:t> 组合中，采用其他方法计提坏账准备的其他应收款：</w:t>
      </w:r>
    </w:p>
    <w:p>
      <w:pPr>
        <w:pStyle w:val="BodyText"/>
        <w:spacing w:line="240" w:lineRule="auto"/>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2）本期计提、收回或转回的坏账准备情况" w:id="504"/>
      <w:bookmarkEnd w:id="504"/>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本期计提坏账准备金额</w:t>
      </w:r>
      <w:r>
        <w:rPr>
          <w:spacing w:val="-53"/>
        </w:rPr>
        <w:t> </w:t>
      </w:r>
      <w:r>
        <w:rPr>
          <w:rFonts w:ascii="宋体" w:hAnsi="宋体" w:cs="宋体" w:eastAsia="宋体" w:hint="default"/>
        </w:rPr>
        <w:t>324,010.47</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3）本期实际核销的其他应收款情况" w:id="505"/>
      <w:bookmarkEnd w:id="505"/>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4）其他应收款按款项性质分类情况" w:id="506"/>
      <w:bookmarkEnd w:id="506"/>
      <w:r>
        <w:rPr>
          <w:b w:val="0"/>
          <w:bCs w:val="0"/>
        </w:rPr>
      </w:r>
      <w:r>
        <w:rPr/>
        <w:t>（</w:t>
      </w:r>
      <w:r>
        <w:rPr>
          <w:rFonts w:ascii="宋体" w:hAnsi="宋体" w:cs="宋体" w:eastAsia="宋体" w:hint="default"/>
        </w:rPr>
        <w:t>4</w:t>
      </w:r>
      <w:r>
        <w:rPr/>
        <w:t>）其他应收款按款项性质分类情况</w:t>
      </w:r>
      <w:r>
        <w:rPr>
          <w:b w:val="0"/>
          <w:bCs w:val="0"/>
        </w:rPr>
      </w:r>
    </w:p>
    <w:p>
      <w:pPr>
        <w:spacing w:before="1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8" w:type="dxa"/>
        <w:tblLayout w:type="fixed"/>
        <w:tblCellMar>
          <w:top w:w="0" w:type="dxa"/>
          <w:left w:w="0" w:type="dxa"/>
          <w:bottom w:w="0" w:type="dxa"/>
          <w:right w:w="0" w:type="dxa"/>
        </w:tblCellMar>
        <w:tblLook w:val="01E0"/>
      </w:tblPr>
      <w:tblGrid>
        <w:gridCol w:w="3545"/>
        <w:gridCol w:w="2925"/>
        <w:gridCol w:w="3099"/>
      </w:tblGrid>
      <w:tr>
        <w:trPr>
          <w:trHeight w:val="415" w:hRule="exact"/>
        </w:trPr>
        <w:tc>
          <w:tcPr>
            <w:tcW w:w="354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4,658,500.00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2,320,592.00</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892,500.00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892,500.00</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2,979,029.79</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2,614,701.03</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2925" w:type="dxa"/>
            <w:tcBorders>
              <w:top w:val="single" w:sz="6" w:space="0" w:color="000000"/>
              <w:left w:val="single" w:sz="6" w:space="0" w:color="000000"/>
              <w:bottom w:val="single" w:sz="6" w:space="0" w:color="000000"/>
              <w:right w:val="single" w:sz="6" w:space="0" w:color="000000"/>
            </w:tcBorders>
          </w:tcPr>
          <w:p>
            <w:pP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200,000.00</w:t>
            </w:r>
          </w:p>
        </w:tc>
      </w:tr>
      <w:tr>
        <w:trPr>
          <w:trHeight w:val="407"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内部关联方往来</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15,500,100.00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44,891,280.00</w:t>
            </w:r>
          </w:p>
        </w:tc>
      </w:tr>
      <w:tr>
        <w:trPr>
          <w:trHeight w:val="408" w:hRule="exact"/>
        </w:trPr>
        <w:tc>
          <w:tcPr>
            <w:tcW w:w="35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2,483,384.26</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1,464,243.05</w:t>
            </w:r>
          </w:p>
        </w:tc>
      </w:tr>
      <w:tr>
        <w:trPr>
          <w:trHeight w:val="415" w:hRule="exact"/>
        </w:trPr>
        <w:tc>
          <w:tcPr>
            <w:tcW w:w="35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26,513,514.05</w:t>
            </w:r>
          </w:p>
        </w:tc>
        <w:tc>
          <w:tcPr>
            <w:tcW w:w="3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52,383,316.08</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5）按欠款方归集的期末余额前五名的其他应收款情况" w:id="507"/>
      <w:bookmarkEnd w:id="507"/>
      <w:r>
        <w:rPr>
          <w:b w:val="0"/>
          <w:bCs w:val="0"/>
        </w:rPr>
      </w:r>
      <w:r>
        <w:rPr>
          <w:w w:val="95"/>
        </w:rPr>
        <w:t>（</w:t>
      </w:r>
      <w:r>
        <w:rPr>
          <w:rFonts w:ascii="Times New Roman" w:hAnsi="Times New Roman" w:cs="Times New Roman" w:eastAsia="Times New Roman" w:hint="default"/>
          <w:w w:val="95"/>
        </w:rPr>
        <w:t>5</w:t>
      </w:r>
      <w:r>
        <w:rPr>
          <w:w w:val="95"/>
        </w:rPr>
        <w:t>）按欠款方归集的期末余额前五名的其他应收款情况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6296" w:space="2624"/>
            <w:col w:w="2990"/>
          </w:cols>
        </w:sectPr>
      </w:pP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986"/>
        <w:gridCol w:w="1559"/>
        <w:gridCol w:w="1244"/>
        <w:gridCol w:w="1592"/>
        <w:gridCol w:w="1559"/>
        <w:gridCol w:w="1630"/>
      </w:tblGrid>
      <w:tr>
        <w:trPr>
          <w:trHeight w:val="727" w:hRule="exact"/>
        </w:trPr>
        <w:tc>
          <w:tcPr>
            <w:tcW w:w="19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2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51" w:right="5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3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48"/>
              <w:jc w:val="left"/>
              <w:rPr>
                <w:rFonts w:ascii="宋体" w:hAnsi="宋体" w:cs="宋体" w:eastAsia="宋体" w:hint="default"/>
                <w:sz w:val="18"/>
                <w:szCs w:val="18"/>
              </w:rPr>
            </w:pPr>
            <w:r>
              <w:rPr>
                <w:rFonts w:ascii="宋体" w:hAnsi="宋体" w:cs="宋体" w:eastAsia="宋体" w:hint="default"/>
                <w:sz w:val="18"/>
                <w:szCs w:val="18"/>
              </w:rPr>
              <w:t>江苏德能电力设计咨询 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关联往来</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15,500,000.00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58.46%</w:t>
            </w:r>
          </w:p>
        </w:tc>
        <w:tc>
          <w:tcPr>
            <w:tcW w:w="163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7.54%</w:t>
            </w:r>
          </w:p>
        </w:tc>
        <w:tc>
          <w:tcPr>
            <w:tcW w:w="16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60,000.00</w:t>
            </w:r>
          </w:p>
        </w:tc>
      </w:tr>
      <w:tr>
        <w:trPr>
          <w:trHeight w:val="408"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江苏天源招标有限公司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1,690,000.00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6.37%</w:t>
            </w:r>
          </w:p>
        </w:tc>
        <w:tc>
          <w:tcPr>
            <w:tcW w:w="16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50,700.00</w:t>
            </w:r>
          </w:p>
        </w:tc>
      </w:tr>
      <w:tr>
        <w:trPr>
          <w:trHeight w:val="407"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朱军</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个人借款</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1,084,500.00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4.09%</w:t>
            </w:r>
          </w:p>
        </w:tc>
        <w:tc>
          <w:tcPr>
            <w:tcW w:w="16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32,535.00</w:t>
            </w:r>
          </w:p>
        </w:tc>
      </w:tr>
      <w:tr>
        <w:trPr>
          <w:trHeight w:val="719"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48"/>
              <w:jc w:val="left"/>
              <w:rPr>
                <w:rFonts w:ascii="宋体" w:hAnsi="宋体" w:cs="宋体" w:eastAsia="宋体" w:hint="default"/>
                <w:sz w:val="18"/>
                <w:szCs w:val="18"/>
              </w:rPr>
            </w:pPr>
            <w:r>
              <w:rPr>
                <w:rFonts w:ascii="宋体" w:hAnsi="宋体" w:cs="宋体" w:eastAsia="宋体" w:hint="default"/>
                <w:sz w:val="18"/>
                <w:szCs w:val="18"/>
              </w:rPr>
              <w:t>江苏凯斯奇能源科技有 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应收租金及保证金</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892,500.00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3.37%</w:t>
            </w:r>
          </w:p>
        </w:tc>
        <w:tc>
          <w:tcPr>
            <w:tcW w:w="16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320,250.00</w:t>
            </w:r>
          </w:p>
        </w:tc>
      </w:tr>
      <w:tr>
        <w:trPr>
          <w:trHeight w:val="415" w:hRule="exact"/>
        </w:trPr>
        <w:tc>
          <w:tcPr>
            <w:tcW w:w="19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21,167,000.00</w:t>
            </w:r>
          </w:p>
        </w:tc>
        <w:tc>
          <w:tcPr>
            <w:tcW w:w="159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79.83%</w:t>
            </w:r>
          </w:p>
        </w:tc>
        <w:tc>
          <w:tcPr>
            <w:tcW w:w="16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463,485.00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ind w:left="1133" w:right="1121"/>
        <w:jc w:val="left"/>
        <w:rPr>
          <w:b w:val="0"/>
          <w:bCs w:val="0"/>
        </w:rPr>
      </w:pPr>
      <w:bookmarkStart w:name="（6）涉及政府补助的应收款项" w:id="508"/>
      <w:bookmarkEnd w:id="508"/>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after="0" w:line="240" w:lineRule="auto"/>
        <w:jc w:val="left"/>
        <w:sectPr>
          <w:type w:val="continuous"/>
          <w:pgSz w:w="11910" w:h="16840"/>
          <w:pgMar w:top="1040" w:bottom="118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133" w:right="1121"/>
        <w:jc w:val="left"/>
        <w:rPr>
          <w:b w:val="0"/>
          <w:bCs w:val="0"/>
        </w:rPr>
      </w:pPr>
      <w:bookmarkStart w:name="（7）因金融资产转移而终止确认的其他应收款" w:id="509"/>
      <w:bookmarkEnd w:id="509"/>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121"/>
        <w:jc w:val="left"/>
        <w:rPr>
          <w:b w:val="0"/>
          <w:bCs w:val="0"/>
        </w:rPr>
      </w:pPr>
      <w:bookmarkStart w:name="（8）转移其他应收款且继续涉入形成的资产、负债金额" w:id="510"/>
      <w:bookmarkEnd w:id="510"/>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14"/>
          <w:szCs w:val="14"/>
        </w:rPr>
      </w:pPr>
    </w:p>
    <w:p>
      <w:pPr>
        <w:spacing w:line="408" w:lineRule="auto" w:before="0"/>
        <w:ind w:left="113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长期股权投资" w:id="511"/>
      <w:bookmarkEnd w:id="511"/>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3" w:type="dxa"/>
        <w:tblLayout w:type="fixed"/>
        <w:tblCellMar>
          <w:top w:w="0" w:type="dxa"/>
          <w:left w:w="0" w:type="dxa"/>
          <w:bottom w:w="0" w:type="dxa"/>
          <w:right w:w="0" w:type="dxa"/>
        </w:tblCellMar>
        <w:tblLook w:val="01E0"/>
      </w:tblPr>
      <w:tblGrid>
        <w:gridCol w:w="1260"/>
        <w:gridCol w:w="1613"/>
        <w:gridCol w:w="1367"/>
        <w:gridCol w:w="1367"/>
        <w:gridCol w:w="1367"/>
        <w:gridCol w:w="1243"/>
        <w:gridCol w:w="1418"/>
      </w:tblGrid>
      <w:tr>
        <w:trPr>
          <w:trHeight w:val="218" w:hRule="exact"/>
        </w:trPr>
        <w:tc>
          <w:tcPr>
            <w:tcW w:w="126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4347"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28"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26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347" w:type="dxa"/>
            <w:gridSpan w:val="3"/>
            <w:vMerge/>
            <w:tcBorders>
              <w:left w:val="single" w:sz="6" w:space="0" w:color="000000"/>
              <w:bottom w:val="single" w:sz="6" w:space="0" w:color="000000"/>
              <w:right w:val="single" w:sz="6" w:space="0" w:color="000000"/>
            </w:tcBorders>
            <w:shd w:val="clear" w:color="auto" w:fill="D2D2D2"/>
          </w:tcPr>
          <w:p>
            <w:pPr/>
          </w:p>
        </w:tc>
        <w:tc>
          <w:tcPr>
            <w:tcW w:w="4028" w:type="dxa"/>
            <w:gridSpan w:val="3"/>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260" w:type="dxa"/>
            <w:vMerge/>
            <w:tcBorders>
              <w:left w:val="single" w:sz="12" w:space="0" w:color="000000"/>
              <w:bottom w:val="nil" w:sz="6" w:space="0" w:color="auto"/>
              <w:right w:val="single" w:sz="6" w:space="0" w:color="000000"/>
            </w:tcBorders>
            <w:shd w:val="clear" w:color="auto" w:fill="D2D2D2"/>
          </w:tcPr>
          <w:p>
            <w:pPr/>
          </w:p>
        </w:tc>
        <w:tc>
          <w:tcPr>
            <w:tcW w:w="16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8"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126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613"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243"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2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934,381,753.97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264,636,565.55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669,745,188.42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800,174,357.65</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8,780,209.73</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791,394,147.92</w:t>
            </w:r>
          </w:p>
        </w:tc>
      </w:tr>
      <w:tr>
        <w:trPr>
          <w:trHeight w:val="719" w:hRule="exact"/>
        </w:trPr>
        <w:tc>
          <w:tcPr>
            <w:tcW w:w="126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 w:right="9"/>
              <w:jc w:val="left"/>
              <w:rPr>
                <w:rFonts w:ascii="宋体" w:hAnsi="宋体" w:cs="宋体" w:eastAsia="宋体" w:hint="default"/>
                <w:sz w:val="18"/>
                <w:szCs w:val="18"/>
              </w:rPr>
            </w:pPr>
            <w:r>
              <w:rPr>
                <w:rFonts w:ascii="宋体" w:hAnsi="宋体" w:cs="宋体" w:eastAsia="宋体" w:hint="default"/>
                <w:spacing w:val="-6"/>
                <w:sz w:val="18"/>
                <w:szCs w:val="18"/>
              </w:rPr>
              <w:t>对联营、合营企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w:t>
            </w:r>
          </w:p>
        </w:tc>
        <w:tc>
          <w:tcPr>
            <w:tcW w:w="161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133,108,525.69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133,108,525.69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42,365,046.86</w:t>
            </w:r>
          </w:p>
        </w:tc>
        <w:tc>
          <w:tcPr>
            <w:tcW w:w="124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42,365,046.86</w:t>
            </w:r>
          </w:p>
        </w:tc>
      </w:tr>
      <w:tr>
        <w:trPr>
          <w:trHeight w:val="415" w:hRule="exact"/>
        </w:trPr>
        <w:tc>
          <w:tcPr>
            <w:tcW w:w="126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1,067,490,279.66</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264,636,565.55</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802,853,714.11</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842,539,404.51</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8,780,209.73</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833,759,194.78</w:t>
            </w:r>
          </w:p>
        </w:tc>
      </w:tr>
    </w:tbl>
    <w:p>
      <w:pPr>
        <w:spacing w:line="240" w:lineRule="auto" w:before="2"/>
        <w:rPr>
          <w:rFonts w:ascii="宋体" w:hAnsi="宋体" w:cs="宋体" w:eastAsia="宋体" w:hint="default"/>
          <w:sz w:val="19"/>
          <w:szCs w:val="19"/>
        </w:rPr>
      </w:pPr>
    </w:p>
    <w:p>
      <w:pPr>
        <w:pStyle w:val="Heading4"/>
        <w:spacing w:line="240" w:lineRule="auto" w:before="35"/>
        <w:ind w:right="1121"/>
        <w:jc w:val="left"/>
        <w:rPr>
          <w:b w:val="0"/>
          <w:bCs w:val="0"/>
        </w:rPr>
      </w:pPr>
      <w:bookmarkStart w:name="（1）对子公司投资" w:id="512"/>
      <w:bookmarkEnd w:id="512"/>
      <w:r>
        <w:rPr>
          <w:b w:val="0"/>
          <w:bCs w:val="0"/>
        </w:rPr>
      </w: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448"/>
        <w:gridCol w:w="1336"/>
        <w:gridCol w:w="1336"/>
        <w:gridCol w:w="1334"/>
        <w:gridCol w:w="1336"/>
        <w:gridCol w:w="1389"/>
        <w:gridCol w:w="1462"/>
      </w:tblGrid>
      <w:tr>
        <w:trPr>
          <w:trHeight w:val="647" w:hRule="exact"/>
        </w:trPr>
        <w:tc>
          <w:tcPr>
            <w:tcW w:w="144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326" w:right="32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46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364" w:right="35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640"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50"/>
              <w:jc w:val="left"/>
              <w:rPr>
                <w:rFonts w:ascii="宋体" w:hAnsi="宋体" w:cs="宋体" w:eastAsia="宋体" w:hint="default"/>
                <w:sz w:val="18"/>
                <w:szCs w:val="18"/>
              </w:rPr>
            </w:pPr>
            <w:r>
              <w:rPr>
                <w:rFonts w:ascii="宋体" w:hAnsi="宋体" w:cs="宋体" w:eastAsia="宋体" w:hint="default"/>
                <w:sz w:val="18"/>
                <w:szCs w:val="18"/>
              </w:rPr>
              <w:t>江苏苏源光一科 技有限公司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29,948,519.39</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122,320.88</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30,070,840.27</w:t>
            </w:r>
          </w:p>
        </w:tc>
        <w:tc>
          <w:tcPr>
            <w:tcW w:w="1389"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50"/>
              <w:jc w:val="left"/>
              <w:rPr>
                <w:rFonts w:ascii="宋体" w:hAnsi="宋体" w:cs="宋体" w:eastAsia="宋体" w:hint="default"/>
                <w:sz w:val="18"/>
                <w:szCs w:val="18"/>
              </w:rPr>
            </w:pPr>
            <w:r>
              <w:rPr>
                <w:rFonts w:ascii="宋体" w:hAnsi="宋体" w:cs="宋体" w:eastAsia="宋体" w:hint="default"/>
                <w:sz w:val="18"/>
                <w:szCs w:val="18"/>
              </w:rPr>
              <w:t>湖北索瑞电气有 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725,233,781.76</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130,232,177.04</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855,465,958.80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244,155,158.80</w:t>
            </w:r>
          </w:p>
        </w:tc>
        <w:tc>
          <w:tcPr>
            <w:tcW w:w="14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244,155,158.80</w:t>
            </w:r>
          </w:p>
        </w:tc>
      </w:tr>
      <w:tr>
        <w:trPr>
          <w:trHeight w:val="640"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50"/>
              <w:jc w:val="left"/>
              <w:rPr>
                <w:rFonts w:ascii="宋体" w:hAnsi="宋体" w:cs="宋体" w:eastAsia="宋体" w:hint="default"/>
                <w:sz w:val="18"/>
                <w:szCs w:val="18"/>
              </w:rPr>
            </w:pPr>
            <w:r>
              <w:rPr>
                <w:rFonts w:ascii="宋体" w:hAnsi="宋体" w:cs="宋体" w:eastAsia="宋体" w:hint="default"/>
                <w:sz w:val="18"/>
                <w:szCs w:val="18"/>
              </w:rPr>
              <w:t>南京云商天下信 息技术有限公司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11,492,754.30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91,459.12</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11,584,213.42</w:t>
            </w:r>
          </w:p>
        </w:tc>
        <w:tc>
          <w:tcPr>
            <w:tcW w:w="1389"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3,828,073.75</w:t>
            </w:r>
          </w:p>
        </w:tc>
      </w:tr>
      <w:tr>
        <w:trPr>
          <w:trHeight w:val="638"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50"/>
              <w:jc w:val="left"/>
              <w:rPr>
                <w:rFonts w:ascii="宋体" w:hAnsi="宋体" w:cs="宋体" w:eastAsia="宋体" w:hint="default"/>
                <w:sz w:val="18"/>
                <w:szCs w:val="18"/>
              </w:rPr>
            </w:pPr>
            <w:r>
              <w:rPr>
                <w:rFonts w:ascii="宋体" w:hAnsi="宋体" w:cs="宋体" w:eastAsia="宋体" w:hint="default"/>
                <w:sz w:val="18"/>
                <w:szCs w:val="18"/>
              </w:rPr>
              <w:t>南京智友尚云信 息技术有限公司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12" w:space="0" w:color="000000"/>
            </w:tcBorders>
          </w:tcPr>
          <w:p>
            <w:pPr/>
          </w:p>
        </w:tc>
      </w:tr>
      <w:tr>
        <w:trPr>
          <w:trHeight w:val="952"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50"/>
              <w:jc w:val="both"/>
              <w:rPr>
                <w:rFonts w:ascii="宋体" w:hAnsi="宋体" w:cs="宋体" w:eastAsia="宋体" w:hint="default"/>
                <w:sz w:val="18"/>
                <w:szCs w:val="18"/>
              </w:rPr>
            </w:pPr>
            <w:r>
              <w:rPr>
                <w:rFonts w:ascii="宋体" w:hAnsi="宋体" w:cs="宋体" w:eastAsia="宋体" w:hint="default"/>
                <w:sz w:val="18"/>
                <w:szCs w:val="18"/>
              </w:rPr>
              <w:t>江苏光一贵仁股 权投资基金管理 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1,000,000.00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4,000,000.00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50"/>
              <w:jc w:val="left"/>
              <w:rPr>
                <w:rFonts w:ascii="宋体" w:hAnsi="宋体" w:cs="宋体" w:eastAsia="宋体" w:hint="default"/>
                <w:sz w:val="18"/>
                <w:szCs w:val="18"/>
              </w:rPr>
            </w:pPr>
            <w:r>
              <w:rPr>
                <w:rFonts w:ascii="宋体" w:hAnsi="宋体" w:cs="宋体" w:eastAsia="宋体" w:hint="default"/>
                <w:sz w:val="18"/>
                <w:szCs w:val="18"/>
              </w:rPr>
              <w:t>江苏光一德能电 气工程有限公司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12,000,000.00</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12,000,000.00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4,952,135.98</w:t>
            </w:r>
          </w:p>
        </w:tc>
      </w:tr>
      <w:tr>
        <w:trPr>
          <w:trHeight w:val="640" w:hRule="exact"/>
        </w:trPr>
        <w:tc>
          <w:tcPr>
            <w:tcW w:w="14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50"/>
              <w:jc w:val="left"/>
              <w:rPr>
                <w:rFonts w:ascii="宋体" w:hAnsi="宋体" w:cs="宋体" w:eastAsia="宋体" w:hint="default"/>
                <w:sz w:val="18"/>
                <w:szCs w:val="18"/>
              </w:rPr>
            </w:pPr>
            <w:r>
              <w:rPr>
                <w:rFonts w:ascii="宋体" w:hAnsi="宋体" w:cs="宋体" w:eastAsia="宋体" w:hint="default"/>
                <w:sz w:val="18"/>
                <w:szCs w:val="18"/>
              </w:rPr>
              <w:t>江苏德能电力设 计咨询有限公司</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17,499,302.20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131,439.28</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17,630,741.48</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11,701,197.02</w:t>
            </w:r>
          </w:p>
        </w:tc>
        <w:tc>
          <w:tcPr>
            <w:tcW w:w="14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11,701,197.02</w:t>
            </w:r>
          </w:p>
        </w:tc>
      </w:tr>
      <w:tr>
        <w:trPr>
          <w:trHeight w:val="638" w:hRule="exact"/>
        </w:trPr>
        <w:tc>
          <w:tcPr>
            <w:tcW w:w="1448" w:type="dxa"/>
            <w:tcBorders>
              <w:top w:val="single" w:sz="6" w:space="0" w:color="000000"/>
              <w:left w:val="single" w:sz="12" w:space="0" w:color="000000"/>
              <w:bottom w:val="single" w:sz="6" w:space="0" w:color="000000"/>
              <w:right w:val="single" w:sz="14" w:space="0" w:color="FFFFFF"/>
            </w:tcBorders>
          </w:tcPr>
          <w:p>
            <w:pPr>
              <w:pStyle w:val="TableParagraph"/>
              <w:spacing w:line="316" w:lineRule="auto" w:before="10"/>
              <w:ind w:left="13" w:right="-38"/>
              <w:jc w:val="left"/>
              <w:rPr>
                <w:rFonts w:ascii="宋体" w:hAnsi="宋体" w:cs="宋体" w:eastAsia="宋体" w:hint="default"/>
                <w:sz w:val="18"/>
                <w:szCs w:val="18"/>
              </w:rPr>
            </w:pPr>
            <w:r>
              <w:rPr>
                <w:rFonts w:ascii="宋体" w:hAnsi="宋体" w:cs="宋体" w:eastAsia="宋体" w:hint="default"/>
                <w:sz w:val="18"/>
                <w:szCs w:val="18"/>
              </w:rPr>
              <w:t>光一数道（北京） 科技有限公司</w:t>
            </w:r>
          </w:p>
        </w:tc>
        <w:tc>
          <w:tcPr>
            <w:tcW w:w="1336" w:type="dxa"/>
            <w:tcBorders>
              <w:top w:val="single" w:sz="6" w:space="0" w:color="000000"/>
              <w:left w:val="single" w:sz="14" w:space="0" w:color="FFFFFF"/>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630,000.00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630,000.00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144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800,174,357.65</w:t>
            </w: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134,207,396.32</w:t>
            </w:r>
          </w:p>
        </w:tc>
        <w:tc>
          <w:tcPr>
            <w:tcW w:w="1334" w:type="dxa"/>
            <w:tcBorders>
              <w:top w:val="single" w:sz="6" w:space="0" w:color="000000"/>
              <w:left w:val="single" w:sz="6" w:space="0" w:color="000000"/>
              <w:bottom w:val="single" w:sz="12" w:space="0" w:color="000000"/>
              <w:right w:val="single" w:sz="6" w:space="0" w:color="000000"/>
            </w:tcBorders>
          </w:tcPr>
          <w:p>
            <w:pP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934,381,753.97</w:t>
            </w:r>
          </w:p>
        </w:tc>
        <w:tc>
          <w:tcPr>
            <w:tcW w:w="13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255,856,355.82</w:t>
            </w:r>
          </w:p>
        </w:tc>
        <w:tc>
          <w:tcPr>
            <w:tcW w:w="14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264,636,565.55</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1000" w:top="1040" w:bottom="1180" w:left="0" w:right="0"/>
        </w:sectPr>
      </w:pPr>
    </w:p>
    <w:p>
      <w:pPr>
        <w:pStyle w:val="Heading4"/>
        <w:spacing w:line="240" w:lineRule="auto" w:before="35"/>
        <w:ind w:right="0"/>
        <w:jc w:val="left"/>
        <w:rPr>
          <w:b w:val="0"/>
          <w:bCs w:val="0"/>
        </w:rPr>
      </w:pPr>
      <w:bookmarkStart w:name="（2）对联营、合营企业投资" w:id="513"/>
      <w:bookmarkEnd w:id="513"/>
      <w:r>
        <w:rPr>
          <w:b w:val="0"/>
          <w:bCs w:val="0"/>
        </w:rPr>
      </w:r>
      <w:r>
        <w:rPr>
          <w:w w:val="95"/>
        </w:rPr>
        <w:t>（</w:t>
      </w:r>
      <w:r>
        <w:rPr>
          <w:rFonts w:ascii="宋体" w:hAnsi="宋体" w:cs="宋体" w:eastAsia="宋体" w:hint="default"/>
          <w:w w:val="95"/>
        </w:rPr>
        <w:t>2</w:t>
      </w:r>
      <w:r>
        <w:rPr>
          <w:w w:val="95"/>
        </w:rPr>
        <w:t>）对联营、合营企业投资</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3769" w:space="5151"/>
            <w:col w:w="2990"/>
          </w:cols>
        </w:sectPr>
      </w:pPr>
    </w:p>
    <w:p>
      <w:pPr>
        <w:spacing w:line="240" w:lineRule="auto" w:before="3"/>
        <w:rPr>
          <w:rFonts w:ascii="宋体" w:hAnsi="宋体" w:cs="宋体" w:eastAsia="宋体" w:hint="default"/>
          <w:sz w:val="29"/>
          <w:szCs w:val="29"/>
        </w:rPr>
      </w:pPr>
    </w:p>
    <w:tbl>
      <w:tblPr>
        <w:tblW w:w="0" w:type="auto"/>
        <w:jc w:val="left"/>
        <w:tblInd w:w="1080" w:type="dxa"/>
        <w:tblLayout w:type="fixed"/>
        <w:tblCellMar>
          <w:top w:w="0" w:type="dxa"/>
          <w:left w:w="0" w:type="dxa"/>
          <w:bottom w:w="0" w:type="dxa"/>
          <w:right w:w="0" w:type="dxa"/>
        </w:tblCellMar>
        <w:tblLook w:val="01E0"/>
      </w:tblPr>
      <w:tblGrid>
        <w:gridCol w:w="939"/>
        <w:gridCol w:w="1048"/>
        <w:gridCol w:w="1134"/>
        <w:gridCol w:w="210"/>
        <w:gridCol w:w="1066"/>
        <w:gridCol w:w="530"/>
        <w:gridCol w:w="1170"/>
        <w:gridCol w:w="568"/>
        <w:gridCol w:w="567"/>
        <w:gridCol w:w="90"/>
        <w:gridCol w:w="336"/>
        <w:gridCol w:w="1260"/>
        <w:gridCol w:w="797"/>
      </w:tblGrid>
      <w:tr>
        <w:trPr>
          <w:trHeight w:val="334" w:hRule="exact"/>
        </w:trPr>
        <w:tc>
          <w:tcPr>
            <w:tcW w:w="939"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154" w:right="0"/>
              <w:jc w:val="left"/>
              <w:rPr>
                <w:rFonts w:ascii="宋体" w:hAnsi="宋体" w:cs="宋体" w:eastAsia="宋体" w:hint="default"/>
                <w:sz w:val="15"/>
                <w:szCs w:val="15"/>
              </w:rPr>
            </w:pPr>
            <w:r>
              <w:rPr>
                <w:rFonts w:ascii="宋体" w:hAnsi="宋体" w:cs="宋体" w:eastAsia="宋体" w:hint="default"/>
                <w:sz w:val="15"/>
                <w:szCs w:val="15"/>
              </w:rPr>
              <w:t>投资单位</w:t>
            </w:r>
          </w:p>
        </w:tc>
        <w:tc>
          <w:tcPr>
            <w:tcW w:w="104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216"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5671" w:type="dxa"/>
            <w:gridSpan w:val="9"/>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6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32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97"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381" w:lineRule="auto"/>
              <w:ind w:left="92" w:right="80"/>
              <w:jc w:val="left"/>
              <w:rPr>
                <w:rFonts w:ascii="宋体" w:hAnsi="宋体" w:cs="宋体" w:eastAsia="宋体" w:hint="default"/>
                <w:sz w:val="15"/>
                <w:szCs w:val="15"/>
              </w:rPr>
            </w:pPr>
            <w:r>
              <w:rPr>
                <w:rFonts w:ascii="宋体" w:hAnsi="宋体" w:cs="宋体" w:eastAsia="宋体" w:hint="default"/>
                <w:sz w:val="15"/>
                <w:szCs w:val="15"/>
              </w:rPr>
              <w:t>减值准备 期末余额</w:t>
            </w:r>
          </w:p>
        </w:tc>
      </w:tr>
      <w:tr>
        <w:trPr>
          <w:trHeight w:val="1263" w:hRule="exact"/>
        </w:trPr>
        <w:tc>
          <w:tcPr>
            <w:tcW w:w="939" w:type="dxa"/>
            <w:vMerge/>
            <w:tcBorders>
              <w:left w:val="single" w:sz="12" w:space="0" w:color="000000"/>
              <w:bottom w:val="single" w:sz="6" w:space="0" w:color="000000"/>
              <w:right w:val="single" w:sz="6" w:space="0" w:color="000000"/>
            </w:tcBorders>
            <w:shd w:val="clear" w:color="auto" w:fill="D2D2D2"/>
          </w:tcPr>
          <w:p>
            <w:pPr/>
          </w:p>
        </w:tc>
        <w:tc>
          <w:tcPr>
            <w:tcW w:w="1048" w:type="dxa"/>
            <w:vMerge/>
            <w:tcBorders>
              <w:left w:val="single" w:sz="6" w:space="0" w:color="000000"/>
              <w:bottom w:val="single" w:sz="6" w:space="0" w:color="000000"/>
              <w:right w:val="single" w:sz="6" w:space="0" w:color="000000"/>
            </w:tcBorders>
            <w:shd w:val="clear" w:color="auto" w:fill="D2D2D2"/>
          </w:tcPr>
          <w:p>
            <w:pP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2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81" w:lineRule="auto" w:before="33"/>
              <w:ind w:left="22" w:right="20"/>
              <w:jc w:val="both"/>
              <w:rPr>
                <w:rFonts w:ascii="宋体" w:hAnsi="宋体" w:cs="宋体" w:eastAsia="宋体" w:hint="default"/>
                <w:sz w:val="15"/>
                <w:szCs w:val="15"/>
              </w:rPr>
            </w:pPr>
            <w:r>
              <w:rPr>
                <w:rFonts w:ascii="宋体" w:hAnsi="宋体" w:cs="宋体" w:eastAsia="宋体" w:hint="default"/>
                <w:sz w:val="15"/>
                <w:szCs w:val="15"/>
              </w:rPr>
              <w:t>减 少 投 资</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51" w:right="75" w:hanging="76"/>
              <w:jc w:val="left"/>
              <w:rPr>
                <w:rFonts w:ascii="宋体" w:hAnsi="宋体" w:cs="宋体" w:eastAsia="宋体" w:hint="default"/>
                <w:sz w:val="15"/>
                <w:szCs w:val="15"/>
              </w:rPr>
            </w:pPr>
            <w:r>
              <w:rPr>
                <w:rFonts w:ascii="宋体" w:hAnsi="宋体" w:cs="宋体" w:eastAsia="宋体" w:hint="default"/>
                <w:sz w:val="15"/>
                <w:szCs w:val="15"/>
              </w:rPr>
              <w:t>权益法下确认 的投资损益</w:t>
            </w:r>
          </w:p>
        </w:tc>
        <w:tc>
          <w:tcPr>
            <w:tcW w:w="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32" w:right="31"/>
              <w:jc w:val="both"/>
              <w:rPr>
                <w:rFonts w:ascii="宋体" w:hAnsi="宋体" w:cs="宋体" w:eastAsia="宋体" w:hint="default"/>
                <w:sz w:val="15"/>
                <w:szCs w:val="15"/>
              </w:rPr>
            </w:pPr>
            <w:r>
              <w:rPr>
                <w:rFonts w:ascii="宋体" w:hAnsi="宋体" w:cs="宋体" w:eastAsia="宋体" w:hint="default"/>
                <w:sz w:val="15"/>
                <w:szCs w:val="15"/>
              </w:rPr>
              <w:t>其他综 合收益 调整</w:t>
            </w:r>
          </w:p>
        </w:tc>
        <w:tc>
          <w:tcPr>
            <w:tcW w:w="11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28"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5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81" w:lineRule="auto" w:before="33"/>
              <w:ind w:left="51" w:right="49"/>
              <w:jc w:val="both"/>
              <w:rPr>
                <w:rFonts w:ascii="宋体" w:hAnsi="宋体" w:cs="宋体" w:eastAsia="宋体" w:hint="default"/>
                <w:sz w:val="15"/>
                <w:szCs w:val="15"/>
              </w:rPr>
            </w:pPr>
            <w:r>
              <w:rPr>
                <w:rFonts w:ascii="宋体" w:hAnsi="宋体" w:cs="宋体" w:eastAsia="宋体" w:hint="default"/>
                <w:sz w:val="15"/>
                <w:szCs w:val="15"/>
              </w:rPr>
              <w:t>宣告发 放现金 股利或 利润</w:t>
            </w:r>
          </w:p>
        </w:tc>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50" w:right="51"/>
              <w:jc w:val="left"/>
              <w:rPr>
                <w:rFonts w:ascii="宋体" w:hAnsi="宋体" w:cs="宋体" w:eastAsia="宋体" w:hint="default"/>
                <w:sz w:val="15"/>
                <w:szCs w:val="15"/>
              </w:rPr>
            </w:pPr>
            <w:r>
              <w:rPr>
                <w:rFonts w:ascii="宋体" w:hAnsi="宋体" w:cs="宋体" w:eastAsia="宋体" w:hint="default"/>
                <w:sz w:val="15"/>
                <w:szCs w:val="15"/>
              </w:rPr>
              <w:t>计提减 值准备</w:t>
            </w:r>
          </w:p>
        </w:tc>
        <w:tc>
          <w:tcPr>
            <w:tcW w:w="4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0" w:type="dxa"/>
            <w:vMerge/>
            <w:tcBorders>
              <w:left w:val="single" w:sz="6" w:space="0" w:color="000000"/>
              <w:bottom w:val="single" w:sz="6" w:space="0" w:color="000000"/>
              <w:right w:val="single" w:sz="6" w:space="0" w:color="000000"/>
            </w:tcBorders>
            <w:shd w:val="clear" w:color="auto" w:fill="D2D2D2"/>
          </w:tcPr>
          <w:p>
            <w:pPr/>
          </w:p>
        </w:tc>
        <w:tc>
          <w:tcPr>
            <w:tcW w:w="797" w:type="dxa"/>
            <w:vMerge/>
            <w:tcBorders>
              <w:left w:val="single" w:sz="6" w:space="0" w:color="000000"/>
              <w:bottom w:val="single" w:sz="6" w:space="0" w:color="000000"/>
              <w:right w:val="single" w:sz="12" w:space="0" w:color="000000"/>
            </w:tcBorders>
            <w:shd w:val="clear" w:color="auto" w:fill="D2D2D2"/>
          </w:tcPr>
          <w:p>
            <w:pPr/>
          </w:p>
        </w:tc>
      </w:tr>
      <w:tr>
        <w:trPr>
          <w:trHeight w:val="328" w:hRule="exact"/>
        </w:trPr>
        <w:tc>
          <w:tcPr>
            <w:tcW w:w="9715" w:type="dxa"/>
            <w:gridSpan w:val="1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5"/>
              <w:ind w:left="14"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326" w:hRule="exact"/>
        </w:trPr>
        <w:tc>
          <w:tcPr>
            <w:tcW w:w="939" w:type="dxa"/>
            <w:tcBorders>
              <w:top w:val="single" w:sz="6" w:space="0" w:color="000000"/>
              <w:left w:val="single" w:sz="12"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1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657" w:type="dxa"/>
            <w:gridSpan w:val="2"/>
            <w:tcBorders>
              <w:top w:val="single" w:sz="6" w:space="0" w:color="000000"/>
              <w:left w:val="single" w:sz="6" w:space="0" w:color="000000"/>
              <w:bottom w:val="single" w:sz="6" w:space="0" w:color="000000"/>
              <w:right w:val="single" w:sz="6" w:space="0" w:color="000000"/>
            </w:tcBorders>
          </w:tcPr>
          <w:p>
            <w:pPr/>
          </w:p>
        </w:tc>
        <w:tc>
          <w:tcPr>
            <w:tcW w:w="33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9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14"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048" w:type="dxa"/>
            <w:tcBorders>
              <w:top w:val="single" w:sz="6" w:space="0" w:color="000000"/>
              <w:left w:val="single" w:sz="14" w:space="0" w:color="D2D2D2"/>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1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657" w:type="dxa"/>
            <w:gridSpan w:val="2"/>
            <w:tcBorders>
              <w:top w:val="single" w:sz="6" w:space="0" w:color="000000"/>
              <w:left w:val="single" w:sz="6" w:space="0" w:color="000000"/>
              <w:bottom w:val="single" w:sz="6" w:space="0" w:color="000000"/>
              <w:right w:val="single" w:sz="6" w:space="0" w:color="000000"/>
            </w:tcBorders>
          </w:tcPr>
          <w:p>
            <w:pPr/>
          </w:p>
        </w:tc>
        <w:tc>
          <w:tcPr>
            <w:tcW w:w="33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9715" w:type="dxa"/>
            <w:gridSpan w:val="1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952"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5"/>
              <w:ind w:left="14" w:right="150"/>
              <w:jc w:val="both"/>
              <w:rPr>
                <w:rFonts w:ascii="宋体" w:hAnsi="宋体" w:cs="宋体" w:eastAsia="宋体" w:hint="default"/>
                <w:sz w:val="15"/>
                <w:szCs w:val="15"/>
              </w:rPr>
            </w:pPr>
            <w:r>
              <w:rPr>
                <w:rFonts w:ascii="宋体" w:hAnsi="宋体" w:cs="宋体" w:eastAsia="宋体" w:hint="default"/>
                <w:sz w:val="15"/>
                <w:szCs w:val="15"/>
              </w:rPr>
              <w:t>中云文化大 数据科技有 限公司</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5"/>
                <w:szCs w:val="15"/>
              </w:rPr>
            </w:pPr>
            <w:r>
              <w:rPr>
                <w:rFonts w:ascii="宋体"/>
                <w:sz w:val="15"/>
              </w:rPr>
              <w:t>30,372,767.05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center"/>
              <w:rPr>
                <w:rFonts w:ascii="宋体" w:hAnsi="宋体" w:cs="宋体" w:eastAsia="宋体" w:hint="default"/>
                <w:sz w:val="15"/>
                <w:szCs w:val="15"/>
              </w:rPr>
            </w:pPr>
            <w:r>
              <w:rPr>
                <w:rFonts w:ascii="宋体"/>
                <w:sz w:val="15"/>
              </w:rPr>
              <w:t>38,000,000.00</w:t>
            </w:r>
          </w:p>
        </w:tc>
        <w:tc>
          <w:tcPr>
            <w:tcW w:w="21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-6,312,373.13</w:t>
            </w:r>
          </w:p>
        </w:tc>
        <w:tc>
          <w:tcPr>
            <w:tcW w:w="53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5"/>
                <w:szCs w:val="15"/>
              </w:rPr>
            </w:pPr>
            <w:r>
              <w:rPr>
                <w:rFonts w:ascii="宋体"/>
                <w:sz w:val="15"/>
              </w:rPr>
              <w:t>18,586,577.69</w:t>
            </w:r>
          </w:p>
        </w:tc>
        <w:tc>
          <w:tcPr>
            <w:tcW w:w="568" w:type="dxa"/>
            <w:tcBorders>
              <w:top w:val="single" w:sz="6" w:space="0" w:color="000000"/>
              <w:left w:val="single" w:sz="6" w:space="0" w:color="000000"/>
              <w:bottom w:val="single" w:sz="6" w:space="0" w:color="000000"/>
              <w:right w:val="single" w:sz="6" w:space="0" w:color="000000"/>
            </w:tcBorders>
          </w:tcPr>
          <w:p>
            <w:pPr/>
          </w:p>
        </w:tc>
        <w:tc>
          <w:tcPr>
            <w:tcW w:w="657" w:type="dxa"/>
            <w:gridSpan w:val="2"/>
            <w:tcBorders>
              <w:top w:val="single" w:sz="6" w:space="0" w:color="000000"/>
              <w:left w:val="single" w:sz="6" w:space="0" w:color="000000"/>
              <w:bottom w:val="single" w:sz="6" w:space="0" w:color="000000"/>
              <w:right w:val="single" w:sz="6" w:space="0" w:color="000000"/>
            </w:tcBorders>
          </w:tcPr>
          <w:p>
            <w:pPr/>
          </w:p>
        </w:tc>
        <w:tc>
          <w:tcPr>
            <w:tcW w:w="33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80,646,971.61</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3"/>
              <w:ind w:left="14" w:right="150"/>
              <w:jc w:val="both"/>
              <w:rPr>
                <w:rFonts w:ascii="宋体" w:hAnsi="宋体" w:cs="宋体" w:eastAsia="宋体" w:hint="default"/>
                <w:sz w:val="15"/>
                <w:szCs w:val="15"/>
              </w:rPr>
            </w:pPr>
            <w:r>
              <w:rPr>
                <w:rFonts w:ascii="宋体" w:hAnsi="宋体" w:cs="宋体" w:eastAsia="宋体" w:hint="default"/>
                <w:sz w:val="15"/>
                <w:szCs w:val="15"/>
              </w:rPr>
              <w:t>北京中广格 兰信息科技 有限公司</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5"/>
                <w:szCs w:val="15"/>
              </w:rPr>
            </w:pPr>
            <w:r>
              <w:rPr>
                <w:rFonts w:ascii="宋体"/>
                <w:sz w:val="15"/>
              </w:rPr>
              <w:t>9,012,192.63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6" w:right="0"/>
              <w:jc w:val="center"/>
              <w:rPr>
                <w:rFonts w:ascii="宋体" w:hAnsi="宋体" w:cs="宋体" w:eastAsia="宋体" w:hint="default"/>
                <w:sz w:val="15"/>
                <w:szCs w:val="15"/>
              </w:rPr>
            </w:pPr>
            <w:r>
              <w:rPr>
                <w:rFonts w:ascii="宋体"/>
                <w:sz w:val="15"/>
              </w:rPr>
              <w:t>3,000,000.00</w:t>
            </w:r>
          </w:p>
        </w:tc>
        <w:tc>
          <w:tcPr>
            <w:tcW w:w="21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-614,376.31</w:t>
            </w:r>
          </w:p>
        </w:tc>
        <w:tc>
          <w:tcPr>
            <w:tcW w:w="53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657" w:type="dxa"/>
            <w:gridSpan w:val="2"/>
            <w:tcBorders>
              <w:top w:val="single" w:sz="6" w:space="0" w:color="000000"/>
              <w:left w:val="single" w:sz="6" w:space="0" w:color="000000"/>
              <w:bottom w:val="single" w:sz="6" w:space="0" w:color="000000"/>
              <w:right w:val="single" w:sz="6" w:space="0" w:color="000000"/>
            </w:tcBorders>
          </w:tcPr>
          <w:p>
            <w:pPr/>
          </w:p>
        </w:tc>
        <w:tc>
          <w:tcPr>
            <w:tcW w:w="33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11,397,816.32</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5"/>
              <w:ind w:left="14" w:right="150"/>
              <w:jc w:val="both"/>
              <w:rPr>
                <w:rFonts w:ascii="宋体" w:hAnsi="宋体" w:cs="宋体" w:eastAsia="宋体" w:hint="default"/>
                <w:sz w:val="15"/>
                <w:szCs w:val="15"/>
              </w:rPr>
            </w:pPr>
            <w:r>
              <w:rPr>
                <w:rFonts w:ascii="宋体" w:hAnsi="宋体" w:cs="宋体" w:eastAsia="宋体" w:hint="default"/>
                <w:sz w:val="15"/>
                <w:szCs w:val="15"/>
              </w:rPr>
              <w:t>广东今程光 一电力科技 有限责任公 司</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89" w:right="0"/>
              <w:jc w:val="center"/>
              <w:rPr>
                <w:rFonts w:ascii="宋体" w:hAnsi="宋体" w:cs="宋体" w:eastAsia="宋体" w:hint="default"/>
                <w:sz w:val="15"/>
                <w:szCs w:val="15"/>
              </w:rPr>
            </w:pPr>
            <w:r>
              <w:rPr>
                <w:rFonts w:ascii="宋体"/>
                <w:sz w:val="15"/>
              </w:rPr>
              <w:t>2,980,087.18</w:t>
            </w:r>
          </w:p>
        </w:tc>
        <w:tc>
          <w:tcPr>
            <w:tcW w:w="1134" w:type="dxa"/>
            <w:tcBorders>
              <w:top w:val="single" w:sz="6" w:space="0" w:color="000000"/>
              <w:left w:val="single" w:sz="6" w:space="0" w:color="000000"/>
              <w:bottom w:val="single" w:sz="6" w:space="0" w:color="000000"/>
              <w:right w:val="single" w:sz="6" w:space="0" w:color="000000"/>
            </w:tcBorders>
          </w:tcPr>
          <w:p>
            <w:pPr/>
          </w:p>
        </w:tc>
        <w:tc>
          <w:tcPr>
            <w:tcW w:w="21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50,134.21</w:t>
            </w:r>
          </w:p>
        </w:tc>
        <w:tc>
          <w:tcPr>
            <w:tcW w:w="53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657" w:type="dxa"/>
            <w:gridSpan w:val="2"/>
            <w:tcBorders>
              <w:top w:val="single" w:sz="6" w:space="0" w:color="000000"/>
              <w:left w:val="single" w:sz="6" w:space="0" w:color="000000"/>
              <w:bottom w:val="single" w:sz="6" w:space="0" w:color="000000"/>
              <w:right w:val="single" w:sz="6" w:space="0" w:color="000000"/>
            </w:tcBorders>
          </w:tcPr>
          <w:p>
            <w:pPr/>
          </w:p>
        </w:tc>
        <w:tc>
          <w:tcPr>
            <w:tcW w:w="33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3,030,221.39</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951"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3"/>
              <w:ind w:left="14" w:right="150"/>
              <w:jc w:val="both"/>
              <w:rPr>
                <w:rFonts w:ascii="宋体" w:hAnsi="宋体" w:cs="宋体" w:eastAsia="宋体" w:hint="default"/>
                <w:sz w:val="15"/>
                <w:szCs w:val="15"/>
              </w:rPr>
            </w:pPr>
            <w:r>
              <w:rPr>
                <w:rFonts w:ascii="宋体" w:hAnsi="宋体" w:cs="宋体" w:eastAsia="宋体" w:hint="default"/>
                <w:sz w:val="15"/>
                <w:szCs w:val="15"/>
              </w:rPr>
              <w:t>江苏其厚智 能电气设备 有限公司</w:t>
            </w:r>
          </w:p>
        </w:tc>
        <w:tc>
          <w:tcPr>
            <w:tcW w:w="104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1" w:right="0"/>
              <w:jc w:val="center"/>
              <w:rPr>
                <w:rFonts w:ascii="宋体" w:hAnsi="宋体" w:cs="宋体" w:eastAsia="宋体" w:hint="default"/>
                <w:sz w:val="15"/>
                <w:szCs w:val="15"/>
              </w:rPr>
            </w:pPr>
            <w:r>
              <w:rPr>
                <w:rFonts w:ascii="宋体"/>
                <w:sz w:val="15"/>
              </w:rPr>
              <w:t>29,166,666.00</w:t>
            </w:r>
          </w:p>
        </w:tc>
        <w:tc>
          <w:tcPr>
            <w:tcW w:w="21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spacing w:val="-1"/>
                <w:sz w:val="15"/>
              </w:rPr>
              <w:t>3,996,518.31</w:t>
            </w:r>
          </w:p>
        </w:tc>
        <w:tc>
          <w:tcPr>
            <w:tcW w:w="53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657" w:type="dxa"/>
            <w:gridSpan w:val="2"/>
            <w:tcBorders>
              <w:top w:val="single" w:sz="6" w:space="0" w:color="000000"/>
              <w:left w:val="single" w:sz="6" w:space="0" w:color="000000"/>
              <w:bottom w:val="single" w:sz="6" w:space="0" w:color="000000"/>
              <w:right w:val="single" w:sz="6" w:space="0" w:color="000000"/>
            </w:tcBorders>
          </w:tcPr>
          <w:p>
            <w:pPr/>
          </w:p>
        </w:tc>
        <w:tc>
          <w:tcPr>
            <w:tcW w:w="33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33,163,184.31</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952"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381" w:lineRule="auto" w:before="35"/>
              <w:ind w:left="14" w:right="150"/>
              <w:jc w:val="both"/>
              <w:rPr>
                <w:rFonts w:ascii="宋体" w:hAnsi="宋体" w:cs="宋体" w:eastAsia="宋体" w:hint="default"/>
                <w:sz w:val="15"/>
                <w:szCs w:val="15"/>
              </w:rPr>
            </w:pPr>
            <w:r>
              <w:rPr>
                <w:rFonts w:ascii="宋体" w:hAnsi="宋体" w:cs="宋体" w:eastAsia="宋体" w:hint="default"/>
                <w:sz w:val="15"/>
                <w:szCs w:val="15"/>
              </w:rPr>
              <w:t>北京大数有 容科技有限 公司</w:t>
            </w:r>
          </w:p>
        </w:tc>
        <w:tc>
          <w:tcPr>
            <w:tcW w:w="104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6" w:right="0"/>
              <w:jc w:val="center"/>
              <w:rPr>
                <w:rFonts w:ascii="宋体" w:hAnsi="宋体" w:cs="宋体" w:eastAsia="宋体" w:hint="default"/>
                <w:sz w:val="15"/>
                <w:szCs w:val="15"/>
              </w:rPr>
            </w:pPr>
            <w:r>
              <w:rPr>
                <w:rFonts w:ascii="宋体"/>
                <w:sz w:val="15"/>
              </w:rPr>
              <w:t>5,000,000.00</w:t>
            </w:r>
          </w:p>
        </w:tc>
        <w:tc>
          <w:tcPr>
            <w:tcW w:w="21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-129,667.94</w:t>
            </w:r>
          </w:p>
        </w:tc>
        <w:tc>
          <w:tcPr>
            <w:tcW w:w="53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657" w:type="dxa"/>
            <w:gridSpan w:val="2"/>
            <w:tcBorders>
              <w:top w:val="single" w:sz="6" w:space="0" w:color="000000"/>
              <w:left w:val="single" w:sz="6" w:space="0" w:color="000000"/>
              <w:bottom w:val="single" w:sz="6" w:space="0" w:color="000000"/>
              <w:right w:val="single" w:sz="6" w:space="0" w:color="000000"/>
            </w:tcBorders>
          </w:tcPr>
          <w:p>
            <w:pPr/>
          </w:p>
        </w:tc>
        <w:tc>
          <w:tcPr>
            <w:tcW w:w="33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4,870,332.06</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93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5" w:right="0"/>
              <w:jc w:val="center"/>
              <w:rPr>
                <w:rFonts w:ascii="宋体" w:hAnsi="宋体" w:cs="宋体" w:eastAsia="宋体" w:hint="default"/>
                <w:sz w:val="15"/>
                <w:szCs w:val="15"/>
              </w:rPr>
            </w:pPr>
            <w:r>
              <w:rPr>
                <w:rFonts w:ascii="宋体"/>
                <w:sz w:val="15"/>
              </w:rPr>
              <w:t>42,365,046.86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1" w:right="0"/>
              <w:jc w:val="center"/>
              <w:rPr>
                <w:rFonts w:ascii="宋体" w:hAnsi="宋体" w:cs="宋体" w:eastAsia="宋体" w:hint="default"/>
                <w:sz w:val="15"/>
                <w:szCs w:val="15"/>
              </w:rPr>
            </w:pPr>
            <w:r>
              <w:rPr>
                <w:rFonts w:ascii="宋体"/>
                <w:sz w:val="15"/>
              </w:rPr>
              <w:t>75,166,666.00</w:t>
            </w:r>
          </w:p>
        </w:tc>
        <w:tc>
          <w:tcPr>
            <w:tcW w:w="210"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8"/>
              <w:jc w:val="right"/>
              <w:rPr>
                <w:rFonts w:ascii="宋体" w:hAnsi="宋体" w:cs="宋体" w:eastAsia="宋体" w:hint="default"/>
                <w:sz w:val="15"/>
                <w:szCs w:val="15"/>
              </w:rPr>
            </w:pPr>
            <w:r>
              <w:rPr>
                <w:rFonts w:ascii="宋体"/>
                <w:spacing w:val="-1"/>
                <w:sz w:val="15"/>
              </w:rPr>
              <w:t>-3,009,764.86</w:t>
            </w:r>
          </w:p>
        </w:tc>
        <w:tc>
          <w:tcPr>
            <w:tcW w:w="53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60" w:right="0"/>
              <w:jc w:val="left"/>
              <w:rPr>
                <w:rFonts w:ascii="宋体" w:hAnsi="宋体" w:cs="宋体" w:eastAsia="宋体" w:hint="default"/>
                <w:sz w:val="15"/>
                <w:szCs w:val="15"/>
              </w:rPr>
            </w:pPr>
            <w:r>
              <w:rPr>
                <w:rFonts w:ascii="宋体"/>
                <w:sz w:val="15"/>
              </w:rPr>
              <w:t>18,586,577.69</w:t>
            </w:r>
          </w:p>
        </w:tc>
        <w:tc>
          <w:tcPr>
            <w:tcW w:w="568" w:type="dxa"/>
            <w:tcBorders>
              <w:top w:val="single" w:sz="6" w:space="0" w:color="000000"/>
              <w:left w:val="single" w:sz="6" w:space="0" w:color="000000"/>
              <w:bottom w:val="single" w:sz="6" w:space="0" w:color="000000"/>
              <w:right w:val="single" w:sz="6" w:space="0" w:color="000000"/>
            </w:tcBorders>
          </w:tcPr>
          <w:p>
            <w:pPr/>
          </w:p>
        </w:tc>
        <w:tc>
          <w:tcPr>
            <w:tcW w:w="657" w:type="dxa"/>
            <w:gridSpan w:val="2"/>
            <w:tcBorders>
              <w:top w:val="single" w:sz="6" w:space="0" w:color="000000"/>
              <w:left w:val="single" w:sz="6" w:space="0" w:color="000000"/>
              <w:bottom w:val="single" w:sz="6" w:space="0" w:color="000000"/>
              <w:right w:val="single" w:sz="6" w:space="0" w:color="000000"/>
            </w:tcBorders>
          </w:tcPr>
          <w:p>
            <w:pPr/>
          </w:p>
        </w:tc>
        <w:tc>
          <w:tcPr>
            <w:tcW w:w="33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8"/>
              <w:jc w:val="right"/>
              <w:rPr>
                <w:rFonts w:ascii="宋体" w:hAnsi="宋体" w:cs="宋体" w:eastAsia="宋体" w:hint="default"/>
                <w:sz w:val="15"/>
                <w:szCs w:val="15"/>
              </w:rPr>
            </w:pPr>
            <w:r>
              <w:rPr>
                <w:rFonts w:ascii="宋体"/>
                <w:spacing w:val="-1"/>
                <w:sz w:val="15"/>
              </w:rPr>
              <w:t>133,108,525.69</w:t>
            </w:r>
          </w:p>
        </w:tc>
        <w:tc>
          <w:tcPr>
            <w:tcW w:w="797"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93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77"/>
              <w:ind w:left="1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15" w:right="0"/>
              <w:jc w:val="center"/>
              <w:rPr>
                <w:rFonts w:ascii="宋体" w:hAnsi="宋体" w:cs="宋体" w:eastAsia="宋体" w:hint="default"/>
                <w:sz w:val="15"/>
                <w:szCs w:val="15"/>
              </w:rPr>
            </w:pPr>
            <w:r>
              <w:rPr>
                <w:rFonts w:ascii="宋体"/>
                <w:sz w:val="15"/>
              </w:rPr>
              <w:t>42,365,046.86</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101" w:right="0"/>
              <w:jc w:val="center"/>
              <w:rPr>
                <w:rFonts w:ascii="宋体" w:hAnsi="宋体" w:cs="宋体" w:eastAsia="宋体" w:hint="default"/>
                <w:sz w:val="15"/>
                <w:szCs w:val="15"/>
              </w:rPr>
            </w:pPr>
            <w:r>
              <w:rPr>
                <w:rFonts w:ascii="宋体"/>
                <w:sz w:val="15"/>
              </w:rPr>
              <w:t>75,166,666.00</w:t>
            </w:r>
          </w:p>
        </w:tc>
        <w:tc>
          <w:tcPr>
            <w:tcW w:w="210" w:type="dxa"/>
            <w:tcBorders>
              <w:top w:val="single" w:sz="6" w:space="0" w:color="000000"/>
              <w:left w:val="single" w:sz="6" w:space="0" w:color="000000"/>
              <w:bottom w:val="single" w:sz="12" w:space="0" w:color="000000"/>
              <w:right w:val="single" w:sz="6" w:space="0" w:color="000000"/>
            </w:tcBorders>
          </w:tcPr>
          <w:p>
            <w:pP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18"/>
              <w:jc w:val="right"/>
              <w:rPr>
                <w:rFonts w:ascii="宋体" w:hAnsi="宋体" w:cs="宋体" w:eastAsia="宋体" w:hint="default"/>
                <w:sz w:val="15"/>
                <w:szCs w:val="15"/>
              </w:rPr>
            </w:pPr>
            <w:r>
              <w:rPr>
                <w:rFonts w:ascii="宋体"/>
                <w:spacing w:val="-1"/>
                <w:sz w:val="15"/>
              </w:rPr>
              <w:t>-3,009,764.86</w:t>
            </w:r>
          </w:p>
        </w:tc>
        <w:tc>
          <w:tcPr>
            <w:tcW w:w="530" w:type="dxa"/>
            <w:tcBorders>
              <w:top w:val="single" w:sz="6" w:space="0" w:color="000000"/>
              <w:left w:val="single" w:sz="6" w:space="0" w:color="000000"/>
              <w:bottom w:val="single" w:sz="12" w:space="0" w:color="000000"/>
              <w:right w:val="single" w:sz="6" w:space="0" w:color="000000"/>
            </w:tcBorders>
          </w:tcPr>
          <w:p>
            <w:pPr/>
          </w:p>
        </w:tc>
        <w:tc>
          <w:tcPr>
            <w:tcW w:w="1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160" w:right="0"/>
              <w:jc w:val="left"/>
              <w:rPr>
                <w:rFonts w:ascii="宋体" w:hAnsi="宋体" w:cs="宋体" w:eastAsia="宋体" w:hint="default"/>
                <w:sz w:val="15"/>
                <w:szCs w:val="15"/>
              </w:rPr>
            </w:pPr>
            <w:r>
              <w:rPr>
                <w:rFonts w:ascii="宋体"/>
                <w:sz w:val="15"/>
              </w:rPr>
              <w:t>18,586,577.69</w:t>
            </w:r>
          </w:p>
        </w:tc>
        <w:tc>
          <w:tcPr>
            <w:tcW w:w="568" w:type="dxa"/>
            <w:tcBorders>
              <w:top w:val="single" w:sz="6" w:space="0" w:color="000000"/>
              <w:left w:val="single" w:sz="6" w:space="0" w:color="000000"/>
              <w:bottom w:val="single" w:sz="12" w:space="0" w:color="000000"/>
              <w:right w:val="single" w:sz="6" w:space="0" w:color="000000"/>
            </w:tcBorders>
          </w:tcPr>
          <w:p>
            <w:pPr/>
          </w:p>
        </w:tc>
        <w:tc>
          <w:tcPr>
            <w:tcW w:w="657" w:type="dxa"/>
            <w:gridSpan w:val="2"/>
            <w:tcBorders>
              <w:top w:val="single" w:sz="6" w:space="0" w:color="000000"/>
              <w:left w:val="single" w:sz="6" w:space="0" w:color="000000"/>
              <w:bottom w:val="single" w:sz="12" w:space="0" w:color="000000"/>
              <w:right w:val="single" w:sz="6" w:space="0" w:color="000000"/>
            </w:tcBorders>
          </w:tcPr>
          <w:p>
            <w:pPr/>
          </w:p>
        </w:tc>
        <w:tc>
          <w:tcPr>
            <w:tcW w:w="336"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18"/>
              <w:jc w:val="right"/>
              <w:rPr>
                <w:rFonts w:ascii="宋体" w:hAnsi="宋体" w:cs="宋体" w:eastAsia="宋体" w:hint="default"/>
                <w:sz w:val="15"/>
                <w:szCs w:val="15"/>
              </w:rPr>
            </w:pPr>
            <w:r>
              <w:rPr>
                <w:rFonts w:ascii="宋体"/>
                <w:spacing w:val="-1"/>
                <w:sz w:val="15"/>
              </w:rPr>
              <w:t>133,108,525.69</w:t>
            </w:r>
          </w:p>
        </w:tc>
        <w:tc>
          <w:tcPr>
            <w:tcW w:w="79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4"/>
          <w:szCs w:val="14"/>
        </w:rPr>
      </w:pPr>
    </w:p>
    <w:p>
      <w:pPr>
        <w:pStyle w:val="Heading4"/>
        <w:spacing w:line="240" w:lineRule="auto" w:before="35"/>
        <w:ind w:right="1121"/>
        <w:jc w:val="left"/>
        <w:rPr>
          <w:b w:val="0"/>
          <w:bCs w:val="0"/>
        </w:rPr>
      </w:pPr>
      <w:bookmarkStart w:name="（3）其他说明" w:id="514"/>
      <w:bookmarkEnd w:id="514"/>
      <w:r>
        <w:rPr>
          <w:b w:val="0"/>
          <w:bCs w:val="0"/>
        </w:rPr>
      </w:r>
      <w:r>
        <w:rPr/>
        <w:t>（</w:t>
      </w:r>
      <w:r>
        <w:rPr>
          <w:rFonts w:ascii="宋体" w:hAnsi="宋体" w:cs="宋体" w:eastAsia="宋体" w:hint="default"/>
        </w:rPr>
        <w:t>3</w:t>
      </w:r>
      <w:r>
        <w:rPr/>
        <w:t>）其他说明</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98" w:firstLine="420"/>
        <w:jc w:val="left"/>
      </w:pPr>
      <w:r>
        <w:rPr/>
        <w:t>本期长期股权投资增加主要系公司以自有资金</w:t>
      </w:r>
      <w:r>
        <w:rPr>
          <w:rFonts w:ascii="宋体" w:hAnsi="宋体" w:cs="宋体" w:eastAsia="宋体" w:hint="default"/>
        </w:rPr>
        <w:t>12,950.00</w:t>
      </w:r>
      <w:r>
        <w:rPr/>
        <w:t>万元收购剩余少数股东持有湖北索瑞电气有 限公司的股份以及对中云文化大数据科技有限公司的增资所致。</w:t>
      </w:r>
    </w:p>
    <w:p>
      <w:pPr>
        <w:pStyle w:val="Heading4"/>
        <w:spacing w:line="240" w:lineRule="auto" w:before="46"/>
        <w:ind w:left="1133" w:right="1121"/>
        <w:jc w:val="left"/>
        <w:rPr>
          <w:b w:val="0"/>
          <w:bCs w:val="0"/>
        </w:rPr>
      </w:pPr>
      <w:bookmarkStart w:name="4、营业收入和营业成本" w:id="515"/>
      <w:bookmarkEnd w:id="515"/>
      <w:r>
        <w:rPr>
          <w:b w:val="0"/>
          <w:bCs w:val="0"/>
        </w:rPr>
      </w:r>
      <w:r>
        <w:rPr>
          <w:rFonts w:ascii="宋体" w:hAnsi="宋体" w:cs="宋体" w:eastAsia="宋体" w:hint="default"/>
        </w:rPr>
        <w:t>4</w:t>
      </w:r>
      <w:r>
        <w:rPr/>
        <w:t>、营业收入和营业成本</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87" w:type="dxa"/>
        <w:tblLayout w:type="fixed"/>
        <w:tblCellMar>
          <w:top w:w="0" w:type="dxa"/>
          <w:left w:w="0" w:type="dxa"/>
          <w:bottom w:w="0" w:type="dxa"/>
          <w:right w:w="0" w:type="dxa"/>
        </w:tblCellMar>
        <w:tblLook w:val="01E0"/>
      </w:tblPr>
      <w:tblGrid>
        <w:gridCol w:w="2130"/>
        <w:gridCol w:w="1838"/>
        <w:gridCol w:w="1913"/>
        <w:gridCol w:w="1913"/>
        <w:gridCol w:w="1913"/>
      </w:tblGrid>
      <w:tr>
        <w:trPr>
          <w:trHeight w:val="219" w:hRule="exact"/>
        </w:trPr>
        <w:tc>
          <w:tcPr>
            <w:tcW w:w="213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75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2130"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6" w:space="0" w:color="000000"/>
              <w:bottom w:val="single" w:sz="6" w:space="0" w:color="000000"/>
              <w:right w:val="single" w:sz="6" w:space="0" w:color="000000"/>
            </w:tcBorders>
            <w:shd w:val="clear" w:color="auto" w:fill="D2D2D2"/>
          </w:tcPr>
          <w:p>
            <w:pPr/>
          </w:p>
        </w:tc>
        <w:tc>
          <w:tcPr>
            <w:tcW w:w="3827" w:type="dxa"/>
            <w:gridSpan w:val="2"/>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2130" w:type="dxa"/>
            <w:vMerge/>
            <w:tcBorders>
              <w:left w:val="single" w:sz="12" w:space="0" w:color="000000"/>
              <w:bottom w:val="nil" w:sz="6" w:space="0" w:color="auto"/>
              <w:right w:val="single" w:sz="6" w:space="0" w:color="000000"/>
            </w:tcBorders>
            <w:shd w:val="clear" w:color="auto" w:fill="D2D2D2"/>
          </w:tcPr>
          <w:p>
            <w:pPr/>
          </w:p>
        </w:tc>
        <w:tc>
          <w:tcPr>
            <w:tcW w:w="183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213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838"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1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161,652,795.68</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134,672,108.44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217,200,674.60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180,239,009.24</w:t>
            </w:r>
          </w:p>
        </w:tc>
      </w:tr>
      <w:tr>
        <w:trPr>
          <w:trHeight w:val="407" w:hRule="exact"/>
        </w:trPr>
        <w:tc>
          <w:tcPr>
            <w:tcW w:w="213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11,453,759.00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6,132,177.54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170,034.95</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500,529.72</w:t>
            </w:r>
          </w:p>
        </w:tc>
      </w:tr>
      <w:tr>
        <w:trPr>
          <w:trHeight w:val="416" w:hRule="exact"/>
        </w:trPr>
        <w:tc>
          <w:tcPr>
            <w:tcW w:w="213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173,106,554.68</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140,804,285.98</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217,370,709.55</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180,739,538.96</w:t>
            </w:r>
          </w:p>
        </w:tc>
      </w:tr>
    </w:tbl>
    <w:p>
      <w:pPr>
        <w:spacing w:after="0" w:line="240" w:lineRule="auto"/>
        <w:jc w:val="right"/>
        <w:rPr>
          <w:rFonts w:ascii="宋体" w:hAnsi="宋体" w:cs="宋体" w:eastAsia="宋体" w:hint="default"/>
          <w:sz w:val="18"/>
          <w:szCs w:val="18"/>
        </w:rPr>
        <w:sectPr>
          <w:pgSz w:w="11910" w:h="16840"/>
          <w:pgMar w:header="747" w:footer="1000" w:top="1040" w:bottom="1180" w:left="0" w:right="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1000" w:top="1040" w:bottom="1180" w:left="0" w:right="0"/>
        </w:sectPr>
      </w:pPr>
    </w:p>
    <w:p>
      <w:pPr>
        <w:pStyle w:val="Heading4"/>
        <w:spacing w:line="240" w:lineRule="auto" w:before="35"/>
        <w:ind w:left="1133" w:right="-19"/>
        <w:jc w:val="left"/>
        <w:rPr>
          <w:b w:val="0"/>
          <w:bCs w:val="0"/>
        </w:rPr>
      </w:pPr>
      <w:bookmarkStart w:name="5、投资收益" w:id="516"/>
      <w:bookmarkEnd w:id="516"/>
      <w:r>
        <w:rPr>
          <w:b w:val="0"/>
          <w:bCs w:val="0"/>
        </w:rPr>
      </w:r>
      <w:r>
        <w:rPr>
          <w:rFonts w:ascii="宋体" w:hAnsi="宋体" w:cs="宋体" w:eastAsia="宋体" w:hint="default"/>
        </w:rPr>
        <w:t>5</w:t>
      </w:r>
      <w:r>
        <w:rPr/>
        <w:t>、投资收益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40" w:bottom="1180" w:left="0" w:right="0"/>
          <w:cols w:num="2" w:equalWidth="0">
            <w:col w:w="2294" w:space="6625"/>
            <w:col w:w="2991"/>
          </w:cols>
        </w:sectPr>
      </w:pP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3308"/>
        <w:gridCol w:w="3069"/>
        <w:gridCol w:w="3186"/>
      </w:tblGrid>
      <w:tr>
        <w:trPr>
          <w:trHeight w:val="413"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13,577,391.86</w:t>
            </w:r>
          </w:p>
        </w:tc>
        <w:tc>
          <w:tcPr>
            <w:tcW w:w="31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24,835,805.00</w:t>
            </w:r>
          </w:p>
        </w:tc>
      </w:tr>
      <w:tr>
        <w:trPr>
          <w:trHeight w:val="408"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-3,009,764.86</w:t>
            </w:r>
          </w:p>
        </w:tc>
        <w:tc>
          <w:tcPr>
            <w:tcW w:w="31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-2,588,527.97</w:t>
            </w: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9" w:type="dxa"/>
            <w:tcBorders>
              <w:top w:val="single" w:sz="6" w:space="0" w:color="000000"/>
              <w:left w:val="single" w:sz="14"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3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69" w:type="dxa"/>
            <w:tcBorders>
              <w:top w:val="single" w:sz="6" w:space="0" w:color="000000"/>
              <w:left w:val="single" w:sz="14"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37"/>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69" w:type="dxa"/>
            <w:tcBorders>
              <w:top w:val="single" w:sz="6" w:space="0" w:color="000000"/>
              <w:left w:val="single" w:sz="14"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69" w:type="dxa"/>
            <w:tcBorders>
              <w:top w:val="single" w:sz="6" w:space="0" w:color="000000"/>
              <w:left w:val="single" w:sz="14"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9" w:type="dxa"/>
            <w:tcBorders>
              <w:top w:val="single" w:sz="6" w:space="0" w:color="000000"/>
              <w:left w:val="single" w:sz="14"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9" w:type="dxa"/>
            <w:tcBorders>
              <w:top w:val="single" w:sz="6" w:space="0" w:color="000000"/>
              <w:left w:val="single" w:sz="14"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33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 w:right="37"/>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69" w:type="dxa"/>
            <w:tcBorders>
              <w:top w:val="single" w:sz="6" w:space="0" w:color="000000"/>
              <w:left w:val="single" w:sz="14"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3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10,567,627.00</w:t>
            </w:r>
          </w:p>
        </w:tc>
        <w:tc>
          <w:tcPr>
            <w:tcW w:w="31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22,247,277.03</w:t>
            </w:r>
          </w:p>
        </w:tc>
      </w:tr>
    </w:tbl>
    <w:p>
      <w:pPr>
        <w:spacing w:line="240" w:lineRule="auto" w:before="1"/>
        <w:rPr>
          <w:rFonts w:ascii="宋体" w:hAnsi="宋体" w:cs="宋体" w:eastAsia="宋体" w:hint="default"/>
          <w:sz w:val="19"/>
          <w:szCs w:val="19"/>
        </w:rPr>
      </w:pPr>
    </w:p>
    <w:p>
      <w:pPr>
        <w:pStyle w:val="Heading4"/>
        <w:spacing w:line="240" w:lineRule="auto" w:before="35"/>
        <w:ind w:right="1121"/>
        <w:jc w:val="left"/>
        <w:rPr>
          <w:b w:val="0"/>
          <w:bCs w:val="0"/>
        </w:rPr>
      </w:pPr>
      <w:bookmarkStart w:name="6、其他" w:id="517"/>
      <w:bookmarkEnd w:id="517"/>
      <w:r>
        <w:rPr>
          <w:b w:val="0"/>
          <w:bCs w:val="0"/>
        </w:rPr>
      </w:r>
      <w:r>
        <w:rPr>
          <w:rFonts w:ascii="宋体" w:hAnsi="宋体" w:cs="宋体" w:eastAsia="宋体" w:hint="default"/>
        </w:rPr>
        <w:t>6</w:t>
      </w:r>
      <w:r>
        <w:rPr/>
        <w:t>、其他</w:t>
      </w:r>
      <w:r>
        <w:rPr>
          <w:b w:val="0"/>
          <w:bCs w:val="0"/>
        </w:rPr>
      </w:r>
    </w:p>
    <w:p>
      <w:pPr>
        <w:spacing w:line="240" w:lineRule="auto" w:before="13"/>
        <w:rPr>
          <w:rFonts w:ascii="宋体" w:hAnsi="宋体" w:cs="宋体" w:eastAsia="宋体" w:hint="default"/>
          <w:b/>
          <w:bCs/>
          <w:sz w:val="29"/>
          <w:szCs w:val="29"/>
        </w:rPr>
      </w:pPr>
    </w:p>
    <w:p>
      <w:pPr>
        <w:pStyle w:val="Heading2"/>
        <w:spacing w:line="240" w:lineRule="auto"/>
        <w:ind w:right="1121"/>
        <w:jc w:val="left"/>
        <w:rPr>
          <w:b w:val="0"/>
          <w:bCs w:val="0"/>
        </w:rPr>
      </w:pPr>
      <w:bookmarkStart w:name="十八、补充资料" w:id="518"/>
      <w:bookmarkEnd w:id="518"/>
      <w:r>
        <w:rPr>
          <w:b w:val="0"/>
          <w:bCs w:val="0"/>
        </w:rPr>
      </w:r>
      <w:r>
        <w:rPr/>
        <w:t>十八、补充资料</w:t>
      </w:r>
      <w:r>
        <w:rPr>
          <w:b w:val="0"/>
          <w:bCs w:val="0"/>
        </w:rPr>
      </w:r>
    </w:p>
    <w:p>
      <w:pPr>
        <w:pStyle w:val="Heading4"/>
        <w:spacing w:line="240" w:lineRule="auto" w:before="177"/>
        <w:ind w:left="1133" w:right="1121"/>
        <w:jc w:val="left"/>
        <w:rPr>
          <w:b w:val="0"/>
          <w:bCs w:val="0"/>
        </w:rPr>
      </w:pPr>
      <w:bookmarkStart w:name="1、当期非经常性损益明细表" w:id="519"/>
      <w:bookmarkEnd w:id="519"/>
      <w:r>
        <w:rPr>
          <w:b w:val="0"/>
          <w:bCs w:val="0"/>
        </w:rPr>
      </w:r>
      <w:r>
        <w:rPr>
          <w:rFonts w:ascii="宋体" w:hAnsi="宋体" w:cs="宋体" w:eastAsia="宋体" w:hint="default"/>
        </w:rPr>
        <w:t>1</w:t>
      </w:r>
      <w:r>
        <w:rPr/>
        <w:t>、当期非经常性损益明细表</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121"/>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5088"/>
        <w:gridCol w:w="2243"/>
        <w:gridCol w:w="2233"/>
      </w:tblGrid>
      <w:tr>
        <w:trPr>
          <w:trHeight w:val="414" w:hRule="exact"/>
        </w:trPr>
        <w:tc>
          <w:tcPr>
            <w:tcW w:w="50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4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4,433,717.60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0"/>
              <w:ind w:left="6" w:right="1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 标准定额或定量享受的政府补助除外）</w:t>
            </w:r>
          </w:p>
        </w:tc>
        <w:tc>
          <w:tcPr>
            <w:tcW w:w="224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9,617,486.79</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16"/>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 时应享有被投资单位可辨认净资产公允价值产生的收益</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50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24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352,833.33</w:t>
            </w:r>
          </w:p>
        </w:tc>
        <w:tc>
          <w:tcPr>
            <w:tcW w:w="2233"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040" w:bottom="1180" w:left="0" w:right="0"/>
        </w:sectPr>
      </w:pPr>
    </w:p>
    <w:p>
      <w:pPr>
        <w:spacing w:line="240" w:lineRule="auto" w:before="3"/>
        <w:rPr>
          <w:rFonts w:ascii="宋体" w:hAnsi="宋体" w:cs="宋体" w:eastAsia="宋体" w:hint="default"/>
          <w:sz w:val="29"/>
          <w:szCs w:val="29"/>
        </w:rPr>
      </w:pPr>
    </w:p>
    <w:tbl>
      <w:tblPr>
        <w:tblW w:w="0" w:type="auto"/>
        <w:jc w:val="left"/>
        <w:tblInd w:w="1125" w:type="dxa"/>
        <w:tblLayout w:type="fixed"/>
        <w:tblCellMar>
          <w:top w:w="0" w:type="dxa"/>
          <w:left w:w="0" w:type="dxa"/>
          <w:bottom w:w="0" w:type="dxa"/>
          <w:right w:w="0" w:type="dxa"/>
        </w:tblCellMar>
        <w:tblLook w:val="01E0"/>
      </w:tblPr>
      <w:tblGrid>
        <w:gridCol w:w="5088"/>
        <w:gridCol w:w="2243"/>
        <w:gridCol w:w="2233"/>
      </w:tblGrid>
      <w:tr>
        <w:trPr>
          <w:trHeight w:val="415" w:hRule="exact"/>
        </w:trPr>
        <w:tc>
          <w:tcPr>
            <w:tcW w:w="50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1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 金融资产、交易性金融负债产生的公允价值变动损益，以及处置 交易性金融资产、交易性金融负债和可供出售金融资产取得的投 资收益</w:t>
            </w:r>
          </w:p>
        </w:tc>
        <w:tc>
          <w:tcPr>
            <w:tcW w:w="224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1,500,000.00</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16"/>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 生的损益</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0"/>
              <w:ind w:left="6" w:right="16"/>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 对当期损益的影响</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43" w:type="dxa"/>
            <w:tcBorders>
              <w:top w:val="single" w:sz="6" w:space="0" w:color="000000"/>
              <w:left w:val="single" w:sz="14" w:space="0" w:color="D2D2D2"/>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24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11,619.85</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4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58,552.66</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50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4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49,305.04</w:t>
            </w:r>
          </w:p>
        </w:tc>
        <w:tc>
          <w:tcPr>
            <w:tcW w:w="2233"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50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3" w:type="dxa"/>
            <w:tcBorders>
              <w:top w:val="single" w:sz="6" w:space="0" w:color="000000"/>
              <w:left w:val="single" w:sz="14" w:space="0" w:color="D2D2D2"/>
              <w:bottom w:val="single" w:sz="12" w:space="0" w:color="000000"/>
              <w:right w:val="single" w:sz="9" w:space="0" w:color="D2D2D2"/>
            </w:tcBorders>
          </w:tcPr>
          <w:p>
            <w:pPr>
              <w:pStyle w:val="TableParagraph"/>
              <w:spacing w:line="240" w:lineRule="auto" w:before="50"/>
              <w:ind w:right="15"/>
              <w:jc w:val="right"/>
              <w:rPr>
                <w:rFonts w:ascii="宋体" w:hAnsi="宋体" w:cs="宋体" w:eastAsia="宋体" w:hint="default"/>
                <w:sz w:val="18"/>
                <w:szCs w:val="18"/>
              </w:rPr>
            </w:pPr>
            <w:r>
              <w:rPr>
                <w:rFonts w:ascii="宋体"/>
                <w:sz w:val="18"/>
              </w:rPr>
              <w:t>15,807,799.87</w:t>
            </w:r>
          </w:p>
        </w:tc>
        <w:tc>
          <w:tcPr>
            <w:tcW w:w="223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121"/>
        <w:jc w:val="left"/>
        <w:rPr>
          <w:b w:val="0"/>
          <w:bCs w:val="0"/>
        </w:rPr>
      </w:pPr>
      <w:bookmarkStart w:name="2、净资产收益率及每股收益" w:id="520"/>
      <w:bookmarkEnd w:id="520"/>
      <w:r>
        <w:rPr>
          <w:b w:val="0"/>
          <w:bCs w:val="0"/>
        </w:rPr>
      </w: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125" w:type="dxa"/>
        <w:tblLayout w:type="fixed"/>
        <w:tblCellMar>
          <w:top w:w="0" w:type="dxa"/>
          <w:left w:w="0" w:type="dxa"/>
          <w:bottom w:w="0" w:type="dxa"/>
          <w:right w:w="0" w:type="dxa"/>
        </w:tblCellMar>
        <w:tblLook w:val="01E0"/>
      </w:tblPr>
      <w:tblGrid>
        <w:gridCol w:w="4248"/>
        <w:gridCol w:w="1489"/>
        <w:gridCol w:w="1913"/>
        <w:gridCol w:w="1912"/>
      </w:tblGrid>
      <w:tr>
        <w:trPr>
          <w:trHeight w:val="219" w:hRule="exact"/>
        </w:trPr>
        <w:tc>
          <w:tcPr>
            <w:tcW w:w="4248"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489"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99"/>
              <w:ind w:left="467" w:right="104"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5"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8" w:hRule="exact"/>
        </w:trPr>
        <w:tc>
          <w:tcPr>
            <w:tcW w:w="4248"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89" w:type="dxa"/>
            <w:vMerge/>
            <w:tcBorders>
              <w:left w:val="single" w:sz="6" w:space="0" w:color="000000"/>
              <w:right w:val="single" w:sz="6" w:space="0" w:color="000000"/>
            </w:tcBorders>
            <w:shd w:val="clear" w:color="auto" w:fill="D2D2D2"/>
          </w:tcPr>
          <w:p>
            <w:pPr/>
          </w:p>
        </w:tc>
        <w:tc>
          <w:tcPr>
            <w:tcW w:w="3825" w:type="dxa"/>
            <w:gridSpan w:val="2"/>
            <w:vMerge/>
            <w:tcBorders>
              <w:left w:val="single" w:sz="6" w:space="0" w:color="000000"/>
              <w:bottom w:val="single" w:sz="6" w:space="0" w:color="000000"/>
              <w:right w:val="single" w:sz="12" w:space="0" w:color="000000"/>
            </w:tcBorders>
            <w:shd w:val="clear" w:color="auto" w:fill="D2D2D2"/>
          </w:tcPr>
          <w:p>
            <w:pPr/>
          </w:p>
        </w:tc>
      </w:tr>
      <w:tr>
        <w:trPr>
          <w:trHeight w:val="203" w:hRule="exact"/>
        </w:trPr>
        <w:tc>
          <w:tcPr>
            <w:tcW w:w="4248" w:type="dxa"/>
            <w:vMerge/>
            <w:tcBorders>
              <w:left w:val="single" w:sz="12" w:space="0" w:color="000000"/>
              <w:bottom w:val="nil" w:sz="6" w:space="0" w:color="auto"/>
              <w:right w:val="single" w:sz="6" w:space="0" w:color="000000"/>
            </w:tcBorders>
            <w:shd w:val="clear" w:color="auto" w:fill="D2D2D2"/>
          </w:tcPr>
          <w:p>
            <w:pPr/>
          </w:p>
        </w:tc>
        <w:tc>
          <w:tcPr>
            <w:tcW w:w="1489" w:type="dxa"/>
            <w:vMerge/>
            <w:tcBorders>
              <w:left w:val="single" w:sz="6" w:space="0" w:color="000000"/>
              <w:right w:val="single" w:sz="6" w:space="0" w:color="000000"/>
            </w:tcBorders>
            <w:shd w:val="clear" w:color="auto" w:fill="D2D2D2"/>
          </w:tcPr>
          <w:p>
            <w:pP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8"/>
              <w:ind w:left="20"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8"/>
              <w:ind w:left="21" w:right="-22"/>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12" w:hRule="exact"/>
        </w:trPr>
        <w:tc>
          <w:tcPr>
            <w:tcW w:w="424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89"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2"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424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89" w:type="dxa"/>
            <w:tcBorders>
              <w:top w:val="single" w:sz="25" w:space="0" w:color="D2D2D2"/>
              <w:left w:val="single" w:sz="14" w:space="0" w:color="D2D2D2"/>
              <w:bottom w:val="single" w:sz="6" w:space="0" w:color="000000"/>
              <w:right w:val="single" w:sz="6" w:space="0" w:color="000000"/>
            </w:tcBorders>
          </w:tcPr>
          <w:p>
            <w:pPr>
              <w:pStyle w:val="TableParagraph"/>
              <w:spacing w:line="240" w:lineRule="auto" w:before="28"/>
              <w:ind w:right="18"/>
              <w:jc w:val="right"/>
              <w:rPr>
                <w:rFonts w:ascii="宋体" w:hAnsi="宋体" w:cs="宋体" w:eastAsia="宋体" w:hint="default"/>
                <w:sz w:val="18"/>
                <w:szCs w:val="18"/>
              </w:rPr>
            </w:pPr>
            <w:r>
              <w:rPr>
                <w:rFonts w:ascii="宋体"/>
                <w:sz w:val="18"/>
              </w:rPr>
              <w:t>-32.12%</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-0.9619</w:t>
            </w: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-0.9619</w:t>
            </w:r>
          </w:p>
        </w:tc>
      </w:tr>
      <w:tr>
        <w:trPr>
          <w:trHeight w:val="414" w:hRule="exact"/>
        </w:trPr>
        <w:tc>
          <w:tcPr>
            <w:tcW w:w="424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8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-33.41%</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-1.0006</w:t>
            </w: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-1.0006</w:t>
            </w:r>
          </w:p>
        </w:tc>
      </w:tr>
    </w:tbl>
    <w:p>
      <w:pPr>
        <w:spacing w:line="240" w:lineRule="auto" w:before="1"/>
        <w:rPr>
          <w:rFonts w:ascii="宋体" w:hAnsi="宋体" w:cs="宋体" w:eastAsia="宋体" w:hint="default"/>
          <w:b/>
          <w:bCs/>
          <w:sz w:val="14"/>
          <w:szCs w:val="14"/>
        </w:rPr>
      </w:pPr>
    </w:p>
    <w:p>
      <w:pPr>
        <w:pStyle w:val="Heading4"/>
        <w:spacing w:line="240" w:lineRule="auto" w:before="35"/>
        <w:ind w:right="1121"/>
        <w:jc w:val="left"/>
        <w:rPr>
          <w:b w:val="0"/>
          <w:bCs w:val="0"/>
        </w:rPr>
      </w:pPr>
      <w:bookmarkStart w:name="3、境内外会计准则下会计数据差异" w:id="521"/>
      <w:bookmarkEnd w:id="521"/>
      <w:r>
        <w:rPr>
          <w:b w:val="0"/>
          <w:bCs w:val="0"/>
        </w:rPr>
      </w:r>
      <w:r>
        <w:rPr>
          <w:rFonts w:ascii="宋体" w:hAnsi="宋体" w:cs="宋体" w:eastAsia="宋体" w:hint="default"/>
        </w:rPr>
        <w:t>3</w:t>
      </w:r>
      <w:r>
        <w:rPr/>
        <w:t>、境内外会计准则下会计数据差异</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134" w:right="1121"/>
        <w:jc w:val="left"/>
      </w:pPr>
      <w:r>
        <w:rPr/>
        <w:t>□ 适用 √</w:t>
      </w:r>
      <w:r>
        <w:rPr>
          <w:spacing w:val="-1"/>
        </w:rPr>
        <w:t> </w:t>
      </w:r>
      <w:r>
        <w:rPr/>
        <w:t>不适用</w:t>
      </w:r>
    </w:p>
    <w:p>
      <w:pPr>
        <w:spacing w:after="0" w:line="240" w:lineRule="auto"/>
        <w:jc w:val="left"/>
        <w:sectPr>
          <w:pgSz w:w="11910" w:h="16840"/>
          <w:pgMar w:header="747" w:footer="1000" w:top="1040" w:bottom="11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5"/>
        <w:ind w:left="1129" w:right="1130"/>
        <w:jc w:val="center"/>
        <w:rPr>
          <w:b w:val="0"/>
          <w:bCs w:val="0"/>
        </w:rPr>
      </w:pPr>
      <w:bookmarkStart w:name="第十二节 备查文件目录" w:id="522"/>
      <w:bookmarkEnd w:id="522"/>
      <w:r>
        <w:rPr>
          <w:b w:val="0"/>
          <w:bCs w:val="0"/>
        </w:rPr>
      </w:r>
      <w:bookmarkStart w:name="_bookmark11" w:id="523"/>
      <w:bookmarkEnd w:id="523"/>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3"/>
        <w:spacing w:line="357" w:lineRule="auto"/>
        <w:ind w:left="1558" w:right="1132"/>
        <w:jc w:val="left"/>
      </w:pPr>
      <w:r>
        <w:rPr/>
        <w:t>一、载有公司负责人、主管会计工作负责人、会计机构负责人签名并盖章的财务报表。 二、载有会计师事务所盖章、注册会计师签名并盖章的审计报告原件。 </w:t>
      </w:r>
      <w:r>
        <w:rPr>
          <w:spacing w:val="2"/>
        </w:rPr>
        <w:t>三、报告期内在中国证监会指定信息披露网站上披露的所有公司文件的正本及公告的原</w:t>
      </w:r>
    </w:p>
    <w:p>
      <w:pPr>
        <w:pStyle w:val="Heading3"/>
        <w:spacing w:line="240" w:lineRule="auto" w:before="36"/>
        <w:ind w:right="1121"/>
        <w:jc w:val="left"/>
      </w:pPr>
      <w:r>
        <w:rPr/>
        <w:t>稿。</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Heading3"/>
        <w:spacing w:line="357" w:lineRule="auto"/>
        <w:ind w:left="8373" w:right="1130"/>
        <w:jc w:val="center"/>
      </w:pPr>
      <w:r>
        <w:rPr/>
        <w:t>光一科技股份有限公司 董事长：龙昌明 </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24</w:t>
      </w:r>
      <w:r>
        <w:rPr/>
        <w:t>日</w:t>
      </w:r>
    </w:p>
    <w:sectPr>
      <w:pgSz w:w="11910" w:h="16840"/>
      <w:pgMar w:header="747" w:footer="1000" w:top="1040" w:bottom="11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华文隶书">
    <w:altName w:val="华文隶书"/>
    <w:charset w:val="86"/>
    <w:family w:val="auto"/>
    <w:pitch w:val="variable"/>
  </w:font>
  <w:font w:name="黑体">
    <w:altName w:val="黑体"/>
    <w:charset w:val="86"/>
    <w:family w:val="modern"/>
    <w:pitch w:val="fixed"/>
  </w:font>
  <w:font w:name="Cambria Math">
    <w:altName w:val="Cambria Math"/>
    <w:charset w:val="0"/>
    <w:family w:val="roman"/>
    <w:pitch w:val="variable"/>
  </w:font>
  <w:font w:name="SimSun-ExtB">
    <w:altName w:val="SimSun-ExtB"/>
    <w:charset w:val="86"/>
    <w:family w:val="modern"/>
    <w:pitch w:val="fixed"/>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9.919983pt;width:595.35pt;height:42pt;mso-position-horizontal-relative:page;mso-position-vertical-relative:page;z-index:-1095544" coordorigin="0,15998" coordsize="11907,840">
          <v:shape style="position:absolute;left:0;top:15998;width:11906;height:840" type="#_x0000_t75" stroked="false">
            <v:imagedata r:id="rId1" o:title=""/>
          </v:shape>
          <v:shape style="position:absolute;left:10713;top:16134;width:1190;height:536" type="#_x0000_t75" stroked="false">
            <v:imagedata r:id="rId2" o:title=""/>
          </v:shape>
          <w10:wrap type="none"/>
        </v:group>
      </w:pict>
    </w:r>
    <w:r>
      <w:rPr/>
      <w:pict>
        <v:shape style="position:absolute;margin-left:533.179993pt;margin-top:794.545593pt;width:6.5pt;height:11pt;mso-position-horizontal-relative:page;mso-position-vertical-relative:page;z-index:-1095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9.919983pt;width:595.35pt;height:42pt;mso-position-horizontal-relative:page;mso-position-vertical-relative:page;z-index:-1095496" coordorigin="0,15998" coordsize="11907,840">
          <v:shape style="position:absolute;left:0;top:15998;width:11906;height:840" type="#_x0000_t75" stroked="false">
            <v:imagedata r:id="rId1" o:title=""/>
          </v:shape>
          <v:shape style="position:absolute;left:10713;top:16134;width:1190;height:536" type="#_x0000_t75" stroked="false">
            <v:imagedata r:id="rId2" o:title=""/>
          </v:shape>
          <w10:wrap type="none"/>
        </v:group>
      </w:pict>
    </w:r>
    <w:r>
      <w:rPr/>
      <w:pict>
        <v:shape style="position:absolute;margin-left:527.679993pt;margin-top:780.925598pt;width:13pt;height:11pt;mso-position-horizontal-relative:page;mso-position-vertical-relative:page;z-index:-10954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9.919983pt;width:595.35pt;height:42pt;mso-position-horizontal-relative:page;mso-position-vertical-relative:page;z-index:-1095448" coordorigin="0,15998" coordsize="11907,840">
          <v:shape style="position:absolute;left:0;top:15998;width:11906;height:840" type="#_x0000_t75" stroked="false">
            <v:imagedata r:id="rId1" o:title=""/>
          </v:shape>
          <v:shape style="position:absolute;left:10713;top:16134;width:1190;height:536" type="#_x0000_t75" stroked="false">
            <v:imagedata r:id="rId2" o:title=""/>
          </v:shape>
          <w10:wrap type="none"/>
        </v:group>
      </w:pict>
    </w:r>
    <w:r>
      <w:rPr/>
      <w:pict>
        <v:shape style="position:absolute;margin-left:523.179993pt;margin-top:780.925598pt;width:17.5pt;height:11pt;mso-position-horizontal-relative:page;mso-position-vertical-relative:page;z-index:-10954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pt;mso-position-horizontal-relative:page;mso-position-vertical-relative:page;z-index:-1095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光一科技股份有限公司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33"/>
      <w:ind w:left="1133"/>
    </w:pPr>
    <w:rPr>
      <w:rFonts w:ascii="宋体" w:hAnsi="宋体" w:eastAsia="宋体"/>
      <w:sz w:val="24"/>
      <w:szCs w:val="24"/>
    </w:rPr>
  </w:style>
  <w:style w:styleId="BodyText" w:type="paragraph">
    <w:name w:val="Body Text"/>
    <w:basedOn w:val="Normal"/>
    <w:uiPriority w:val="1"/>
    <w:qFormat/>
    <w:pPr>
      <w:spacing w:before="46"/>
      <w:ind w:left="1133"/>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sz w:val="24"/>
      <w:szCs w:val="24"/>
    </w:rPr>
  </w:style>
  <w:style w:styleId="Heading4" w:type="paragraph">
    <w:name w:val="Heading 4"/>
    <w:basedOn w:val="Normal"/>
    <w:uiPriority w:val="1"/>
    <w:qFormat/>
    <w:pPr>
      <w:ind w:left="113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footer" Target="footer2.xml"/><Relationship Id="rId9" Type="http://schemas.openxmlformats.org/officeDocument/2006/relationships/hyperlink" Target="http://www.elefirst.com/" TargetMode="External"/><Relationship Id="rId10" Type="http://schemas.openxmlformats.org/officeDocument/2006/relationships/hyperlink" Target="mailto:gykj300356@163.com" TargetMode="External"/><Relationship Id="rId11" Type="http://schemas.openxmlformats.org/officeDocument/2006/relationships/hyperlink" Target="mailto:56@163.com" TargetMode="External"/><Relationship Id="rId12" Type="http://schemas.openxmlformats.org/officeDocument/2006/relationships/hyperlink" Target="http://www.cninfo.com.cn/"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footer" Target="footer3.xml"/><Relationship Id="rId22" Type="http://schemas.openxmlformats.org/officeDocument/2006/relationships/image" Target="media/image1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光一科技股份有限公司</dc:creator>
  <dc:title>光一科技股份有限公司2017年年度报告全文</dc:title>
  <dcterms:created xsi:type="dcterms:W3CDTF">2020-05-03T00:37:30Z</dcterms:created>
  <dcterms:modified xsi:type="dcterms:W3CDTF">2020-05-03T00:37:30Z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2018-09-03T00:00:00Z</vt:filetime>
  </property>
  <property fmtid="{D5CDD505-2E9C-101B-9397-08002B2CF9AE}" pid="3" name="Creator">
    <vt:lpwstr>Microsoft® Office Word 2007</vt:lpwstr>
  </property>
  <property fmtid="{D5CDD505-2E9C-101B-9397-08002B2CF9AE}" pid="4" name="LastSaved">
    <vt:filetime>2020-05-02T00:00:00Z</vt:filetime>
  </property>
</Properties>
</file>