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1404" w:lineRule="exact"/>
        <w:ind w:left="167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3298690" cy="89154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3298690" cy="891540"/>
                    </a:xfrm>
                    <a:prstGeom prst="rect">
                      <a:avLst/>
                    </a:prstGeom>
                  </pic:spPr>
                </pic:pic>
              </a:graphicData>
            </a:graphic>
          </wp:inline>
        </w:drawing>
      </w:r>
      <w:r>
        <w:rPr>
          <w:rFonts w:ascii="Times New Roman" w:hAnsi="Times New Roman" w:cs="Times New Roman" w:eastAsia="Times New Roman" w:hint="default"/>
          <w:position w:val="-27"/>
          <w:sz w:val="20"/>
          <w:szCs w:val="20"/>
        </w:rPr>
      </w:r>
    </w:p>
    <w:p>
      <w:pPr>
        <w:spacing w:line="240" w:lineRule="auto" w:before="5"/>
        <w:rPr>
          <w:rFonts w:ascii="Times New Roman" w:hAnsi="Times New Roman" w:cs="Times New Roman" w:eastAsia="Times New Roman" w:hint="default"/>
          <w:sz w:val="15"/>
          <w:szCs w:val="15"/>
        </w:rPr>
      </w:pPr>
    </w:p>
    <w:p>
      <w:pPr>
        <w:spacing w:line="587" w:lineRule="exact" w:before="0"/>
        <w:ind w:left="1850" w:right="3530" w:firstLine="0"/>
        <w:jc w:val="center"/>
        <w:rPr>
          <w:rFonts w:ascii="华文隶书" w:hAnsi="华文隶书" w:cs="华文隶书" w:eastAsia="华文隶书" w:hint="default"/>
          <w:sz w:val="48"/>
          <w:szCs w:val="48"/>
        </w:rPr>
      </w:pPr>
      <w:r>
        <w:rPr>
          <w:rFonts w:ascii="华文隶书" w:hAnsi="华文隶书" w:cs="华文隶书" w:eastAsia="华文隶书" w:hint="default"/>
          <w:b/>
          <w:bCs/>
          <w:sz w:val="48"/>
          <w:szCs w:val="48"/>
        </w:rPr>
        <w:t>光一科技股份有限公司</w:t>
      </w:r>
      <w:r>
        <w:rPr>
          <w:rFonts w:ascii="华文隶书" w:hAnsi="华文隶书" w:cs="华文隶书" w:eastAsia="华文隶书" w:hint="default"/>
          <w:sz w:val="48"/>
          <w:szCs w:val="48"/>
        </w:rPr>
      </w:r>
    </w:p>
    <w:p>
      <w:pPr>
        <w:spacing w:before="395"/>
        <w:ind w:left="1850" w:right="3527" w:firstLine="0"/>
        <w:jc w:val="center"/>
        <w:rPr>
          <w:rFonts w:ascii="华文隶书" w:hAnsi="华文隶书" w:cs="华文隶书" w:eastAsia="华文隶书" w:hint="default"/>
          <w:sz w:val="48"/>
          <w:szCs w:val="48"/>
        </w:rPr>
      </w:pPr>
      <w:r>
        <w:rPr>
          <w:rFonts w:ascii="华文隶书" w:hAnsi="华文隶书" w:cs="华文隶书" w:eastAsia="华文隶书" w:hint="default"/>
          <w:b/>
          <w:bCs/>
          <w:sz w:val="48"/>
          <w:szCs w:val="48"/>
        </w:rPr>
        <w:t>2018 </w:t>
      </w:r>
      <w:r>
        <w:rPr>
          <w:rFonts w:ascii="华文隶书" w:hAnsi="华文隶书" w:cs="华文隶书" w:eastAsia="华文隶书" w:hint="default"/>
          <w:b/>
          <w:bCs/>
          <w:sz w:val="48"/>
          <w:szCs w:val="48"/>
        </w:rPr>
        <w:t>年年度报告</w:t>
      </w:r>
      <w:r>
        <w:rPr>
          <w:rFonts w:ascii="华文隶书" w:hAnsi="华文隶书" w:cs="华文隶书" w:eastAsia="华文隶书" w:hint="default"/>
          <w:sz w:val="48"/>
          <w:szCs w:val="48"/>
        </w:rPr>
      </w: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3"/>
        <w:rPr>
          <w:rFonts w:ascii="华文隶书" w:hAnsi="华文隶书" w:cs="华文隶书" w:eastAsia="华文隶书" w:hint="default"/>
          <w:b/>
          <w:bCs/>
          <w:sz w:val="35"/>
          <w:szCs w:val="35"/>
        </w:rPr>
      </w:pPr>
    </w:p>
    <w:p>
      <w:pPr>
        <w:spacing w:before="0"/>
        <w:ind w:left="1850" w:right="3526" w:firstLine="0"/>
        <w:jc w:val="center"/>
        <w:rPr>
          <w:rFonts w:ascii="华文隶书" w:hAnsi="华文隶书" w:cs="华文隶书" w:eastAsia="华文隶书" w:hint="default"/>
          <w:sz w:val="36"/>
          <w:szCs w:val="36"/>
        </w:rPr>
      </w:pPr>
      <w:r>
        <w:rPr>
          <w:rFonts w:ascii="华文隶书" w:hAnsi="华文隶书" w:cs="华文隶书" w:eastAsia="华文隶书" w:hint="default"/>
          <w:b/>
          <w:bCs/>
          <w:sz w:val="36"/>
          <w:szCs w:val="36"/>
        </w:rPr>
        <w:t>2019 </w:t>
      </w:r>
      <w:r>
        <w:rPr>
          <w:rFonts w:ascii="华文隶书" w:hAnsi="华文隶书" w:cs="华文隶书" w:eastAsia="华文隶书" w:hint="default"/>
          <w:b/>
          <w:bCs/>
          <w:sz w:val="36"/>
          <w:szCs w:val="36"/>
        </w:rPr>
        <w:t>年 </w:t>
      </w:r>
      <w:r>
        <w:rPr>
          <w:rFonts w:ascii="华文隶书" w:hAnsi="华文隶书" w:cs="华文隶书" w:eastAsia="华文隶书" w:hint="default"/>
          <w:b/>
          <w:bCs/>
          <w:sz w:val="36"/>
          <w:szCs w:val="36"/>
        </w:rPr>
        <w:t>04</w:t>
      </w:r>
      <w:r>
        <w:rPr>
          <w:rFonts w:ascii="华文隶书" w:hAnsi="华文隶书" w:cs="华文隶书" w:eastAsia="华文隶书" w:hint="default"/>
          <w:b/>
          <w:bCs/>
          <w:spacing w:val="3"/>
          <w:sz w:val="36"/>
          <w:szCs w:val="36"/>
        </w:rPr>
        <w:t> </w:t>
      </w:r>
      <w:r>
        <w:rPr>
          <w:rFonts w:ascii="华文隶书" w:hAnsi="华文隶书" w:cs="华文隶书" w:eastAsia="华文隶书" w:hint="default"/>
          <w:b/>
          <w:bCs/>
          <w:sz w:val="36"/>
          <w:szCs w:val="36"/>
        </w:rPr>
        <w:t>月</w:t>
      </w:r>
      <w:r>
        <w:rPr>
          <w:rFonts w:ascii="华文隶书" w:hAnsi="华文隶书" w:cs="华文隶书" w:eastAsia="华文隶书" w:hint="default"/>
          <w:sz w:val="36"/>
          <w:szCs w:val="36"/>
        </w:rPr>
      </w:r>
    </w:p>
    <w:p>
      <w:pPr>
        <w:spacing w:after="0"/>
        <w:jc w:val="center"/>
        <w:rPr>
          <w:rFonts w:ascii="华文隶书" w:hAnsi="华文隶书" w:cs="华文隶书" w:eastAsia="华文隶书" w:hint="default"/>
          <w:sz w:val="36"/>
          <w:szCs w:val="36"/>
        </w:rPr>
        <w:sectPr>
          <w:footerReference w:type="default" r:id="rId5"/>
          <w:type w:val="continuous"/>
          <w:pgSz w:w="11910" w:h="16840"/>
          <w:pgMar w:footer="504" w:top="1580" w:bottom="700" w:left="1680" w:right="0"/>
        </w:sectPr>
      </w:pPr>
    </w:p>
    <w:p>
      <w:pPr>
        <w:spacing w:line="240" w:lineRule="auto" w:before="0"/>
        <w:rPr>
          <w:rFonts w:ascii="华文隶书" w:hAnsi="华文隶书" w:cs="华文隶书" w:eastAsia="华文隶书" w:hint="default"/>
          <w:b/>
          <w:bCs/>
          <w:sz w:val="20"/>
          <w:szCs w:val="20"/>
        </w:rPr>
      </w:pPr>
    </w:p>
    <w:p>
      <w:pPr>
        <w:spacing w:line="240" w:lineRule="auto" w:before="0"/>
        <w:rPr>
          <w:rFonts w:ascii="华文隶书" w:hAnsi="华文隶书" w:cs="华文隶书" w:eastAsia="华文隶书" w:hint="default"/>
          <w:b/>
          <w:bCs/>
          <w:sz w:val="20"/>
          <w:szCs w:val="20"/>
        </w:rPr>
      </w:pPr>
    </w:p>
    <w:p>
      <w:pPr>
        <w:spacing w:line="240" w:lineRule="auto" w:before="7"/>
        <w:rPr>
          <w:rFonts w:ascii="华文隶书" w:hAnsi="华文隶书" w:cs="华文隶书" w:eastAsia="华文隶书" w:hint="default"/>
          <w:b/>
          <w:bCs/>
          <w:sz w:val="18"/>
          <w:szCs w:val="18"/>
        </w:rPr>
      </w:pPr>
    </w:p>
    <w:p>
      <w:pPr>
        <w:pStyle w:val="Heading1"/>
        <w:spacing w:line="240" w:lineRule="auto"/>
        <w:ind w:left="2805" w:right="1122"/>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3"/>
          <w:szCs w:val="33"/>
        </w:rPr>
      </w:pPr>
    </w:p>
    <w:p>
      <w:pPr>
        <w:pStyle w:val="Heading2"/>
        <w:spacing w:line="357" w:lineRule="auto" w:before="0"/>
        <w:ind w:right="1122" w:firstLine="482"/>
        <w:jc w:val="left"/>
        <w:rPr>
          <w:b w:val="0"/>
          <w:bCs w:val="0"/>
        </w:rPr>
      </w:pPr>
      <w:r>
        <w:rPr>
          <w:w w:val="95"/>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57" w:lineRule="auto" w:before="36"/>
        <w:ind w:right="1122" w:firstLine="482"/>
        <w:jc w:val="left"/>
        <w:rPr>
          <w:b w:val="0"/>
          <w:bCs w:val="0"/>
        </w:rPr>
      </w:pPr>
      <w:r>
        <w:rPr>
          <w:w w:val="95"/>
        </w:rPr>
        <w:t>公司负责人龙昌明先生、主管会计工作负责人及会计机构负责人戴晓东先生声明：保证</w:t>
      </w:r>
      <w:r>
        <w:rPr>
          <w:w w:val="99"/>
        </w:rPr>
        <w:t> </w:t>
      </w:r>
      <w:r>
        <w:rPr/>
        <w:t>年度报告中财务报告的真实、准确、完整。</w:t>
      </w:r>
      <w:r>
        <w:rPr>
          <w:b w:val="0"/>
          <w:bCs w:val="0"/>
        </w:rPr>
      </w:r>
    </w:p>
    <w:p>
      <w:pPr>
        <w:pStyle w:val="Heading2"/>
        <w:spacing w:line="240" w:lineRule="auto" w:before="36"/>
        <w:ind w:left="636" w:right="1122"/>
        <w:jc w:val="left"/>
        <w:rPr>
          <w:b w:val="0"/>
          <w:bCs w:val="0"/>
        </w:rPr>
      </w:pPr>
      <w:r>
        <w:rPr/>
        <w:t>所有董事均已出席了审议本报告的董事会会议。</w:t>
      </w:r>
      <w:r>
        <w:rPr>
          <w:b w:val="0"/>
          <w:bCs w:val="0"/>
        </w:rPr>
      </w:r>
    </w:p>
    <w:p>
      <w:pPr>
        <w:pStyle w:val="BodyText"/>
        <w:spacing w:line="408" w:lineRule="auto" w:before="177"/>
        <w:ind w:left="574" w:right="1122"/>
        <w:jc w:val="left"/>
      </w:pPr>
      <w:r>
        <w:rPr>
          <w:rFonts w:ascii="宋体" w:hAnsi="宋体" w:cs="宋体" w:eastAsia="宋体" w:hint="default"/>
        </w:rPr>
        <w:t>1</w:t>
      </w:r>
      <w:r>
        <w:rPr/>
        <w:t>、投资项目未达预期的风险 </w:t>
      </w:r>
      <w:r>
        <w:rPr>
          <w:spacing w:val="-1"/>
        </w:rPr>
        <w:t>随着公司版权云整体战略布局的实施，公司通过直接或间接投资已初步完成了与数字版权服务相关产</w:t>
      </w:r>
    </w:p>
    <w:p>
      <w:pPr>
        <w:pStyle w:val="BodyText"/>
        <w:spacing w:line="408" w:lineRule="auto"/>
        <w:ind w:right="1133"/>
        <w:jc w:val="both"/>
      </w:pPr>
      <w:r>
        <w:rPr>
          <w:spacing w:val="-1"/>
        </w:rPr>
        <w:t>业的投资，虽然标的公司对于自身发展目标都有清晰的定位，在技术、人才、市场、资源等方面有充分准</w:t>
      </w:r>
      <w:r>
        <w:rPr>
          <w:spacing w:val="-83"/>
        </w:rPr>
        <w:t> </w:t>
      </w:r>
      <w:r>
        <w:rPr>
          <w:spacing w:val="-83"/>
        </w:rPr>
      </w:r>
      <w:r>
        <w:rPr>
          <w:spacing w:val="-1"/>
        </w:rPr>
        <w:t>备，但在项目推进过程中仍存在资源整合不到位、项目推进进展、经营业绩等未达预期的风险。为此，公</w:t>
      </w:r>
      <w:r>
        <w:rPr>
          <w:spacing w:val="-83"/>
        </w:rPr>
        <w:t> </w:t>
      </w:r>
      <w:r>
        <w:rPr>
          <w:spacing w:val="-83"/>
        </w:rPr>
      </w:r>
      <w:r>
        <w:rPr/>
        <w:t>司密切关注目标公司经营发展，积极引入专业人才，整合各方资源优势，促进整体业务发展。</w:t>
      </w:r>
    </w:p>
    <w:p>
      <w:pPr>
        <w:pStyle w:val="BodyText"/>
        <w:spacing w:line="408" w:lineRule="auto"/>
        <w:ind w:left="574" w:right="1122"/>
        <w:jc w:val="left"/>
      </w:pPr>
      <w:r>
        <w:rPr>
          <w:rFonts w:ascii="宋体" w:hAnsi="宋体" w:cs="宋体" w:eastAsia="宋体" w:hint="default"/>
        </w:rPr>
        <w:t>2</w:t>
      </w:r>
      <w:r>
        <w:rPr/>
        <w:t>、市场风险 </w:t>
      </w:r>
      <w:r>
        <w:rPr>
          <w:spacing w:val="-1"/>
        </w:rPr>
        <w:t>公司电力业务依赖于电力行业的发展和国家电网公司的需求，近年来招标规模呈下降趋势，行业竞争</w:t>
      </w:r>
    </w:p>
    <w:p>
      <w:pPr>
        <w:pStyle w:val="BodyText"/>
        <w:spacing w:line="240" w:lineRule="auto"/>
        <w:ind w:right="0"/>
        <w:jc w:val="both"/>
      </w:pPr>
      <w:r>
        <w:rPr/>
        <w:t>更加激烈，针对市场风险，公司将从以下方面采取措施：</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t>（</w:t>
      </w:r>
      <w:r>
        <w:rPr>
          <w:rFonts w:ascii="宋体" w:hAnsi="宋体" w:cs="宋体" w:eastAsia="宋体" w:hint="default"/>
        </w:rPr>
        <w:t>1</w:t>
      </w:r>
      <w:r>
        <w:rPr/>
        <w:t>）加大开发新技术及新产品的力度，为新一轮业务发展提前做技术储备；</w:t>
      </w:r>
    </w:p>
    <w:p>
      <w:pPr>
        <w:spacing w:line="240" w:lineRule="auto" w:before="10"/>
        <w:rPr>
          <w:rFonts w:ascii="宋体" w:hAnsi="宋体" w:cs="宋体" w:eastAsia="宋体" w:hint="default"/>
          <w:sz w:val="14"/>
          <w:szCs w:val="14"/>
        </w:rPr>
      </w:pPr>
    </w:p>
    <w:p>
      <w:pPr>
        <w:pStyle w:val="BodyText"/>
        <w:spacing w:line="408" w:lineRule="auto" w:before="0"/>
        <w:ind w:right="1122" w:firstLine="420"/>
        <w:jc w:val="left"/>
      </w:pPr>
      <w:r>
        <w:rPr>
          <w:spacing w:val="-3"/>
        </w:rPr>
        <w:t>（</w:t>
      </w:r>
      <w:r>
        <w:rPr>
          <w:rFonts w:ascii="宋体" w:hAnsi="宋体" w:cs="宋体" w:eastAsia="宋体" w:hint="default"/>
          <w:spacing w:val="-3"/>
        </w:rPr>
        <w:t>2</w:t>
      </w:r>
      <w:r>
        <w:rPr>
          <w:spacing w:val="-3"/>
        </w:rPr>
        <w:t>）调整业务结构，积极开发传统产品新的应用市场，同时在配电网的综合信息及状态采集与应用、</w:t>
      </w:r>
      <w:r>
        <w:rPr/>
        <w:t> 新的通讯技术在信息采集方面的应用、配电网的能源区域管理与互动等方面加强投入。</w:t>
      </w:r>
    </w:p>
    <w:p>
      <w:pPr>
        <w:pStyle w:val="BodyText"/>
        <w:spacing w:line="408" w:lineRule="auto"/>
        <w:ind w:left="574" w:right="1122"/>
        <w:jc w:val="left"/>
      </w:pPr>
      <w:r>
        <w:rPr>
          <w:rFonts w:ascii="宋体" w:hAnsi="宋体" w:cs="宋体" w:eastAsia="宋体" w:hint="default"/>
        </w:rPr>
        <w:t>3</w:t>
      </w:r>
      <w:r>
        <w:rPr/>
        <w:t>、管理风险 随着公司“1+3”产业布局的不断推进，投资及新设企业陆续增加，公司规模日益扩大，管理主体日</w:t>
      </w:r>
    </w:p>
    <w:p>
      <w:pPr>
        <w:pStyle w:val="BodyText"/>
        <w:spacing w:line="408" w:lineRule="auto"/>
        <w:ind w:right="1131"/>
        <w:jc w:val="both"/>
      </w:pPr>
      <w:r>
        <w:rPr>
          <w:spacing w:val="-1"/>
        </w:rPr>
        <w:t>益增多，这些变化对公司的管理将提出与之匹配的更高的要求。针对可能出现的管理风险，公司将从以下</w:t>
      </w:r>
      <w:r>
        <w:rPr>
          <w:spacing w:val="-83"/>
        </w:rPr>
        <w:t> </w:t>
      </w:r>
      <w:r>
        <w:rPr>
          <w:spacing w:val="-83"/>
        </w:rPr>
      </w:r>
      <w:r>
        <w:rPr/>
        <w:t>几方面采取相应措施：</w:t>
      </w:r>
    </w:p>
    <w:p>
      <w:pPr>
        <w:pStyle w:val="BodyText"/>
        <w:spacing w:line="408" w:lineRule="auto"/>
        <w:ind w:right="1122" w:firstLine="420"/>
        <w:jc w:val="left"/>
      </w:pPr>
      <w:r>
        <w:rPr/>
        <w:t>（</w:t>
      </w:r>
      <w:r>
        <w:rPr>
          <w:rFonts w:ascii="宋体" w:hAnsi="宋体" w:cs="宋体" w:eastAsia="宋体" w:hint="default"/>
        </w:rPr>
        <w:t>1</w:t>
      </w:r>
      <w:r>
        <w:rPr/>
        <w:t>）严格遵守上市企业规范运作指引的相关要求，完善法人治理结构，规范公司运作体系，加强内 部控制，强化各项决策的科学性，促进公司机制的创新和管理升级；</w:t>
      </w:r>
    </w:p>
    <w:p>
      <w:pPr>
        <w:pStyle w:val="BodyText"/>
        <w:spacing w:line="408" w:lineRule="auto"/>
        <w:ind w:right="1122" w:firstLine="420"/>
        <w:jc w:val="left"/>
      </w:pPr>
      <w:r>
        <w:rPr/>
        <w:t>（</w:t>
      </w:r>
      <w:r>
        <w:rPr>
          <w:rFonts w:ascii="宋体" w:hAnsi="宋体" w:cs="宋体" w:eastAsia="宋体" w:hint="default"/>
        </w:rPr>
        <w:t>2</w:t>
      </w:r>
      <w:r>
        <w:rPr/>
        <w:t>）加强分子公司日常管理，以业务拓展为导向，以协同合作为核心，对同产业分子公司进行垂直 管理，降低管理风险，提升协同价值；</w:t>
      </w:r>
    </w:p>
    <w:p>
      <w:pPr>
        <w:pStyle w:val="BodyText"/>
        <w:spacing w:line="408" w:lineRule="auto"/>
        <w:ind w:right="1122" w:firstLine="420"/>
        <w:jc w:val="left"/>
      </w:pPr>
      <w:r>
        <w:rPr/>
        <w:t>（</w:t>
      </w:r>
      <w:r>
        <w:rPr>
          <w:rFonts w:ascii="宋体" w:hAnsi="宋体" w:cs="宋体" w:eastAsia="宋体" w:hint="default"/>
        </w:rPr>
        <w:t>3</w:t>
      </w:r>
      <w:r>
        <w:rPr/>
        <w:t>）规范投后管理，对所投资企业从董事会决策，日常报告等多维度参与重大事项管理，督促所属 企业规范运作，科学决策。</w:t>
      </w:r>
    </w:p>
    <w:p>
      <w:pPr>
        <w:pStyle w:val="Heading2"/>
        <w:spacing w:line="240" w:lineRule="auto" w:before="23"/>
        <w:ind w:left="636" w:right="1122"/>
        <w:jc w:val="left"/>
        <w:rPr>
          <w:b w:val="0"/>
          <w:bCs w:val="0"/>
        </w:rPr>
      </w:pPr>
      <w:r>
        <w:rPr/>
        <w:t>公司计划不派发现金红利，不送红股，不以公积金转增股本。</w:t>
      </w:r>
      <w:r>
        <w:rPr>
          <w:b w:val="0"/>
          <w:bCs w:val="0"/>
        </w:rPr>
      </w:r>
    </w:p>
    <w:p>
      <w:pPr>
        <w:spacing w:after="0" w:line="240" w:lineRule="auto"/>
        <w:jc w:val="left"/>
        <w:sectPr>
          <w:headerReference w:type="default" r:id="rId7"/>
          <w:footerReference w:type="default" r:id="rId8"/>
          <w:pgSz w:w="11910" w:h="16840"/>
          <w:pgMar w:header="877" w:footer="1000" w:top="1040" w:bottom="1180" w:left="98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tabs>
          <w:tab w:pos="723" w:val="left" w:leader="none"/>
        </w:tabs>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2" w:val="right" w:leader="dot"/>
            </w:tabs>
            <w:spacing w:line="240" w:lineRule="auto" w:before="772"/>
            <w:ind w:right="0"/>
            <w:jc w:val="left"/>
            <w:rPr>
              <w:rFonts w:ascii="宋体" w:hAnsi="宋体" w:cs="宋体" w:eastAsia="宋体" w:hint="default"/>
            </w:rPr>
          </w:pPr>
          <w:hyperlink w:history="true" w:anchor="_bookmark0">
            <w:r>
              <w:rPr/>
              <w:t>第一节重要提示、目录和释义</w:t>
            </w:r>
            <w:r>
              <w:rPr>
                <w:rFonts w:ascii="宋体" w:hAnsi="宋体" w:cs="宋体" w:eastAsia="宋体" w:hint="default"/>
              </w:rPr>
              <w:tab/>
              <w:t>4</w:t>
            </w:r>
          </w:hyperlink>
        </w:p>
        <w:p>
          <w:pPr>
            <w:pStyle w:val="TOC1"/>
            <w:tabs>
              <w:tab w:pos="9782" w:val="right" w:leader="dot"/>
            </w:tabs>
            <w:spacing w:line="240" w:lineRule="auto"/>
            <w:ind w:right="0"/>
            <w:jc w:val="left"/>
            <w:rPr>
              <w:rFonts w:ascii="宋体" w:hAnsi="宋体" w:cs="宋体" w:eastAsia="宋体" w:hint="default"/>
            </w:rPr>
          </w:pPr>
          <w:hyperlink w:history="true" w:anchor="_bookmark1">
            <w:r>
              <w:rPr/>
              <w:t>第二节公司简介和主要财务指标</w:t>
            </w:r>
            <w:r>
              <w:rPr>
                <w:rFonts w:ascii="宋体" w:hAnsi="宋体" w:cs="宋体" w:eastAsia="宋体" w:hint="default"/>
              </w:rPr>
              <w:tab/>
              <w:t>7</w:t>
            </w:r>
          </w:hyperlink>
        </w:p>
        <w:p>
          <w:pPr>
            <w:pStyle w:val="TOC1"/>
            <w:tabs>
              <w:tab w:pos="9782" w:val="right" w:leader="dot"/>
            </w:tabs>
            <w:spacing w:line="240" w:lineRule="auto"/>
            <w:ind w:right="0"/>
            <w:jc w:val="left"/>
            <w:rPr>
              <w:rFonts w:ascii="宋体" w:hAnsi="宋体" w:cs="宋体" w:eastAsia="宋体" w:hint="default"/>
            </w:rPr>
          </w:pPr>
          <w:hyperlink w:history="true" w:anchor="_bookmark2">
            <w:r>
              <w:rPr/>
              <w:t>第三节公司业务概要</w:t>
            </w:r>
            <w:r>
              <w:rPr>
                <w:rFonts w:ascii="宋体" w:hAnsi="宋体" w:cs="宋体" w:eastAsia="宋体" w:hint="default"/>
              </w:rPr>
              <w:tab/>
              <w:t>13</w:t>
            </w:r>
          </w:hyperlink>
        </w:p>
        <w:p>
          <w:pPr>
            <w:pStyle w:val="TOC1"/>
            <w:tabs>
              <w:tab w:pos="9782" w:val="right" w:leader="dot"/>
            </w:tabs>
            <w:spacing w:line="240" w:lineRule="auto"/>
            <w:ind w:right="0"/>
            <w:jc w:val="left"/>
            <w:rPr>
              <w:rFonts w:ascii="宋体" w:hAnsi="宋体" w:cs="宋体" w:eastAsia="宋体" w:hint="default"/>
            </w:rPr>
          </w:pPr>
          <w:hyperlink w:history="true" w:anchor="_bookmark3">
            <w:r>
              <w:rPr/>
              <w:t>第四节经营情况讨论与分析</w:t>
            </w:r>
            <w:r>
              <w:rPr>
                <w:rFonts w:ascii="宋体" w:hAnsi="宋体" w:cs="宋体" w:eastAsia="宋体" w:hint="default"/>
              </w:rPr>
              <w:tab/>
              <w:t>33</w:t>
            </w:r>
          </w:hyperlink>
        </w:p>
        <w:p>
          <w:pPr>
            <w:pStyle w:val="TOC1"/>
            <w:tabs>
              <w:tab w:pos="9782" w:val="right" w:leader="dot"/>
            </w:tabs>
            <w:spacing w:line="240" w:lineRule="auto"/>
            <w:ind w:right="0"/>
            <w:jc w:val="left"/>
            <w:rPr>
              <w:rFonts w:ascii="宋体" w:hAnsi="宋体" w:cs="宋体" w:eastAsia="宋体" w:hint="default"/>
            </w:rPr>
          </w:pPr>
          <w:hyperlink w:history="true" w:anchor="_bookmark4">
            <w:r>
              <w:rPr/>
              <w:t>第五节重要事项</w:t>
            </w:r>
            <w:r>
              <w:rPr>
                <w:rFonts w:ascii="宋体" w:hAnsi="宋体" w:cs="宋体" w:eastAsia="宋体" w:hint="default"/>
              </w:rPr>
              <w:tab/>
              <w:t>49</w:t>
            </w:r>
          </w:hyperlink>
        </w:p>
        <w:p>
          <w:pPr>
            <w:pStyle w:val="TOC1"/>
            <w:tabs>
              <w:tab w:pos="9782" w:val="right" w:leader="dot"/>
            </w:tabs>
            <w:spacing w:line="240" w:lineRule="auto"/>
            <w:ind w:right="0"/>
            <w:jc w:val="left"/>
            <w:rPr>
              <w:rFonts w:ascii="宋体" w:hAnsi="宋体" w:cs="宋体" w:eastAsia="宋体" w:hint="default"/>
            </w:rPr>
          </w:pPr>
          <w:hyperlink w:history="true" w:anchor="_bookmark5">
            <w:r>
              <w:rPr/>
              <w:t>第六节股份变动及股东情况</w:t>
            </w:r>
            <w:r>
              <w:rPr>
                <w:rFonts w:ascii="宋体" w:hAnsi="宋体" w:cs="宋体" w:eastAsia="宋体" w:hint="default"/>
              </w:rPr>
              <w:tab/>
              <w:t>54</w:t>
            </w:r>
          </w:hyperlink>
        </w:p>
        <w:p>
          <w:pPr>
            <w:pStyle w:val="TOC1"/>
            <w:tabs>
              <w:tab w:pos="9782" w:val="right" w:leader="dot"/>
            </w:tabs>
            <w:spacing w:line="240" w:lineRule="auto"/>
            <w:ind w:right="0"/>
            <w:jc w:val="left"/>
            <w:rPr>
              <w:rFonts w:ascii="宋体" w:hAnsi="宋体" w:cs="宋体" w:eastAsia="宋体" w:hint="default"/>
            </w:rPr>
          </w:pPr>
          <w:hyperlink w:history="true" w:anchor="_bookmark5">
            <w:r>
              <w:rPr/>
              <w:t>第七节优先股相关情况</w:t>
            </w:r>
            <w:r>
              <w:rPr>
                <w:rFonts w:ascii="宋体" w:hAnsi="宋体" w:cs="宋体" w:eastAsia="宋体" w:hint="default"/>
              </w:rPr>
              <w:tab/>
              <w:t>54</w:t>
            </w:r>
          </w:hyperlink>
        </w:p>
        <w:p>
          <w:pPr>
            <w:pStyle w:val="TOC1"/>
            <w:tabs>
              <w:tab w:pos="9782" w:val="right" w:leader="dot"/>
            </w:tabs>
            <w:spacing w:line="240" w:lineRule="auto"/>
            <w:ind w:right="0"/>
            <w:jc w:val="left"/>
            <w:rPr>
              <w:rFonts w:ascii="宋体" w:hAnsi="宋体" w:cs="宋体" w:eastAsia="宋体" w:hint="default"/>
            </w:rPr>
          </w:pPr>
          <w:hyperlink w:history="true" w:anchor="_bookmark6">
            <w:r>
              <w:rPr/>
              <w:t>第八节董事、监事、高级管理人员和员工情况</w:t>
            </w:r>
            <w:r>
              <w:rPr>
                <w:rFonts w:ascii="宋体" w:hAnsi="宋体" w:cs="宋体" w:eastAsia="宋体" w:hint="default"/>
              </w:rPr>
              <w:tab/>
              <w:t>55</w:t>
            </w:r>
          </w:hyperlink>
        </w:p>
        <w:p>
          <w:pPr>
            <w:pStyle w:val="TOC1"/>
            <w:tabs>
              <w:tab w:pos="9782" w:val="right" w:leader="dot"/>
            </w:tabs>
            <w:spacing w:line="240" w:lineRule="auto"/>
            <w:ind w:right="0"/>
            <w:jc w:val="left"/>
            <w:rPr>
              <w:rFonts w:ascii="宋体" w:hAnsi="宋体" w:cs="宋体" w:eastAsia="宋体" w:hint="default"/>
            </w:rPr>
          </w:pPr>
          <w:hyperlink w:history="true" w:anchor="_bookmark7">
            <w:r>
              <w:rPr/>
              <w:t>第九节公司治理</w:t>
            </w:r>
            <w:r>
              <w:rPr>
                <w:rFonts w:ascii="宋体" w:hAnsi="宋体" w:cs="宋体" w:eastAsia="宋体" w:hint="default"/>
              </w:rPr>
              <w:tab/>
              <w:t>63</w:t>
            </w:r>
          </w:hyperlink>
        </w:p>
        <w:p>
          <w:pPr>
            <w:pStyle w:val="TOC1"/>
            <w:tabs>
              <w:tab w:pos="9782" w:val="right" w:leader="dot"/>
            </w:tabs>
            <w:spacing w:line="240" w:lineRule="auto"/>
            <w:ind w:right="0"/>
            <w:jc w:val="left"/>
            <w:rPr>
              <w:rFonts w:ascii="宋体" w:hAnsi="宋体" w:cs="宋体" w:eastAsia="宋体" w:hint="default"/>
            </w:rPr>
          </w:pPr>
          <w:hyperlink w:history="true" w:anchor="_bookmark8">
            <w:r>
              <w:rPr/>
              <w:t>第十节公司债券相关情况</w:t>
            </w:r>
            <w:r>
              <w:rPr>
                <w:rFonts w:ascii="宋体" w:hAnsi="宋体" w:cs="宋体" w:eastAsia="宋体" w:hint="default"/>
              </w:rPr>
              <w:tab/>
              <w:t>68</w:t>
            </w:r>
          </w:hyperlink>
        </w:p>
        <w:p>
          <w:pPr>
            <w:pStyle w:val="TOC1"/>
            <w:tabs>
              <w:tab w:pos="9782" w:val="right" w:leader="dot"/>
            </w:tabs>
            <w:spacing w:line="240" w:lineRule="auto"/>
            <w:ind w:right="0"/>
            <w:jc w:val="left"/>
            <w:rPr>
              <w:rFonts w:ascii="宋体" w:hAnsi="宋体" w:cs="宋体" w:eastAsia="宋体" w:hint="default"/>
            </w:rPr>
          </w:pPr>
          <w:hyperlink w:history="true" w:anchor="_bookmark9">
            <w:r>
              <w:rPr/>
              <w:t>第十一节财务报告</w:t>
            </w:r>
            <w:r>
              <w:rPr>
                <w:rFonts w:ascii="宋体" w:hAnsi="宋体" w:cs="宋体" w:eastAsia="宋体" w:hint="default"/>
              </w:rPr>
              <w:tab/>
              <w:t>69</w:t>
            </w:r>
          </w:hyperlink>
        </w:p>
        <w:p>
          <w:pPr>
            <w:pStyle w:val="TOC1"/>
            <w:tabs>
              <w:tab w:pos="9782" w:val="right" w:leader="dot"/>
            </w:tabs>
            <w:spacing w:line="240" w:lineRule="auto"/>
            <w:ind w:right="0"/>
            <w:jc w:val="left"/>
            <w:rPr>
              <w:rFonts w:ascii="宋体" w:hAnsi="宋体" w:cs="宋体" w:eastAsia="宋体" w:hint="default"/>
            </w:rPr>
          </w:pPr>
          <w:hyperlink w:history="true" w:anchor="_bookmark10">
            <w:r>
              <w:rPr/>
              <w:t>第十二节备查文件目录</w:t>
            </w:r>
            <w:r>
              <w:rPr>
                <w:rFonts w:ascii="宋体" w:hAnsi="宋体" w:cs="宋体" w:eastAsia="宋体" w:hint="default"/>
              </w:rPr>
              <w:tab/>
              <w:t>180</w:t>
            </w:r>
          </w:hyperlink>
        </w:p>
      </w:sdtContent>
    </w:sdt>
    <w:p>
      <w:pPr>
        <w:spacing w:after="0" w:line="240" w:lineRule="auto"/>
        <w:jc w:val="left"/>
        <w:rPr>
          <w:rFonts w:ascii="宋体" w:hAnsi="宋体" w:cs="宋体" w:eastAsia="宋体" w:hint="default"/>
        </w:rPr>
        <w:sectPr>
          <w:pgSz w:w="11910" w:h="16840"/>
          <w:pgMar w:header="877" w:footer="1000" w:top="1100" w:bottom="1180" w:left="980" w:right="0"/>
        </w:sectPr>
      </w:pPr>
    </w:p>
    <w:p>
      <w:pPr>
        <w:spacing w:before="794"/>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tbl>
      <w:tblPr>
        <w:tblW w:w="0" w:type="auto"/>
        <w:jc w:val="left"/>
        <w:tblInd w:w="138" w:type="dxa"/>
        <w:tblLayout w:type="fixed"/>
        <w:tblCellMar>
          <w:top w:w="0" w:type="dxa"/>
          <w:left w:w="0" w:type="dxa"/>
          <w:bottom w:w="0" w:type="dxa"/>
          <w:right w:w="0" w:type="dxa"/>
        </w:tblCellMar>
        <w:tblLook w:val="01E0"/>
      </w:tblPr>
      <w:tblGrid>
        <w:gridCol w:w="3536"/>
        <w:gridCol w:w="600"/>
        <w:gridCol w:w="5434"/>
      </w:tblGrid>
      <w:tr>
        <w:trPr>
          <w:trHeight w:val="417" w:hRule="exact"/>
        </w:trPr>
        <w:tc>
          <w:tcPr>
            <w:tcW w:w="353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6"/>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13" w:hRule="exact"/>
        </w:trPr>
        <w:tc>
          <w:tcPr>
            <w:tcW w:w="3536" w:type="dxa"/>
            <w:tcBorders>
              <w:top w:val="single" w:sz="7" w:space="0" w:color="000000"/>
              <w:left w:val="single" w:sz="12" w:space="0" w:color="000000"/>
              <w:bottom w:val="single" w:sz="6" w:space="0" w:color="000000"/>
              <w:right w:val="single" w:sz="14" w:space="0" w:color="D2D2D2"/>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光一科技</w:t>
            </w:r>
            <w:r>
              <w:rPr>
                <w:rFonts w:ascii="宋体" w:hAnsi="宋体" w:cs="宋体" w:eastAsia="宋体" w:hint="default"/>
                <w:sz w:val="18"/>
                <w:szCs w:val="18"/>
              </w:rPr>
              <w:t>/</w:t>
            </w: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本公司</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7" w:space="0" w:color="000000"/>
              <w:left w:val="single" w:sz="14" w:space="0" w:color="D2D2D2"/>
              <w:bottom w:val="single" w:sz="6" w:space="0" w:color="000000"/>
              <w:right w:val="single" w:sz="12"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r>
      <w:tr>
        <w:trPr>
          <w:trHeight w:val="413"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光一投资</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江苏光一投资管理有限责任公司、本公司控股股东</w:t>
            </w:r>
          </w:p>
        </w:tc>
      </w:tr>
      <w:tr>
        <w:trPr>
          <w:trHeight w:val="412"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苏源光一</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江苏苏源光一科技有限公司、本公司全资子公司</w:t>
            </w:r>
          </w:p>
        </w:tc>
      </w:tr>
      <w:tr>
        <w:trPr>
          <w:trHeight w:val="413"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智友尚云</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南京智友尚云信息技术有限公司、本公司全资子公司</w:t>
            </w:r>
          </w:p>
        </w:tc>
      </w:tr>
      <w:tr>
        <w:trPr>
          <w:trHeight w:val="412"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光一贵仁</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江苏光一贵仁股权投资基金管理有限公司、本公司全资子公司</w:t>
            </w:r>
          </w:p>
        </w:tc>
      </w:tr>
      <w:tr>
        <w:trPr>
          <w:trHeight w:val="412"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索瑞电气</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湖北索瑞电气有限公司、本公司全资子公司</w:t>
            </w:r>
          </w:p>
        </w:tc>
      </w:tr>
      <w:tr>
        <w:trPr>
          <w:trHeight w:val="413"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德能工程</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江苏光一德能电气工程有限公司、本公司全资子公司</w:t>
            </w:r>
          </w:p>
        </w:tc>
      </w:tr>
      <w:tr>
        <w:trPr>
          <w:trHeight w:val="412"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德能设计</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江苏德能电力设计咨询有限公司、本公司控股子公司</w:t>
            </w:r>
          </w:p>
        </w:tc>
      </w:tr>
      <w:tr>
        <w:trPr>
          <w:trHeight w:val="412"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云商天下</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南京云商天下信息技术有限公司、本公司控股子公司</w:t>
            </w:r>
          </w:p>
        </w:tc>
      </w:tr>
      <w:tr>
        <w:trPr>
          <w:trHeight w:val="413"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中云文化大数据</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中云文化大数据科技有限公司、本公司参股公司</w:t>
            </w:r>
          </w:p>
        </w:tc>
      </w:tr>
      <w:tr>
        <w:trPr>
          <w:trHeight w:val="412"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中广格兰</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北京中广格兰信息科技有限公司、本公司参股公司</w:t>
            </w:r>
          </w:p>
        </w:tc>
      </w:tr>
      <w:tr>
        <w:trPr>
          <w:trHeight w:val="412"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九联科技</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广东九联科技股份有限公司、本公司参股公司</w:t>
            </w:r>
          </w:p>
        </w:tc>
      </w:tr>
      <w:tr>
        <w:trPr>
          <w:trHeight w:val="413"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今程光一</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广东今程光一电力科技有限责任公司、本公司参股公司</w:t>
            </w:r>
          </w:p>
        </w:tc>
      </w:tr>
      <w:tr>
        <w:trPr>
          <w:trHeight w:val="412"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其厚电气</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江苏其厚智能电气设备有限公司、本公司参股公司</w:t>
            </w:r>
          </w:p>
        </w:tc>
      </w:tr>
      <w:tr>
        <w:trPr>
          <w:trHeight w:val="412"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光一文投</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南京光一文化产业投资发展合伙企业（有限合伙</w:t>
            </w:r>
            <w:r>
              <w:rPr>
                <w:rFonts w:ascii="宋体" w:hAnsi="宋体" w:cs="宋体" w:eastAsia="宋体" w:hint="default"/>
                <w:spacing w:val="-90"/>
                <w:sz w:val="18"/>
                <w:szCs w:val="18"/>
              </w:rPr>
              <w:t>）</w:t>
            </w:r>
            <w:r>
              <w:rPr>
                <w:rFonts w:ascii="宋体" w:hAnsi="宋体" w:cs="宋体" w:eastAsia="宋体" w:hint="default"/>
                <w:sz w:val="18"/>
                <w:szCs w:val="18"/>
              </w:rPr>
              <w:t>、本公司投资平台</w:t>
            </w:r>
          </w:p>
        </w:tc>
      </w:tr>
      <w:tr>
        <w:trPr>
          <w:trHeight w:val="413"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5"/>
              <w:ind w:right="7"/>
              <w:jc w:val="center"/>
              <w:rPr>
                <w:rFonts w:ascii="宋体" w:hAnsi="宋体" w:cs="宋体" w:eastAsia="宋体" w:hint="default"/>
                <w:sz w:val="18"/>
                <w:szCs w:val="18"/>
              </w:rPr>
            </w:pPr>
            <w:r>
              <w:rPr>
                <w:rFonts w:ascii="宋体"/>
                <w:sz w:val="18"/>
              </w:rPr>
              <w:t>CCDI</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中国文化（出版广电）大数据产业项目</w:t>
            </w:r>
          </w:p>
        </w:tc>
      </w:tr>
      <w:tr>
        <w:trPr>
          <w:trHeight w:val="412"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版权云项目</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国家数字音像传播服务平台</w:t>
            </w:r>
          </w:p>
        </w:tc>
      </w:tr>
      <w:tr>
        <w:trPr>
          <w:trHeight w:val="412"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报告期</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21" w:hRule="exact"/>
        </w:trPr>
        <w:tc>
          <w:tcPr>
            <w:tcW w:w="3536" w:type="dxa"/>
            <w:tcBorders>
              <w:top w:val="single" w:sz="6" w:space="0" w:color="000000"/>
              <w:left w:val="single" w:sz="12" w:space="0" w:color="000000"/>
              <w:bottom w:val="single" w:sz="12" w:space="0" w:color="000000"/>
              <w:right w:val="single" w:sz="14" w:space="0" w:color="D2D2D2"/>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万元</w:t>
            </w:r>
          </w:p>
        </w:tc>
        <w:tc>
          <w:tcPr>
            <w:tcW w:w="60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宋体" w:hAnsi="宋体" w:cs="宋体" w:eastAsia="宋体" w:hint="default"/>
                <w:sz w:val="18"/>
                <w:szCs w:val="18"/>
              </w:rPr>
              <w:t>/</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877" w:footer="1000" w:top="110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644" w:right="1122"/>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10"/>
        <w:rPr>
          <w:rFonts w:ascii="宋体" w:hAnsi="宋体" w:cs="宋体" w:eastAsia="宋体" w:hint="default"/>
          <w:b/>
          <w:bCs/>
          <w:sz w:val="26"/>
          <w:szCs w:val="26"/>
        </w:rPr>
      </w:pPr>
    </w:p>
    <w:p>
      <w:pPr>
        <w:pStyle w:val="Heading2"/>
        <w:spacing w:line="240" w:lineRule="auto"/>
        <w:ind w:right="1122"/>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8"/>
          <w:szCs w:val="8"/>
        </w:rPr>
      </w:pPr>
    </w:p>
    <w:tbl>
      <w:tblPr>
        <w:tblW w:w="0" w:type="auto"/>
        <w:jc w:val="left"/>
        <w:tblInd w:w="138" w:type="dxa"/>
        <w:tblLayout w:type="fixed"/>
        <w:tblCellMar>
          <w:top w:w="0" w:type="dxa"/>
          <w:left w:w="0" w:type="dxa"/>
          <w:bottom w:w="0" w:type="dxa"/>
          <w:right w:w="0" w:type="dxa"/>
        </w:tblCellMar>
        <w:tblLook w:val="01E0"/>
      </w:tblPr>
      <w:tblGrid>
        <w:gridCol w:w="2553"/>
        <w:gridCol w:w="2685"/>
        <w:gridCol w:w="2157"/>
        <w:gridCol w:w="2175"/>
      </w:tblGrid>
      <w:tr>
        <w:trPr>
          <w:trHeight w:val="419" w:hRule="exact"/>
        </w:trPr>
        <w:tc>
          <w:tcPr>
            <w:tcW w:w="2553" w:type="dxa"/>
            <w:tcBorders>
              <w:top w:val="single" w:sz="12" w:space="0" w:color="000000"/>
              <w:left w:val="single" w:sz="12" w:space="0" w:color="000000"/>
              <w:bottom w:val="single" w:sz="6" w:space="0" w:color="FFFFFF"/>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685" w:type="dxa"/>
            <w:tcBorders>
              <w:top w:val="single" w:sz="12" w:space="0" w:color="000000"/>
              <w:left w:val="single" w:sz="6" w:space="0" w:color="000000"/>
              <w:bottom w:val="single" w:sz="6" w:space="0" w:color="FFFFFF"/>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光一科技</w:t>
            </w:r>
          </w:p>
        </w:tc>
        <w:tc>
          <w:tcPr>
            <w:tcW w:w="2157" w:type="dxa"/>
            <w:tcBorders>
              <w:top w:val="single" w:sz="12" w:space="0" w:color="000000"/>
              <w:left w:val="single" w:sz="6" w:space="0" w:color="000000"/>
              <w:bottom w:val="single" w:sz="6" w:space="0" w:color="FFFFFF"/>
              <w:right w:val="single" w:sz="6" w:space="0" w:color="000000"/>
            </w:tcBorders>
            <w:shd w:val="clear" w:color="auto" w:fill="D2D2D2"/>
          </w:tcPr>
          <w:p>
            <w:pPr>
              <w:pStyle w:val="TableParagraph"/>
              <w:spacing w:line="240" w:lineRule="auto" w:before="53"/>
              <w:ind w:left="7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5" w:type="dxa"/>
            <w:tcBorders>
              <w:top w:val="single" w:sz="12" w:space="0" w:color="000000"/>
              <w:left w:val="single" w:sz="6" w:space="0" w:color="000000"/>
              <w:bottom w:val="single" w:sz="6" w:space="0" w:color="FFFFFF"/>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300356</w:t>
            </w:r>
          </w:p>
        </w:tc>
      </w:tr>
      <w:tr>
        <w:trPr>
          <w:trHeight w:val="412" w:hRule="exact"/>
        </w:trPr>
        <w:tc>
          <w:tcPr>
            <w:tcW w:w="255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7017" w:type="dxa"/>
            <w:gridSpan w:val="3"/>
            <w:tcBorders>
              <w:top w:val="single" w:sz="6" w:space="0" w:color="FFFFFF"/>
              <w:left w:val="single" w:sz="6" w:space="0" w:color="000000"/>
              <w:bottom w:val="single" w:sz="6" w:space="0" w:color="FFFFFF"/>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r>
      <w:tr>
        <w:trPr>
          <w:trHeight w:val="413" w:hRule="exact"/>
        </w:trPr>
        <w:tc>
          <w:tcPr>
            <w:tcW w:w="255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7017" w:type="dxa"/>
            <w:gridSpan w:val="3"/>
            <w:tcBorders>
              <w:top w:val="single" w:sz="6" w:space="0" w:color="FFFFFF"/>
              <w:left w:val="single" w:sz="6" w:space="0" w:color="000000"/>
              <w:bottom w:val="single" w:sz="6" w:space="0" w:color="FFFFFF"/>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光一科技</w:t>
            </w:r>
          </w:p>
        </w:tc>
      </w:tr>
      <w:tr>
        <w:trPr>
          <w:trHeight w:val="412" w:hRule="exact"/>
        </w:trPr>
        <w:tc>
          <w:tcPr>
            <w:tcW w:w="255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017" w:type="dxa"/>
            <w:gridSpan w:val="3"/>
            <w:tcBorders>
              <w:top w:val="single" w:sz="6" w:space="0" w:color="FFFFFF"/>
              <w:left w:val="single" w:sz="6" w:space="0" w:color="000000"/>
              <w:bottom w:val="single" w:sz="6" w:space="0" w:color="FFFFFF"/>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r>
      <w:tr>
        <w:trPr>
          <w:trHeight w:val="412" w:hRule="exact"/>
        </w:trPr>
        <w:tc>
          <w:tcPr>
            <w:tcW w:w="255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017" w:type="dxa"/>
            <w:gridSpan w:val="3"/>
            <w:tcBorders>
              <w:top w:val="single" w:sz="6" w:space="0" w:color="FFFFFF"/>
              <w:left w:val="single" w:sz="6" w:space="0" w:color="000000"/>
              <w:bottom w:val="single" w:sz="6" w:space="0" w:color="FFFFFF"/>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南京市江宁区将军大道</w:t>
            </w:r>
            <w:r>
              <w:rPr>
                <w:rFonts w:ascii="宋体" w:hAnsi="宋体" w:cs="宋体" w:eastAsia="宋体" w:hint="default"/>
                <w:spacing w:val="-46"/>
                <w:sz w:val="18"/>
                <w:szCs w:val="18"/>
              </w:rPr>
              <w:t> </w:t>
            </w:r>
            <w:r>
              <w:rPr>
                <w:rFonts w:ascii="宋体" w:hAnsi="宋体" w:cs="宋体" w:eastAsia="宋体" w:hint="default"/>
                <w:sz w:val="18"/>
                <w:szCs w:val="18"/>
              </w:rPr>
              <w:t>128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13" w:hRule="exact"/>
        </w:trPr>
        <w:tc>
          <w:tcPr>
            <w:tcW w:w="255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017" w:type="dxa"/>
            <w:gridSpan w:val="3"/>
            <w:tcBorders>
              <w:top w:val="single" w:sz="6" w:space="0" w:color="FFFFFF"/>
              <w:left w:val="single" w:sz="6" w:space="0" w:color="000000"/>
              <w:bottom w:val="single" w:sz="6" w:space="0" w:color="FFFFFF"/>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211106</w:t>
            </w:r>
          </w:p>
        </w:tc>
      </w:tr>
      <w:tr>
        <w:trPr>
          <w:trHeight w:val="412" w:hRule="exact"/>
        </w:trPr>
        <w:tc>
          <w:tcPr>
            <w:tcW w:w="255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017" w:type="dxa"/>
            <w:gridSpan w:val="3"/>
            <w:tcBorders>
              <w:top w:val="single" w:sz="6" w:space="0" w:color="FFFFFF"/>
              <w:left w:val="single" w:sz="6" w:space="0" w:color="000000"/>
              <w:bottom w:val="single" w:sz="6" w:space="0" w:color="FFFFFF"/>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南京市江宁区将军大道</w:t>
            </w:r>
            <w:r>
              <w:rPr>
                <w:rFonts w:ascii="宋体" w:hAnsi="宋体" w:cs="宋体" w:eastAsia="宋体" w:hint="default"/>
                <w:spacing w:val="-46"/>
                <w:sz w:val="18"/>
                <w:szCs w:val="18"/>
              </w:rPr>
              <w:t> </w:t>
            </w:r>
            <w:r>
              <w:rPr>
                <w:rFonts w:ascii="宋体" w:hAnsi="宋体" w:cs="宋体" w:eastAsia="宋体" w:hint="default"/>
                <w:sz w:val="18"/>
                <w:szCs w:val="18"/>
              </w:rPr>
              <w:t>128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12" w:hRule="exact"/>
        </w:trPr>
        <w:tc>
          <w:tcPr>
            <w:tcW w:w="255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017" w:type="dxa"/>
            <w:gridSpan w:val="3"/>
            <w:tcBorders>
              <w:top w:val="single" w:sz="6" w:space="0" w:color="FFFFFF"/>
              <w:left w:val="single" w:sz="6" w:space="0" w:color="000000"/>
              <w:bottom w:val="single" w:sz="6" w:space="0" w:color="FFFFFF"/>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211106</w:t>
            </w:r>
          </w:p>
        </w:tc>
      </w:tr>
      <w:tr>
        <w:trPr>
          <w:trHeight w:val="413" w:hRule="exact"/>
        </w:trPr>
        <w:tc>
          <w:tcPr>
            <w:tcW w:w="255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017" w:type="dxa"/>
            <w:gridSpan w:val="3"/>
            <w:tcBorders>
              <w:top w:val="single" w:sz="6" w:space="0" w:color="FFFFFF"/>
              <w:left w:val="single" w:sz="6" w:space="0" w:color="000000"/>
              <w:bottom w:val="single" w:sz="6" w:space="0" w:color="FFFFFF"/>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hyperlink r:id="rId9">
              <w:r>
                <w:rPr>
                  <w:rFonts w:ascii="宋体"/>
                  <w:sz w:val="18"/>
                </w:rPr>
                <w:t>http://www.elefirst.com</w:t>
              </w:r>
            </w:hyperlink>
          </w:p>
        </w:tc>
      </w:tr>
      <w:tr>
        <w:trPr>
          <w:trHeight w:val="419" w:hRule="exact"/>
        </w:trPr>
        <w:tc>
          <w:tcPr>
            <w:tcW w:w="2553" w:type="dxa"/>
            <w:tcBorders>
              <w:top w:val="single" w:sz="6"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017" w:type="dxa"/>
            <w:gridSpan w:val="3"/>
            <w:tcBorders>
              <w:top w:val="single" w:sz="6" w:space="0" w:color="FFFFFF"/>
              <w:left w:val="single" w:sz="6" w:space="0" w:color="000000"/>
              <w:bottom w:val="single" w:sz="12"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hyperlink r:id="rId10">
              <w:r>
                <w:rPr>
                  <w:rFonts w:ascii="宋体"/>
                  <w:sz w:val="18"/>
                </w:rPr>
                <w:t>gykj300356@163.com</w:t>
              </w:r>
            </w:hyperlink>
          </w:p>
        </w:tc>
      </w:tr>
    </w:tbl>
    <w:p>
      <w:pPr>
        <w:spacing w:line="240" w:lineRule="auto" w:before="0"/>
        <w:rPr>
          <w:rFonts w:ascii="宋体" w:hAnsi="宋体" w:cs="宋体" w:eastAsia="宋体" w:hint="default"/>
          <w:b/>
          <w:bCs/>
          <w:sz w:val="13"/>
          <w:szCs w:val="13"/>
        </w:rPr>
      </w:pPr>
    </w:p>
    <w:p>
      <w:pPr>
        <w:pStyle w:val="Heading2"/>
        <w:spacing w:line="240" w:lineRule="auto"/>
        <w:ind w:right="1122"/>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4"/>
        <w:rPr>
          <w:rFonts w:ascii="宋体" w:hAnsi="宋体" w:cs="宋体" w:eastAsia="宋体" w:hint="default"/>
          <w:b/>
          <w:bCs/>
          <w:sz w:val="10"/>
          <w:szCs w:val="10"/>
        </w:rPr>
      </w:pPr>
    </w:p>
    <w:tbl>
      <w:tblPr>
        <w:tblW w:w="0" w:type="auto"/>
        <w:jc w:val="left"/>
        <w:tblInd w:w="138" w:type="dxa"/>
        <w:tblLayout w:type="fixed"/>
        <w:tblCellMar>
          <w:top w:w="0" w:type="dxa"/>
          <w:left w:w="0" w:type="dxa"/>
          <w:bottom w:w="0" w:type="dxa"/>
          <w:right w:w="0" w:type="dxa"/>
        </w:tblCellMar>
        <w:tblLook w:val="01E0"/>
      </w:tblPr>
      <w:tblGrid>
        <w:gridCol w:w="2553"/>
        <w:gridCol w:w="3508"/>
        <w:gridCol w:w="3509"/>
      </w:tblGrid>
      <w:tr>
        <w:trPr>
          <w:trHeight w:val="370" w:hRule="exact"/>
        </w:trPr>
        <w:tc>
          <w:tcPr>
            <w:tcW w:w="255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5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50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6"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41" w:hRule="exact"/>
        </w:trPr>
        <w:tc>
          <w:tcPr>
            <w:tcW w:w="255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tabs>
                <w:tab w:pos="539" w:val="left" w:leader="none"/>
              </w:tabs>
              <w:spacing w:line="240" w:lineRule="auto" w:before="83"/>
              <w:ind w:right="907"/>
              <w:jc w:val="right"/>
              <w:rPr>
                <w:rFonts w:ascii="宋体" w:hAnsi="宋体" w:cs="宋体" w:eastAsia="宋体" w:hint="default"/>
                <w:sz w:val="18"/>
                <w:szCs w:val="18"/>
              </w:rPr>
            </w:pPr>
            <w:r>
              <w:rPr>
                <w:rFonts w:ascii="宋体" w:hAnsi="宋体" w:cs="宋体" w:eastAsia="宋体" w:hint="default"/>
                <w:sz w:val="18"/>
                <w:szCs w:val="18"/>
              </w:rPr>
              <w:t>姓</w:t>
              <w:tab/>
              <w:t>名</w:t>
            </w:r>
          </w:p>
        </w:tc>
        <w:tc>
          <w:tcPr>
            <w:tcW w:w="3508" w:type="dxa"/>
            <w:tcBorders>
              <w:top w:val="single" w:sz="23" w:space="0" w:color="D2D2D2"/>
              <w:left w:val="single" w:sz="9" w:space="0" w:color="D2D2D2"/>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戴晓东</w:t>
            </w:r>
          </w:p>
        </w:tc>
        <w:tc>
          <w:tcPr>
            <w:tcW w:w="3509"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left="6" w:right="0"/>
              <w:jc w:val="center"/>
              <w:rPr>
                <w:rFonts w:ascii="宋体" w:hAnsi="宋体" w:cs="宋体" w:eastAsia="宋体" w:hint="default"/>
                <w:sz w:val="18"/>
                <w:szCs w:val="18"/>
              </w:rPr>
            </w:pPr>
            <w:r>
              <w:rPr>
                <w:rFonts w:ascii="宋体" w:hAnsi="宋体" w:cs="宋体" w:eastAsia="宋体" w:hint="default"/>
                <w:sz w:val="18"/>
                <w:szCs w:val="18"/>
              </w:rPr>
              <w:t>李盛春</w:t>
            </w:r>
          </w:p>
        </w:tc>
      </w:tr>
      <w:tr>
        <w:trPr>
          <w:trHeight w:val="413" w:hRule="exact"/>
        </w:trPr>
        <w:tc>
          <w:tcPr>
            <w:tcW w:w="255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907"/>
              <w:jc w:val="right"/>
              <w:rPr>
                <w:rFonts w:ascii="宋体" w:hAnsi="宋体" w:cs="宋体" w:eastAsia="宋体" w:hint="default"/>
                <w:sz w:val="18"/>
                <w:szCs w:val="18"/>
              </w:rPr>
            </w:pPr>
            <w:r>
              <w:rPr>
                <w:rFonts w:ascii="宋体" w:hAnsi="宋体" w:cs="宋体" w:eastAsia="宋体" w:hint="default"/>
                <w:sz w:val="18"/>
                <w:szCs w:val="18"/>
              </w:rPr>
              <w:t>联系地址</w:t>
            </w:r>
          </w:p>
        </w:tc>
        <w:tc>
          <w:tcPr>
            <w:tcW w:w="350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南京市江宁区将军大道</w:t>
            </w:r>
            <w:r>
              <w:rPr>
                <w:rFonts w:ascii="宋体" w:hAnsi="宋体" w:cs="宋体" w:eastAsia="宋体" w:hint="default"/>
                <w:spacing w:val="-46"/>
                <w:sz w:val="18"/>
                <w:szCs w:val="18"/>
              </w:rPr>
              <w:t> </w:t>
            </w:r>
            <w:r>
              <w:rPr>
                <w:rFonts w:ascii="宋体" w:hAnsi="宋体" w:cs="宋体" w:eastAsia="宋体" w:hint="default"/>
                <w:sz w:val="18"/>
                <w:szCs w:val="18"/>
              </w:rPr>
              <w:t>128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35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南京市江宁区将军大道</w:t>
            </w:r>
            <w:r>
              <w:rPr>
                <w:rFonts w:ascii="宋体" w:hAnsi="宋体" w:cs="宋体" w:eastAsia="宋体" w:hint="default"/>
                <w:spacing w:val="-46"/>
                <w:sz w:val="18"/>
                <w:szCs w:val="18"/>
              </w:rPr>
              <w:t> </w:t>
            </w:r>
            <w:r>
              <w:rPr>
                <w:rFonts w:ascii="宋体" w:hAnsi="宋体" w:cs="宋体" w:eastAsia="宋体" w:hint="default"/>
                <w:sz w:val="18"/>
                <w:szCs w:val="18"/>
              </w:rPr>
              <w:t>128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12" w:hRule="exact"/>
        </w:trPr>
        <w:tc>
          <w:tcPr>
            <w:tcW w:w="255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tabs>
                <w:tab w:pos="539" w:val="left" w:leader="none"/>
              </w:tabs>
              <w:spacing w:line="240" w:lineRule="auto" w:before="52"/>
              <w:ind w:right="907"/>
              <w:jc w:val="right"/>
              <w:rPr>
                <w:rFonts w:ascii="宋体" w:hAnsi="宋体" w:cs="宋体" w:eastAsia="宋体" w:hint="default"/>
                <w:sz w:val="18"/>
                <w:szCs w:val="18"/>
              </w:rPr>
            </w:pPr>
            <w:r>
              <w:rPr>
                <w:rFonts w:ascii="宋体" w:hAnsi="宋体" w:cs="宋体" w:eastAsia="宋体" w:hint="default"/>
                <w:sz w:val="18"/>
                <w:szCs w:val="18"/>
              </w:rPr>
              <w:t>电</w:t>
              <w:tab/>
              <w:t>话</w:t>
            </w:r>
          </w:p>
        </w:tc>
        <w:tc>
          <w:tcPr>
            <w:tcW w:w="350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sz w:val="18"/>
              </w:rPr>
              <w:t>025-68531928</w:t>
            </w:r>
          </w:p>
        </w:tc>
        <w:tc>
          <w:tcPr>
            <w:tcW w:w="35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sz w:val="18"/>
              </w:rPr>
              <w:t>025-68531928</w:t>
            </w:r>
          </w:p>
        </w:tc>
      </w:tr>
      <w:tr>
        <w:trPr>
          <w:trHeight w:val="412" w:hRule="exact"/>
        </w:trPr>
        <w:tc>
          <w:tcPr>
            <w:tcW w:w="255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tabs>
                <w:tab w:pos="539" w:val="left" w:leader="none"/>
              </w:tabs>
              <w:spacing w:line="240" w:lineRule="auto" w:before="53"/>
              <w:ind w:right="907"/>
              <w:jc w:val="right"/>
              <w:rPr>
                <w:rFonts w:ascii="宋体" w:hAnsi="宋体" w:cs="宋体" w:eastAsia="宋体" w:hint="default"/>
                <w:sz w:val="18"/>
                <w:szCs w:val="18"/>
              </w:rPr>
            </w:pPr>
            <w:r>
              <w:rPr>
                <w:rFonts w:ascii="宋体" w:hAnsi="宋体" w:cs="宋体" w:eastAsia="宋体" w:hint="default"/>
                <w:sz w:val="18"/>
                <w:szCs w:val="18"/>
              </w:rPr>
              <w:t>传</w:t>
              <w:tab/>
              <w:t>真</w:t>
            </w:r>
          </w:p>
        </w:tc>
        <w:tc>
          <w:tcPr>
            <w:tcW w:w="350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sz w:val="18"/>
              </w:rPr>
              <w:t>025-68531868</w:t>
            </w:r>
          </w:p>
        </w:tc>
        <w:tc>
          <w:tcPr>
            <w:tcW w:w="35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18"/>
                <w:szCs w:val="18"/>
              </w:rPr>
            </w:pPr>
            <w:r>
              <w:rPr>
                <w:rFonts w:ascii="宋体"/>
                <w:sz w:val="18"/>
              </w:rPr>
              <w:t>025-68531868</w:t>
            </w:r>
          </w:p>
        </w:tc>
      </w:tr>
      <w:tr>
        <w:trPr>
          <w:trHeight w:val="421" w:hRule="exact"/>
        </w:trPr>
        <w:tc>
          <w:tcPr>
            <w:tcW w:w="255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907"/>
              <w:jc w:val="right"/>
              <w:rPr>
                <w:rFonts w:ascii="宋体" w:hAnsi="宋体" w:cs="宋体" w:eastAsia="宋体" w:hint="default"/>
                <w:sz w:val="18"/>
                <w:szCs w:val="18"/>
              </w:rPr>
            </w:pPr>
            <w:r>
              <w:rPr>
                <w:rFonts w:ascii="宋体" w:hAnsi="宋体" w:cs="宋体" w:eastAsia="宋体" w:hint="default"/>
                <w:sz w:val="18"/>
                <w:szCs w:val="18"/>
              </w:rPr>
              <w:t>电子信箱</w:t>
            </w:r>
          </w:p>
        </w:tc>
        <w:tc>
          <w:tcPr>
            <w:tcW w:w="3508"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3"/>
              <w:ind w:right="3"/>
              <w:jc w:val="center"/>
              <w:rPr>
                <w:rFonts w:ascii="宋体" w:hAnsi="宋体" w:cs="宋体" w:eastAsia="宋体" w:hint="default"/>
                <w:sz w:val="18"/>
                <w:szCs w:val="18"/>
              </w:rPr>
            </w:pPr>
            <w:hyperlink r:id="rId10">
              <w:r>
                <w:rPr>
                  <w:rFonts w:ascii="宋体"/>
                  <w:sz w:val="18"/>
                </w:rPr>
                <w:t>gykj300356@163.com</w:t>
              </w:r>
            </w:hyperlink>
          </w:p>
        </w:tc>
        <w:tc>
          <w:tcPr>
            <w:tcW w:w="35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18"/>
                <w:szCs w:val="18"/>
              </w:rPr>
            </w:pPr>
            <w:hyperlink r:id="rId10">
              <w:r>
                <w:rPr>
                  <w:rFonts w:ascii="宋体"/>
                  <w:sz w:val="18"/>
                </w:rPr>
                <w:t>gykj300356@163.com</w:t>
              </w:r>
            </w:hyperlink>
          </w:p>
        </w:tc>
      </w:tr>
    </w:tbl>
    <w:p>
      <w:pPr>
        <w:spacing w:line="240" w:lineRule="auto" w:before="0"/>
        <w:rPr>
          <w:rFonts w:ascii="宋体" w:hAnsi="宋体" w:cs="宋体" w:eastAsia="宋体" w:hint="default"/>
          <w:b/>
          <w:bCs/>
          <w:sz w:val="13"/>
          <w:szCs w:val="13"/>
        </w:rPr>
      </w:pPr>
    </w:p>
    <w:p>
      <w:pPr>
        <w:pStyle w:val="Heading2"/>
        <w:spacing w:line="240" w:lineRule="auto"/>
        <w:ind w:right="1122"/>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8"/>
          <w:szCs w:val="8"/>
        </w:rPr>
      </w:pPr>
    </w:p>
    <w:tbl>
      <w:tblPr>
        <w:tblW w:w="0" w:type="auto"/>
        <w:jc w:val="left"/>
        <w:tblInd w:w="138" w:type="dxa"/>
        <w:tblLayout w:type="fixed"/>
        <w:tblCellMar>
          <w:top w:w="0" w:type="dxa"/>
          <w:left w:w="0" w:type="dxa"/>
          <w:bottom w:w="0" w:type="dxa"/>
          <w:right w:w="0" w:type="dxa"/>
        </w:tblCellMar>
        <w:tblLook w:val="01E0"/>
      </w:tblPr>
      <w:tblGrid>
        <w:gridCol w:w="3687"/>
        <w:gridCol w:w="5881"/>
      </w:tblGrid>
      <w:tr>
        <w:trPr>
          <w:trHeight w:val="398" w:hRule="exact"/>
        </w:trPr>
        <w:tc>
          <w:tcPr>
            <w:tcW w:w="3687" w:type="dxa"/>
            <w:tcBorders>
              <w:top w:val="single" w:sz="12" w:space="0" w:color="000000"/>
              <w:left w:val="single" w:sz="12" w:space="0" w:color="000000"/>
              <w:bottom w:val="single" w:sz="23" w:space="0" w:color="FFFFFF"/>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881" w:type="dxa"/>
            <w:tcBorders>
              <w:top w:val="single" w:sz="12" w:space="0" w:color="000000"/>
              <w:left w:val="single" w:sz="6" w:space="0" w:color="000000"/>
              <w:bottom w:val="single" w:sz="23" w:space="0" w:color="FFFFFF"/>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12" w:hRule="exact"/>
        </w:trPr>
        <w:tc>
          <w:tcPr>
            <w:tcW w:w="3687" w:type="dxa"/>
            <w:tcBorders>
              <w:top w:val="single" w:sz="23" w:space="0" w:color="FFFFFF"/>
              <w:left w:val="single" w:sz="12" w:space="0" w:color="000000"/>
              <w:bottom w:val="single" w:sz="23" w:space="0" w:color="FFFFFF"/>
              <w:right w:val="single" w:sz="6"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81" w:type="dxa"/>
            <w:tcBorders>
              <w:top w:val="single" w:sz="23" w:space="0" w:color="FFFFFF"/>
              <w:left w:val="single" w:sz="6" w:space="0" w:color="000000"/>
              <w:bottom w:val="single" w:sz="23" w:space="0" w:color="FFFFFF"/>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hyperlink r:id="rId11">
              <w:r>
                <w:rPr>
                  <w:rFonts w:ascii="宋体"/>
                  <w:sz w:val="18"/>
                </w:rPr>
                <w:t>http://www.cninfo.com.cn</w:t>
              </w:r>
            </w:hyperlink>
          </w:p>
        </w:tc>
      </w:tr>
      <w:tr>
        <w:trPr>
          <w:trHeight w:val="441" w:hRule="exact"/>
        </w:trPr>
        <w:tc>
          <w:tcPr>
            <w:tcW w:w="3687" w:type="dxa"/>
            <w:tcBorders>
              <w:top w:val="single" w:sz="23"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81" w:type="dxa"/>
            <w:tcBorders>
              <w:top w:val="single" w:sz="23" w:space="0" w:color="FFFFFF"/>
              <w:left w:val="single" w:sz="6" w:space="0" w:color="000000"/>
              <w:bottom w:val="single" w:sz="12"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公司董事会办公室、深圳证券交易所</w:t>
            </w:r>
          </w:p>
        </w:tc>
      </w:tr>
    </w:tbl>
    <w:p>
      <w:pPr>
        <w:pStyle w:val="Heading2"/>
        <w:spacing w:line="240" w:lineRule="auto" w:before="40"/>
        <w:ind w:right="1122"/>
        <w:jc w:val="left"/>
        <w:rPr>
          <w:b w:val="0"/>
          <w:bCs w:val="0"/>
        </w:rPr>
      </w:pPr>
      <w:bookmarkStart w:name="四、其他有关资料" w:id="7"/>
      <w:bookmarkEnd w:id="7"/>
      <w:r>
        <w:rPr>
          <w:b w:val="0"/>
          <w:bCs w:val="0"/>
        </w:rPr>
      </w:r>
      <w:r>
        <w:rPr/>
        <w:t>四、其他有关资料</w:t>
      </w:r>
      <w:r>
        <w:rPr>
          <w:b w:val="0"/>
          <w:bCs w:val="0"/>
        </w:rPr>
      </w:r>
    </w:p>
    <w:p>
      <w:pPr>
        <w:pStyle w:val="BodyText"/>
        <w:spacing w:line="240" w:lineRule="auto" w:before="177"/>
        <w:ind w:right="1122"/>
        <w:jc w:val="left"/>
      </w:pPr>
      <w:bookmarkStart w:name="公司聘请的会计师事务所" w:id="8"/>
      <w:bookmarkEnd w:id="8"/>
      <w:r>
        <w:rPr/>
      </w:r>
      <w:r>
        <w:rPr/>
        <w:t>公司聘请的会计师事务所</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553"/>
        <w:gridCol w:w="7015"/>
      </w:tblGrid>
      <w:tr>
        <w:trPr>
          <w:trHeight w:val="419" w:hRule="exact"/>
        </w:trPr>
        <w:tc>
          <w:tcPr>
            <w:tcW w:w="2553" w:type="dxa"/>
            <w:tcBorders>
              <w:top w:val="single" w:sz="12" w:space="0" w:color="000000"/>
              <w:left w:val="single" w:sz="12" w:space="0" w:color="000000"/>
              <w:bottom w:val="single" w:sz="6" w:space="0" w:color="FFFFFF"/>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会计师事务所名称</w:t>
            </w:r>
          </w:p>
        </w:tc>
        <w:tc>
          <w:tcPr>
            <w:tcW w:w="7015" w:type="dxa"/>
            <w:tcBorders>
              <w:top w:val="single" w:sz="12" w:space="0" w:color="000000"/>
              <w:left w:val="single" w:sz="6" w:space="0" w:color="000000"/>
              <w:bottom w:val="single" w:sz="6" w:space="0" w:color="FFFFFF"/>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12" w:hRule="exact"/>
        </w:trPr>
        <w:tc>
          <w:tcPr>
            <w:tcW w:w="2553" w:type="dxa"/>
            <w:tcBorders>
              <w:top w:val="single" w:sz="6" w:space="0" w:color="FFFFFF"/>
              <w:left w:val="single" w:sz="12" w:space="0" w:color="000000"/>
              <w:bottom w:val="single" w:sz="6" w:space="0" w:color="FFFFFF"/>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7015"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上海市延安东路</w:t>
            </w:r>
            <w:r>
              <w:rPr>
                <w:rFonts w:ascii="宋体" w:hAnsi="宋体" w:cs="宋体" w:eastAsia="宋体" w:hint="default"/>
                <w:spacing w:val="-46"/>
                <w:sz w:val="18"/>
                <w:szCs w:val="18"/>
              </w:rPr>
              <w:t> </w:t>
            </w:r>
            <w:r>
              <w:rPr>
                <w:rFonts w:ascii="宋体" w:hAnsi="宋体" w:cs="宋体" w:eastAsia="宋体" w:hint="default"/>
                <w:sz w:val="18"/>
                <w:szCs w:val="18"/>
              </w:rPr>
              <w:t>550</w:t>
            </w:r>
            <w:r>
              <w:rPr>
                <w:rFonts w:ascii="宋体" w:hAnsi="宋体" w:cs="宋体" w:eastAsia="宋体" w:hint="default"/>
                <w:spacing w:val="-46"/>
                <w:sz w:val="18"/>
                <w:szCs w:val="18"/>
              </w:rPr>
              <w:t> </w:t>
            </w:r>
            <w:r>
              <w:rPr>
                <w:rFonts w:ascii="宋体" w:hAnsi="宋体" w:cs="宋体" w:eastAsia="宋体" w:hint="default"/>
                <w:sz w:val="18"/>
                <w:szCs w:val="18"/>
              </w:rPr>
              <w:t>号海洋大厦</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楼</w:t>
            </w:r>
          </w:p>
        </w:tc>
      </w:tr>
      <w:tr>
        <w:trPr>
          <w:trHeight w:val="421" w:hRule="exact"/>
        </w:trPr>
        <w:tc>
          <w:tcPr>
            <w:tcW w:w="2553" w:type="dxa"/>
            <w:tcBorders>
              <w:top w:val="single" w:sz="6"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签字会计师姓名</w:t>
            </w:r>
          </w:p>
        </w:tc>
        <w:tc>
          <w:tcPr>
            <w:tcW w:w="7015" w:type="dxa"/>
            <w:tcBorders>
              <w:top w:val="single" w:sz="6" w:space="0" w:color="FFFFFF"/>
              <w:left w:val="single" w:sz="6" w:space="0" w:color="000000"/>
              <w:bottom w:val="single" w:sz="12"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文爱凤、陈芝莲</w:t>
            </w:r>
          </w:p>
        </w:tc>
      </w:tr>
    </w:tbl>
    <w:p>
      <w:pPr>
        <w:pStyle w:val="BodyText"/>
        <w:spacing w:line="240" w:lineRule="auto" w:before="63"/>
        <w:ind w:right="1122"/>
        <w:jc w:val="left"/>
      </w:pPr>
      <w:r>
        <w:rPr/>
        <w:t>公司聘请的报告期内履行持续督导职责的保荐机构</w:t>
      </w:r>
    </w:p>
    <w:p>
      <w:pPr>
        <w:spacing w:line="240" w:lineRule="auto" w:before="9"/>
        <w:rPr>
          <w:rFonts w:ascii="宋体" w:hAnsi="宋体" w:cs="宋体" w:eastAsia="宋体" w:hint="default"/>
          <w:sz w:val="14"/>
          <w:szCs w:val="14"/>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22"/>
        <w:jc w:val="left"/>
      </w:pPr>
      <w:r>
        <w:rPr/>
        <w:t>公司聘请的报告期内履行持续督导职责的财务顾问</w:t>
      </w:r>
    </w:p>
    <w:p>
      <w:pPr>
        <w:spacing w:line="240" w:lineRule="auto" w:before="10"/>
        <w:rPr>
          <w:rFonts w:ascii="宋体" w:hAnsi="宋体" w:cs="宋体" w:eastAsia="宋体" w:hint="default"/>
          <w:sz w:val="14"/>
          <w:szCs w:val="14"/>
        </w:rPr>
      </w:pPr>
    </w:p>
    <w:p>
      <w:pPr>
        <w:spacing w:line="381" w:lineRule="auto" w:before="0"/>
        <w:ind w:left="154" w:right="655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五、主要会计数据和财务指标" w:id="9"/>
      <w:bookmarkEnd w:id="9"/>
      <w:r>
        <w:rPr>
          <w:rFonts w:ascii="宋体" w:hAnsi="宋体" w:cs="宋体" w:eastAsia="宋体" w:hint="default"/>
          <w:sz w:val="21"/>
          <w:szCs w:val="21"/>
        </w:rPr>
      </w:r>
      <w:r>
        <w:rPr>
          <w:rFonts w:ascii="宋体" w:hAnsi="宋体" w:cs="宋体" w:eastAsia="宋体" w:hint="default"/>
          <w:b/>
          <w:bCs/>
          <w:sz w:val="24"/>
          <w:szCs w:val="24"/>
        </w:rPr>
        <w:t>五、主要会计数据和财务指标</w:t>
      </w:r>
      <w:r>
        <w:rPr>
          <w:rFonts w:ascii="宋体" w:hAnsi="宋体" w:cs="宋体" w:eastAsia="宋体" w:hint="default"/>
          <w:b/>
          <w:bCs/>
          <w:w w:val="99"/>
          <w:sz w:val="24"/>
          <w:szCs w:val="24"/>
        </w:rPr>
        <w:t> </w:t>
      </w:r>
      <w:r>
        <w:rPr>
          <w:rFonts w:ascii="宋体" w:hAnsi="宋体" w:cs="宋体" w:eastAsia="宋体" w:hint="default"/>
          <w:sz w:val="21"/>
          <w:szCs w:val="21"/>
        </w:rPr>
        <w:t>公司是否需追溯调整或重述以前年度会计数据</w:t>
      </w:r>
    </w:p>
    <w:p>
      <w:pPr>
        <w:pStyle w:val="BodyText"/>
        <w:spacing w:line="240" w:lineRule="auto" w:before="69"/>
        <w:ind w:right="1122"/>
        <w:jc w:val="left"/>
      </w:pPr>
      <w:r>
        <w:rPr/>
        <w:t>□ 是 √ 否</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2622"/>
        <w:gridCol w:w="1739"/>
        <w:gridCol w:w="1736"/>
        <w:gridCol w:w="1738"/>
        <w:gridCol w:w="1735"/>
      </w:tblGrid>
      <w:tr>
        <w:trPr>
          <w:trHeight w:val="370" w:hRule="exact"/>
        </w:trPr>
        <w:tc>
          <w:tcPr>
            <w:tcW w:w="2622"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57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56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23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567"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40"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right="4"/>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39"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435,931,413.33</w:t>
            </w:r>
          </w:p>
        </w:tc>
        <w:tc>
          <w:tcPr>
            <w:tcW w:w="1736"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540,224,208.56</w:t>
            </w:r>
          </w:p>
        </w:tc>
        <w:tc>
          <w:tcPr>
            <w:tcW w:w="1738"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-19.31%</w:t>
            </w:r>
          </w:p>
        </w:tc>
        <w:tc>
          <w:tcPr>
            <w:tcW w:w="1735"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814,298,079.17</w:t>
            </w:r>
          </w:p>
        </w:tc>
      </w:tr>
      <w:tr>
        <w:trPr>
          <w:trHeight w:val="412"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3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23,403,488.93</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-392,404,175.23</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105.96%</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63,786,713.83</w:t>
            </w:r>
          </w:p>
        </w:tc>
      </w:tr>
      <w:tr>
        <w:trPr>
          <w:trHeight w:val="640"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576" w:right="41" w:hanging="54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3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-13,013,192.91</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-408,211,975.10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96.81%</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44,142,962.31</w:t>
            </w:r>
          </w:p>
        </w:tc>
      </w:tr>
      <w:tr>
        <w:trPr>
          <w:trHeight w:val="412"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3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42,841,247.74</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-10,610,929.68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503.75%</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155,221,219.53</w:t>
            </w:r>
          </w:p>
        </w:tc>
      </w:tr>
      <w:tr>
        <w:trPr>
          <w:trHeight w:val="413"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3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0.0574</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-0.9619</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105.97%</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0.1555</w:t>
            </w:r>
          </w:p>
        </w:tc>
      </w:tr>
      <w:tr>
        <w:trPr>
          <w:trHeight w:val="412"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3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0.0574</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-0.9619</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105.97%</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0.1555</w:t>
            </w:r>
          </w:p>
        </w:tc>
      </w:tr>
      <w:tr>
        <w:trPr>
          <w:trHeight w:val="433"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2.24%</w:t>
            </w:r>
          </w:p>
        </w:tc>
        <w:tc>
          <w:tcPr>
            <w:tcW w:w="1736" w:type="dxa"/>
            <w:tcBorders>
              <w:top w:val="single" w:sz="6" w:space="0" w:color="000000"/>
              <w:left w:val="single" w:sz="6" w:space="0" w:color="000000"/>
              <w:bottom w:val="single" w:sz="23"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-32.12%</w:t>
            </w:r>
          </w:p>
        </w:tc>
        <w:tc>
          <w:tcPr>
            <w:tcW w:w="1738" w:type="dxa"/>
            <w:tcBorders>
              <w:top w:val="single" w:sz="6" w:space="0" w:color="000000"/>
              <w:left w:val="single" w:sz="6" w:space="0" w:color="000000"/>
              <w:bottom w:val="single" w:sz="23" w:space="0" w:color="D2D2D2"/>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34.36%</w:t>
            </w:r>
          </w:p>
        </w:tc>
        <w:tc>
          <w:tcPr>
            <w:tcW w:w="1735"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4.69%</w:t>
            </w:r>
          </w:p>
        </w:tc>
      </w:tr>
      <w:tr>
        <w:trPr>
          <w:trHeight w:val="362"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
        </w:tc>
        <w:tc>
          <w:tcPr>
            <w:tcW w:w="17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left="48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left="47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477"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41"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right="4"/>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739"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1,823,788,194.70</w:t>
            </w:r>
          </w:p>
        </w:tc>
        <w:tc>
          <w:tcPr>
            <w:tcW w:w="1736" w:type="dxa"/>
            <w:tcBorders>
              <w:top w:val="single" w:sz="17" w:space="0" w:color="D2D2D2"/>
              <w:left w:val="single" w:sz="6" w:space="0" w:color="000000"/>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1,834,019,350.87</w:t>
            </w:r>
          </w:p>
        </w:tc>
        <w:tc>
          <w:tcPr>
            <w:tcW w:w="1738" w:type="dxa"/>
            <w:tcBorders>
              <w:top w:val="single" w:sz="17" w:space="0" w:color="D2D2D2"/>
              <w:left w:val="single" w:sz="6" w:space="0" w:color="000000"/>
              <w:bottom w:val="single" w:sz="6" w:space="0" w:color="000000"/>
              <w:right w:val="single" w:sz="6"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z w:val="18"/>
              </w:rPr>
              <w:t>-0.56%</w:t>
            </w:r>
          </w:p>
        </w:tc>
        <w:tc>
          <w:tcPr>
            <w:tcW w:w="1735"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2,266,804,128.26</w:t>
            </w:r>
          </w:p>
        </w:tc>
      </w:tr>
      <w:tr>
        <w:trPr>
          <w:trHeight w:val="419" w:hRule="exact"/>
        </w:trPr>
        <w:tc>
          <w:tcPr>
            <w:tcW w:w="262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3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1,053,187,340.12</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1,034,354,565.02</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1.82%</w:t>
            </w:r>
          </w:p>
        </w:tc>
        <w:tc>
          <w:tcPr>
            <w:tcW w:w="1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1,409,322,456.36</w:t>
            </w:r>
          </w:p>
        </w:tc>
      </w:tr>
    </w:tbl>
    <w:p>
      <w:pPr>
        <w:spacing w:line="240" w:lineRule="auto" w:before="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000" w:top="1100" w:bottom="1180" w:left="980" w:right="0"/>
        </w:sectPr>
      </w:pPr>
    </w:p>
    <w:p>
      <w:pPr>
        <w:pStyle w:val="Heading2"/>
        <w:spacing w:line="240" w:lineRule="auto"/>
        <w:ind w:right="0"/>
        <w:jc w:val="left"/>
        <w:rPr>
          <w:b w:val="0"/>
          <w:bCs w:val="0"/>
        </w:rPr>
      </w:pPr>
      <w:bookmarkStart w:name="六、分季度主要财务指标" w:id="10"/>
      <w:bookmarkEnd w:id="10"/>
      <w:r>
        <w:rPr>
          <w:b w:val="0"/>
          <w:bCs w:val="0"/>
        </w:rPr>
      </w:r>
      <w:r>
        <w:rPr>
          <w:w w:val="95"/>
        </w:rPr>
        <w:t>六、分季度主要财务指标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17"/>
          <w:szCs w:val="1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2802" w:space="6117"/>
            <w:col w:w="2011"/>
          </w:cols>
        </w:sectPr>
      </w:pP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605"/>
        <w:gridCol w:w="1751"/>
        <w:gridCol w:w="1739"/>
        <w:gridCol w:w="1740"/>
        <w:gridCol w:w="1729"/>
      </w:tblGrid>
      <w:tr>
        <w:trPr>
          <w:trHeight w:val="415" w:hRule="exact"/>
        </w:trPr>
        <w:tc>
          <w:tcPr>
            <w:tcW w:w="260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1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7"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sz w:val="18"/>
              </w:rPr>
              <w:t>44,159,707.13</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111,365,538.38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118,703,618.18</w:t>
            </w:r>
          </w:p>
        </w:tc>
        <w:tc>
          <w:tcPr>
            <w:tcW w:w="1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161,702,549.64</w:t>
            </w:r>
          </w:p>
        </w:tc>
      </w:tr>
      <w:tr>
        <w:trPr>
          <w:trHeight w:val="407"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445" w:right="0"/>
              <w:jc w:val="left"/>
              <w:rPr>
                <w:rFonts w:ascii="宋体" w:hAnsi="宋体" w:cs="宋体" w:eastAsia="宋体" w:hint="default"/>
                <w:sz w:val="18"/>
                <w:szCs w:val="18"/>
              </w:rPr>
            </w:pPr>
            <w:r>
              <w:rPr>
                <w:rFonts w:ascii="宋体"/>
                <w:sz w:val="18"/>
              </w:rPr>
              <w:t>-19,349,214.57</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37,495,132.22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4,357,194.85</w:t>
            </w:r>
          </w:p>
        </w:tc>
        <w:tc>
          <w:tcPr>
            <w:tcW w:w="1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900,376.43</w:t>
            </w:r>
          </w:p>
        </w:tc>
      </w:tr>
      <w:tr>
        <w:trPr>
          <w:trHeight w:val="760" w:hRule="exact"/>
        </w:trPr>
        <w:tc>
          <w:tcPr>
            <w:tcW w:w="26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57" w:lineRule="auto" w:before="52"/>
              <w:ind w:left="389" w:right="211" w:hanging="180"/>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w:t>
            </w:r>
          </w:p>
        </w:tc>
        <w:tc>
          <w:tcPr>
            <w:tcW w:w="175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5" w:right="0"/>
              <w:jc w:val="left"/>
              <w:rPr>
                <w:rFonts w:ascii="宋体" w:hAnsi="宋体" w:cs="宋体" w:eastAsia="宋体" w:hint="default"/>
                <w:sz w:val="18"/>
                <w:szCs w:val="18"/>
              </w:rPr>
            </w:pPr>
            <w:r>
              <w:rPr>
                <w:rFonts w:ascii="宋体"/>
                <w:sz w:val="18"/>
              </w:rPr>
              <w:t>-21,593,471.69</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7,388,486.43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2,554,596.62</w:t>
            </w:r>
          </w:p>
        </w:tc>
        <w:tc>
          <w:tcPr>
            <w:tcW w:w="1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-1,362,804.27</w:t>
            </w:r>
          </w:p>
        </w:tc>
      </w:tr>
      <w:tr>
        <w:trPr>
          <w:trHeight w:val="415" w:hRule="exact"/>
        </w:trPr>
        <w:tc>
          <w:tcPr>
            <w:tcW w:w="260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left="445" w:right="0"/>
              <w:jc w:val="left"/>
              <w:rPr>
                <w:rFonts w:ascii="宋体" w:hAnsi="宋体" w:cs="宋体" w:eastAsia="宋体" w:hint="default"/>
                <w:sz w:val="18"/>
                <w:szCs w:val="18"/>
              </w:rPr>
            </w:pPr>
            <w:r>
              <w:rPr>
                <w:rFonts w:ascii="宋体"/>
                <w:sz w:val="18"/>
              </w:rPr>
              <w:t>-81,384,722.75</w:t>
            </w:r>
          </w:p>
        </w:tc>
        <w:tc>
          <w:tcPr>
            <w:tcW w:w="17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978,235.45</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26,326,070.49</w:t>
            </w:r>
          </w:p>
        </w:tc>
        <w:tc>
          <w:tcPr>
            <w:tcW w:w="17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96,921,664.55</w:t>
            </w:r>
          </w:p>
        </w:tc>
      </w:tr>
    </w:tbl>
    <w:p>
      <w:pPr>
        <w:pStyle w:val="BodyText"/>
        <w:spacing w:line="240" w:lineRule="auto" w:before="63"/>
        <w:ind w:right="1122"/>
        <w:jc w:val="left"/>
      </w:pPr>
      <w:r>
        <w:rPr/>
        <w:t>上述财务指标或其加总数是否与公司已披露季度报告、半年度报告相关财务指标存在重大差异</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是 √ 否</w:t>
      </w:r>
    </w:p>
    <w:p>
      <w:pPr>
        <w:pStyle w:val="Heading2"/>
        <w:spacing w:line="240" w:lineRule="auto" w:before="170"/>
        <w:ind w:right="112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pStyle w:val="Heading4"/>
        <w:spacing w:line="240" w:lineRule="auto" w:before="177"/>
        <w:ind w:right="1122"/>
        <w:jc w:val="left"/>
        <w:rPr>
          <w:b w:val="0"/>
          <w:bCs w:val="0"/>
        </w:rPr>
      </w:pPr>
      <w:bookmarkStart w:name="1、同时按照国际会计准则与按照中国会计准则披露的财务报告中净利润和净资产差异情况" w:id="12"/>
      <w:bookmarkEnd w:id="12"/>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302"/>
        <w:jc w:val="left"/>
      </w:pPr>
      <w:r>
        <w:rPr/>
        <w:t>□ 适用 √</w:t>
      </w:r>
      <w:r>
        <w:rPr>
          <w:spacing w:val="-1"/>
        </w:rPr>
        <w:t> </w:t>
      </w:r>
      <w:r>
        <w:rPr/>
        <w:t>不适用</w:t>
      </w:r>
      <w:r>
        <w:rPr/>
        <w:t> 公司报告期不存在按照国际会计准则与按照中国会计准则披露的财务报告中净利润和净资产差异情况。</w:t>
      </w:r>
    </w:p>
    <w:p>
      <w:pPr>
        <w:spacing w:after="0" w:line="408" w:lineRule="auto"/>
        <w:jc w:val="left"/>
        <w:sectPr>
          <w:type w:val="continuous"/>
          <w:pgSz w:w="11910" w:h="16840"/>
          <w:pgMar w:top="1580" w:bottom="70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2、同时按照境外会计准则与按照中国会计准则披露的财务报告中净利润和净资产差异情况" w:id="13"/>
      <w:bookmarkEnd w:id="13"/>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14"/>
          <w:szCs w:val="14"/>
        </w:rPr>
      </w:pPr>
    </w:p>
    <w:p>
      <w:pPr>
        <w:pStyle w:val="BodyText"/>
        <w:spacing w:line="398" w:lineRule="auto" w:before="0"/>
        <w:ind w:right="1302"/>
        <w:jc w:val="left"/>
        <w:rPr>
          <w:rFonts w:ascii="宋体" w:hAnsi="宋体" w:cs="宋体" w:eastAsia="宋体" w:hint="default"/>
          <w:sz w:val="24"/>
          <w:szCs w:val="24"/>
        </w:rPr>
      </w:pPr>
      <w:r>
        <w:rPr/>
        <w:t>□ 适用 √</w:t>
      </w:r>
      <w:r>
        <w:rPr>
          <w:spacing w:val="-1"/>
        </w:rPr>
        <w:t> </w:t>
      </w:r>
      <w:r>
        <w:rPr/>
        <w:t>不适用</w:t>
      </w:r>
      <w:r>
        <w:rPr/>
        <w:t> 公司报告期不存在按照境外会计准则与按照中国会计准则披露的财务报告中净利润和净资产差异情况。 </w:t>
      </w:r>
      <w:bookmarkStart w:name="八、非经常性损益项目及金额" w:id="14"/>
      <w:bookmarkEnd w:id="14"/>
      <w:r>
        <w:rPr/>
      </w:r>
      <w:r>
        <w:rPr>
          <w:rFonts w:ascii="宋体" w:hAnsi="宋体" w:cs="宋体" w:eastAsia="宋体" w:hint="default"/>
          <w:b/>
          <w:bCs/>
          <w:sz w:val="24"/>
          <w:szCs w:val="24"/>
        </w:rPr>
        <w:t>八、非经常性损益项目及金额</w:t>
      </w:r>
      <w:r>
        <w:rPr>
          <w:rFonts w:ascii="宋体" w:hAnsi="宋体" w:cs="宋体" w:eastAsia="宋体" w:hint="default"/>
          <w:sz w:val="24"/>
          <w:szCs w:val="24"/>
        </w:rPr>
      </w:r>
    </w:p>
    <w:p>
      <w:pPr>
        <w:pStyle w:val="BodyText"/>
        <w:spacing w:line="240" w:lineRule="auto" w:before="18"/>
        <w:ind w:right="1122"/>
        <w:jc w:val="left"/>
      </w:pPr>
      <w:r>
        <w:rPr/>
        <w:t>√ 适用 □</w:t>
      </w:r>
      <w:r>
        <w:rPr>
          <w:spacing w:val="-1"/>
        </w:rPr>
        <w:t> </w:t>
      </w:r>
      <w:r>
        <w:rPr/>
        <w:t>不适用</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280"/>
        <w:gridCol w:w="1530"/>
        <w:gridCol w:w="1520"/>
        <w:gridCol w:w="1522"/>
        <w:gridCol w:w="1709"/>
      </w:tblGrid>
      <w:tr>
        <w:trPr>
          <w:trHeight w:val="415" w:hRule="exact"/>
        </w:trPr>
        <w:tc>
          <w:tcPr>
            <w:tcW w:w="32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0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9"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6"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33,522,824.24</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4,433,717.60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-112,000.85</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8,205,180.57</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9,617,486.79</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5,827,341.68</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0" w:type="dxa"/>
            <w:tcBorders>
              <w:top w:val="single" w:sz="6" w:space="0" w:color="000000"/>
              <w:left w:val="single" w:sz="14" w:space="0" w:color="D2D2D2"/>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352,833.33</w:t>
            </w:r>
          </w:p>
        </w:tc>
        <w:tc>
          <w:tcPr>
            <w:tcW w:w="152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1655"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0" w:type="dxa"/>
            <w:tcBorders>
              <w:top w:val="single" w:sz="6" w:space="0" w:color="000000"/>
              <w:left w:val="single" w:sz="14" w:space="0" w:color="D2D2D2"/>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1,500,000.00</w:t>
            </w:r>
          </w:p>
        </w:tc>
        <w:tc>
          <w:tcPr>
            <w:tcW w:w="152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87,843.03</w:t>
            </w:r>
          </w:p>
        </w:tc>
        <w:tc>
          <w:tcPr>
            <w:tcW w:w="1520"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0" w:type="dxa"/>
            <w:tcBorders>
              <w:top w:val="single" w:sz="6" w:space="0" w:color="000000"/>
              <w:left w:val="single" w:sz="14" w:space="0" w:color="D2D2D2"/>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11,619.85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17,625,625.47</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5,283,536.75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58,552.66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3,553,569.92</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115,629.25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49,305.04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143,644.86</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2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36,416,681.84</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15,807,799.87</w:t>
            </w:r>
          </w:p>
        </w:tc>
        <w:tc>
          <w:tcPr>
            <w:tcW w:w="1522"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19,643,751.52</w:t>
            </w:r>
          </w:p>
        </w:tc>
        <w:tc>
          <w:tcPr>
            <w:tcW w:w="1709"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right="0"/>
        <w:jc w:val="left"/>
      </w:pPr>
      <w:r>
        <w:rPr/>
        <w:t>对公司根据《公开发行证券的公司信息披露解释性公告第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号——非经常性损益》定义界定的非经常性损</w:t>
      </w:r>
    </w:p>
    <w:p>
      <w:pPr>
        <w:spacing w:line="240" w:lineRule="auto" w:before="10"/>
        <w:rPr>
          <w:rFonts w:ascii="宋体" w:hAnsi="宋体" w:cs="宋体" w:eastAsia="宋体" w:hint="default"/>
          <w:sz w:val="14"/>
          <w:szCs w:val="14"/>
        </w:rPr>
      </w:pPr>
    </w:p>
    <w:p>
      <w:pPr>
        <w:pStyle w:val="BodyText"/>
        <w:spacing w:line="408" w:lineRule="auto" w:before="0"/>
        <w:ind w:right="1115"/>
        <w:jc w:val="left"/>
      </w:pPr>
      <w:r>
        <w:rPr/>
        <w:t>益项目，以及把《公开发行证券的公司信息披露解释性公告第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号——非经常性损益》中列举的非经常性 损益项目界定为经常性损益的项目，应说明原因</w:t>
      </w:r>
    </w:p>
    <w:p>
      <w:pPr>
        <w:pStyle w:val="BodyText"/>
        <w:spacing w:line="240" w:lineRule="auto"/>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before="0"/>
        <w:ind w:right="1115"/>
        <w:jc w:val="left"/>
      </w:pPr>
      <w:r>
        <w:rPr/>
        <w:t>公司报告期不存在将根据《公开发行证券的公司信息披露解释性公告第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号——非经常性损益》定义、列 举的非经常性损益项目界定为经常性损益的项目的情形。</w:t>
      </w:r>
    </w:p>
    <w:p>
      <w:pPr>
        <w:spacing w:after="0" w:line="408" w:lineRule="auto"/>
        <w:jc w:val="left"/>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978"/>
        <w:jc w:val="center"/>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0"/>
        <w:rPr>
          <w:rFonts w:ascii="宋体" w:hAnsi="宋体" w:cs="宋体" w:eastAsia="宋体" w:hint="default"/>
          <w:b/>
          <w:bCs/>
          <w:sz w:val="44"/>
          <w:szCs w:val="44"/>
        </w:rPr>
      </w:pPr>
    </w:p>
    <w:p>
      <w:pPr>
        <w:pStyle w:val="Heading2"/>
        <w:spacing w:line="240" w:lineRule="auto" w:before="0"/>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pStyle w:val="BodyText"/>
        <w:spacing w:line="240" w:lineRule="auto" w:before="177"/>
        <w:ind w:right="0"/>
        <w:jc w:val="both"/>
      </w:pPr>
      <w:r>
        <w:rPr/>
        <w:t>公司是否需要遵守特殊行业的披露要求</w:t>
      </w:r>
      <w:r>
        <w:rPr>
          <w:rFonts w:ascii="宋体" w:hAnsi="宋体" w:cs="宋体" w:eastAsia="宋体" w:hint="default"/>
        </w:rPr>
        <w:t>:</w:t>
      </w:r>
      <w:r>
        <w:rPr/>
        <w:t>否</w:t>
      </w:r>
    </w:p>
    <w:p>
      <w:pPr>
        <w:spacing w:line="240" w:lineRule="auto" w:before="10"/>
        <w:rPr>
          <w:rFonts w:ascii="宋体" w:hAnsi="宋体" w:cs="宋体" w:eastAsia="宋体" w:hint="default"/>
          <w:sz w:val="14"/>
          <w:szCs w:val="14"/>
        </w:rPr>
      </w:pPr>
    </w:p>
    <w:p>
      <w:pPr>
        <w:pStyle w:val="BodyText"/>
        <w:spacing w:line="408" w:lineRule="auto" w:before="0"/>
        <w:ind w:left="577" w:right="1122"/>
        <w:jc w:val="left"/>
      </w:pPr>
      <w:r>
        <w:rPr/>
        <w:t>（一）主要业务 报告期内，公司继续推进“1+3”发展战略，依托信息采集的业务架构，通过用电信息采集服务于有</w:t>
      </w:r>
    </w:p>
    <w:p>
      <w:pPr>
        <w:pStyle w:val="BodyText"/>
        <w:spacing w:line="408" w:lineRule="auto"/>
        <w:ind w:right="1131"/>
        <w:jc w:val="both"/>
      </w:pPr>
      <w:r>
        <w:rPr>
          <w:spacing w:val="-1"/>
        </w:rPr>
        <w:t>序用电，通过互联网内容采集服务于有序传播，继续以电力业务为基础，以互联网内容安全服务为重点发</w:t>
      </w:r>
      <w:r>
        <w:rPr>
          <w:spacing w:val="-83"/>
        </w:rPr>
        <w:t> </w:t>
      </w:r>
      <w:r>
        <w:rPr>
          <w:spacing w:val="-83"/>
        </w:rPr>
      </w:r>
      <w:r>
        <w:rPr/>
        <w:t>展方向，双轮驱动、协调发展。</w:t>
      </w:r>
    </w:p>
    <w:p>
      <w:pPr>
        <w:pStyle w:val="BodyText"/>
        <w:spacing w:line="408" w:lineRule="auto"/>
        <w:ind w:left="577" w:right="1122"/>
        <w:jc w:val="left"/>
      </w:pPr>
      <w:r>
        <w:rPr>
          <w:rFonts w:ascii="宋体" w:hAnsi="宋体" w:cs="宋体" w:eastAsia="宋体" w:hint="default"/>
        </w:rPr>
        <w:t>1</w:t>
      </w:r>
      <w:r>
        <w:rPr/>
        <w:t>、版权云业务 </w:t>
      </w:r>
      <w:r>
        <w:rPr>
          <w:spacing w:val="-1"/>
        </w:rPr>
        <w:t>公司版权云业务以</w:t>
      </w:r>
      <w:r>
        <w:rPr>
          <w:rFonts w:ascii="宋体" w:hAnsi="宋体" w:cs="宋体" w:eastAsia="宋体" w:hint="default"/>
          <w:spacing w:val="-1"/>
        </w:rPr>
        <w:t>CCDI</w:t>
      </w:r>
      <w:r>
        <w:rPr>
          <w:spacing w:val="-1"/>
        </w:rPr>
        <w:t>国家数字音像传播服务平台（即版权云项目）为依托，以互联网内容安全为目</w:t>
      </w:r>
    </w:p>
    <w:p>
      <w:pPr>
        <w:pStyle w:val="BodyText"/>
        <w:spacing w:line="408" w:lineRule="auto"/>
        <w:ind w:right="1131"/>
        <w:jc w:val="both"/>
      </w:pPr>
      <w:r>
        <w:rPr>
          <w:spacing w:val="-1"/>
        </w:rPr>
        <w:t>标，以全网监测能力建设为核心，以第三方内容合规风控服务、版权交易服务和移动内容大数据服务为商</w:t>
      </w:r>
      <w:r>
        <w:rPr>
          <w:spacing w:val="-83"/>
        </w:rPr>
        <w:t> </w:t>
      </w:r>
      <w:r>
        <w:rPr>
          <w:spacing w:val="-83"/>
        </w:rPr>
      </w:r>
      <w:r>
        <w:rPr>
          <w:spacing w:val="-1"/>
        </w:rPr>
        <w:t>业模式，通过直接投资和产业基金间接投资的方式，即以上市公司光一科技及全资子公司光一贵仁、控股</w:t>
      </w:r>
      <w:r>
        <w:rPr>
          <w:spacing w:val="-83"/>
        </w:rPr>
        <w:t> </w:t>
      </w:r>
      <w:r>
        <w:rPr>
          <w:spacing w:val="-83"/>
        </w:rPr>
      </w:r>
      <w:r>
        <w:rPr>
          <w:spacing w:val="-1"/>
        </w:rPr>
        <w:t>股东光一投资和产业基金为平台的三位一体投资模式，对互联网内容传播生态产业链的关键环节进行布局</w:t>
      </w:r>
      <w:r>
        <w:rPr>
          <w:spacing w:val="-81"/>
        </w:rPr>
        <w:t> </w:t>
      </w:r>
      <w:r>
        <w:rPr>
          <w:spacing w:val="-81"/>
        </w:rPr>
      </w:r>
      <w:r>
        <w:rPr/>
        <w:t>和资源整合。</w:t>
      </w:r>
    </w:p>
    <w:p>
      <w:pPr>
        <w:pStyle w:val="BodyText"/>
        <w:spacing w:line="408" w:lineRule="auto"/>
        <w:ind w:right="0" w:firstLine="423"/>
        <w:jc w:val="left"/>
      </w:pPr>
      <w:r>
        <w:rPr/>
        <w:t>目前，公司版权云业务主要通过中云文化大数据科技有限公司（简称“中云文化大数据”）、天擎华 媒（北京）科技有限公司（简称“天擎华媒”）和北京海誉动想科技股份有限公司（简称“海誉动想”）</w:t>
      </w:r>
      <w:r>
        <w:rPr>
          <w:spacing w:val="-26"/>
        </w:rPr>
        <w:t> </w:t>
      </w:r>
      <w:r>
        <w:rPr>
          <w:spacing w:val="-26"/>
        </w:rPr>
      </w:r>
      <w:r>
        <w:rPr/>
        <w:t>等运营主体，包括互联网数字版权确权、维权、交易、分发、第三方互联网内容监测风控服务等业务。</w:t>
      </w:r>
    </w:p>
    <w:p>
      <w:pPr>
        <w:pStyle w:val="BodyText"/>
        <w:spacing w:line="408" w:lineRule="auto"/>
        <w:ind w:left="577" w:right="1122"/>
        <w:jc w:val="left"/>
        <w:rPr>
          <w:rFonts w:ascii="宋体" w:hAnsi="宋体" w:cs="宋体" w:eastAsia="宋体" w:hint="default"/>
        </w:rPr>
      </w:pPr>
      <w:r>
        <w:rPr>
          <w:rFonts w:ascii="宋体" w:hAnsi="宋体" w:cs="宋体" w:eastAsia="宋体" w:hint="default"/>
        </w:rPr>
        <w:t>2</w:t>
      </w:r>
      <w:r>
        <w:rPr/>
        <w:t>、电力业务 电力业务经过多年的发展已形成以信息采集及处理为核心、综合能源管理为价值的智能电网互联网</w:t>
      </w:r>
      <w:r>
        <w:rPr>
          <w:rFonts w:ascii="宋体" w:hAnsi="宋体" w:cs="宋体" w:eastAsia="宋体" w:hint="default"/>
        </w:rPr>
        <w:t>+</w:t>
      </w:r>
    </w:p>
    <w:p>
      <w:pPr>
        <w:pStyle w:val="BodyText"/>
        <w:spacing w:line="408" w:lineRule="auto"/>
        <w:ind w:right="1130"/>
        <w:jc w:val="both"/>
      </w:pPr>
      <w:r>
        <w:rPr>
          <w:spacing w:val="-1"/>
        </w:rPr>
        <w:t>业务板块相对完整的产业链，主要产品和服务为用电信息采集终端、配电自动化产品、电能计量箱、高低</w:t>
      </w:r>
      <w:r>
        <w:rPr>
          <w:spacing w:val="-86"/>
        </w:rPr>
        <w:t> </w:t>
      </w:r>
      <w:r>
        <w:rPr>
          <w:spacing w:val="-86"/>
        </w:rPr>
      </w:r>
      <w:r>
        <w:rPr>
          <w:spacing w:val="-5"/>
        </w:rPr>
        <w:t>压电气成套开关设备、电力在线监测系统、能源监测终端及监测平台、智能微电网管理系统及工程服务等。</w:t>
      </w:r>
    </w:p>
    <w:p>
      <w:pPr>
        <w:pStyle w:val="BodyText"/>
        <w:spacing w:line="408" w:lineRule="auto"/>
        <w:ind w:left="577" w:right="8859"/>
        <w:jc w:val="left"/>
      </w:pPr>
      <w:r>
        <w:rPr/>
        <w:t>（二）经营模式 </w:t>
      </w:r>
      <w:r>
        <w:rPr>
          <w:rFonts w:ascii="宋体" w:hAnsi="宋体" w:cs="宋体" w:eastAsia="宋体" w:hint="default"/>
        </w:rPr>
        <w:t>1</w:t>
      </w:r>
      <w:r>
        <w:rPr/>
        <w:t>、版权云业务</w:t>
      </w:r>
    </w:p>
    <w:p>
      <w:pPr>
        <w:pStyle w:val="BodyText"/>
        <w:spacing w:line="408" w:lineRule="auto"/>
        <w:ind w:right="1027" w:firstLine="423"/>
        <w:jc w:val="left"/>
      </w:pPr>
      <w:r>
        <w:rPr/>
        <w:t>根据提供服务对象的不同可分为</w:t>
      </w:r>
      <w:r>
        <w:rPr>
          <w:rFonts w:ascii="宋体" w:hAnsi="宋体" w:cs="宋体" w:eastAsia="宋体" w:hint="default"/>
        </w:rPr>
        <w:t>TO-G</w:t>
      </w:r>
      <w:r>
        <w:rPr/>
        <w:t>、</w:t>
      </w:r>
      <w:r>
        <w:rPr>
          <w:rFonts w:ascii="宋体" w:hAnsi="宋体" w:cs="宋体" w:eastAsia="宋体" w:hint="default"/>
        </w:rPr>
        <w:t>TO-B</w:t>
      </w:r>
      <w:r>
        <w:rPr/>
        <w:t>业务，其中：</w:t>
      </w:r>
      <w:r>
        <w:rPr>
          <w:rFonts w:ascii="宋体" w:hAnsi="宋体" w:cs="宋体" w:eastAsia="宋体" w:hint="default"/>
        </w:rPr>
        <w:t>TO-G</w:t>
      </w:r>
      <w:r>
        <w:rPr/>
        <w:t>业务主要是按照国家相关机构对纷乱复 杂互联网内容的合规性管理需求和规则，通过监测、预警、分析、洞察等技术能力帮助其实现互联网内容 传播的风险控制，对内容从生产、获取、传播、消费、反馈的全生命周期进行跟踪，提供对关键内容的事 </w:t>
      </w:r>
      <w:r>
        <w:rPr>
          <w:spacing w:val="-3"/>
        </w:rPr>
        <w:t>前预警、重点打击内容的实时监测、重点专项行动的事后分析以及垂直内容行业的多维度数据洞察等服务，</w:t>
      </w:r>
      <w:r>
        <w:rPr>
          <w:spacing w:val="-92"/>
        </w:rPr>
        <w:t> </w:t>
      </w:r>
      <w:r>
        <w:rPr>
          <w:spacing w:val="-92"/>
        </w:rPr>
      </w:r>
      <w:r>
        <w:rPr/>
        <w:t>树立市场公信力，以公益性为主；</w:t>
      </w:r>
      <w:r>
        <w:rPr>
          <w:rFonts w:ascii="宋体" w:hAnsi="宋体" w:cs="宋体" w:eastAsia="宋体" w:hint="default"/>
        </w:rPr>
        <w:t>TO-B</w:t>
      </w:r>
      <w:r>
        <w:rPr/>
        <w:t>业务主要是通过内容监测服务的开展积累大量的内容资产和数据资</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7" w:right="3823" w:hanging="424"/>
        <w:jc w:val="left"/>
      </w:pPr>
      <w:r>
        <w:rPr/>
        <w:t>产，为企业、个人提供日常内容风控、专项数据监测等内容合规外包服务。 </w:t>
      </w:r>
      <w:r>
        <w:rPr>
          <w:rFonts w:ascii="宋体" w:hAnsi="宋体" w:cs="宋体" w:eastAsia="宋体" w:hint="default"/>
        </w:rPr>
        <w:t>2</w:t>
      </w:r>
      <w:r>
        <w:rPr/>
        <w:t>、电力业务</w:t>
      </w:r>
    </w:p>
    <w:p>
      <w:pPr>
        <w:pStyle w:val="BodyText"/>
        <w:spacing w:line="408" w:lineRule="auto"/>
        <w:ind w:right="1119" w:firstLine="423"/>
        <w:jc w:val="left"/>
      </w:pPr>
      <w:r>
        <w:rPr>
          <w:spacing w:val="-3"/>
        </w:rPr>
        <w:t>（</w:t>
      </w:r>
      <w:r>
        <w:rPr>
          <w:rFonts w:ascii="宋体" w:hAnsi="宋体" w:cs="宋体" w:eastAsia="宋体" w:hint="default"/>
          <w:spacing w:val="-3"/>
        </w:rPr>
        <w:t>1</w:t>
      </w:r>
      <w:r>
        <w:rPr>
          <w:spacing w:val="-3"/>
        </w:rPr>
        <w:t>）产品类：以用采产品、电能表箱、高低压成套设备、配电一二次设备为主，主要通过国家电网、</w:t>
      </w:r>
      <w:r>
        <w:rPr/>
        <w:t> 南方电网及各网省公司集中招标获取订单，组织生产及发货方式实现销售。</w:t>
      </w:r>
    </w:p>
    <w:p>
      <w:pPr>
        <w:pStyle w:val="BodyText"/>
        <w:spacing w:line="408" w:lineRule="auto"/>
        <w:ind w:right="1122" w:firstLine="423"/>
        <w:jc w:val="left"/>
      </w:pPr>
      <w:r>
        <w:rPr/>
        <w:t>（</w:t>
      </w:r>
      <w:r>
        <w:rPr>
          <w:rFonts w:ascii="宋体" w:hAnsi="宋体" w:cs="宋体" w:eastAsia="宋体" w:hint="default"/>
        </w:rPr>
        <w:t>2</w:t>
      </w:r>
      <w:r>
        <w:rPr/>
        <w:t>）服务类：以工程施工业务为主，通过电力公司、政府公共平台及用户招投标获取订单，实施完 成后，甲方单位确认审计后实现销售。</w:t>
      </w:r>
    </w:p>
    <w:p>
      <w:pPr>
        <w:pStyle w:val="BodyText"/>
        <w:spacing w:line="408" w:lineRule="auto"/>
        <w:ind w:right="1122" w:firstLine="420"/>
        <w:jc w:val="left"/>
      </w:pPr>
      <w:r>
        <w:rPr>
          <w:spacing w:val="-3"/>
        </w:rPr>
        <w:t>（</w:t>
      </w:r>
      <w:r>
        <w:rPr>
          <w:rFonts w:ascii="宋体" w:hAnsi="宋体" w:cs="宋体" w:eastAsia="宋体" w:hint="default"/>
          <w:spacing w:val="-3"/>
        </w:rPr>
        <w:t>3</w:t>
      </w:r>
      <w:r>
        <w:rPr>
          <w:spacing w:val="-3"/>
        </w:rPr>
        <w:t>）系统集成类：以能效监测系统或区域能源管理为主，采取整体打包服务的方式，提供实施方案，</w:t>
      </w:r>
      <w:r>
        <w:rPr/>
        <w:t> 方案经确认且实施完成后实现销售。</w:t>
      </w:r>
    </w:p>
    <w:p>
      <w:pPr>
        <w:pStyle w:val="BodyText"/>
        <w:spacing w:line="408" w:lineRule="auto"/>
        <w:ind w:left="574" w:right="1122"/>
        <w:jc w:val="left"/>
      </w:pPr>
      <w:r>
        <w:rPr/>
        <w:t>（三）报告期业绩驱动因素 </w:t>
      </w:r>
      <w:r>
        <w:rPr>
          <w:spacing w:val="-1"/>
        </w:rPr>
        <w:t>报告期内，公司数字版权相关业务逐步落实，在合并报表范围内收益未形成规模；电力业务受行业周</w:t>
      </w:r>
    </w:p>
    <w:p>
      <w:pPr>
        <w:pStyle w:val="BodyText"/>
        <w:spacing w:line="408" w:lineRule="auto"/>
        <w:ind w:right="1116"/>
        <w:jc w:val="both"/>
      </w:pPr>
      <w:r>
        <w:rPr>
          <w:spacing w:val="10"/>
        </w:rPr>
        <w:t>期性影响整体招标需求减少，全年实现营业收入</w:t>
      </w:r>
      <w:r>
        <w:rPr>
          <w:rFonts w:ascii="宋体" w:hAnsi="宋体" w:cs="宋体" w:eastAsia="宋体" w:hint="default"/>
          <w:spacing w:val="10"/>
        </w:rPr>
        <w:t>43,593.14</w:t>
      </w:r>
      <w:r>
        <w:rPr>
          <w:spacing w:val="10"/>
        </w:rPr>
        <w:t>万元，较上年同期减少</w:t>
      </w:r>
      <w:r>
        <w:rPr>
          <w:rFonts w:ascii="宋体" w:hAnsi="宋体" w:cs="宋体" w:eastAsia="宋体" w:hint="default"/>
          <w:spacing w:val="10"/>
        </w:rPr>
        <w:t>19.31%</w:t>
      </w:r>
      <w:r>
        <w:rPr>
          <w:spacing w:val="10"/>
        </w:rPr>
        <w:t>；营业成本</w:t>
      </w:r>
      <w:r>
        <w:rPr>
          <w:spacing w:val="-103"/>
        </w:rPr>
        <w:t> </w:t>
      </w:r>
      <w:r>
        <w:rPr>
          <w:rFonts w:ascii="宋体" w:hAnsi="宋体" w:cs="宋体" w:eastAsia="宋体" w:hint="default"/>
        </w:rPr>
        <w:t>28,554.71</w:t>
      </w:r>
      <w:r>
        <w:rPr/>
        <w:t>万元，较上年同期减少</w:t>
      </w:r>
      <w:r>
        <w:rPr>
          <w:rFonts w:ascii="宋体" w:hAnsi="宋体" w:cs="宋体" w:eastAsia="宋体" w:hint="default"/>
        </w:rPr>
        <w:t>24.35%</w:t>
      </w:r>
      <w:r>
        <w:rPr/>
        <w:t>；本报告期合并范围新增领航光一，按照权益法核算的投资收益</w:t>
      </w:r>
      <w:r>
        <w:rPr>
          <w:spacing w:val="-33"/>
        </w:rPr>
        <w:t> </w:t>
      </w:r>
      <w:r>
        <w:rPr>
          <w:spacing w:val="-33"/>
        </w:rPr>
      </w:r>
      <w:r>
        <w:rPr/>
        <w:t>同比增加，同时确认了闲置资产处置收益，报告期归属于上市公司股东净利润</w:t>
      </w:r>
      <w:r>
        <w:rPr>
          <w:rFonts w:ascii="宋体" w:hAnsi="宋体" w:cs="宋体" w:eastAsia="宋体" w:hint="default"/>
        </w:rPr>
        <w:t>2,340.35</w:t>
      </w:r>
      <w:r>
        <w:rPr/>
        <w:t>万元。</w:t>
      </w:r>
    </w:p>
    <w:p>
      <w:pPr>
        <w:pStyle w:val="BodyText"/>
        <w:spacing w:line="408" w:lineRule="auto"/>
        <w:ind w:left="574" w:right="5712"/>
        <w:jc w:val="left"/>
      </w:pPr>
      <w:r>
        <w:rPr/>
        <w:t>（四）公司所处行业的发展趋势及公司所在的地位 </w:t>
      </w:r>
      <w:r>
        <w:rPr>
          <w:rFonts w:ascii="宋体" w:hAnsi="宋体" w:cs="宋体" w:eastAsia="宋体" w:hint="default"/>
        </w:rPr>
        <w:t>1</w:t>
      </w:r>
      <w:r>
        <w:rPr/>
        <w:t>、版权云业务</w:t>
      </w:r>
    </w:p>
    <w:p>
      <w:pPr>
        <w:pStyle w:val="BodyText"/>
        <w:spacing w:line="408" w:lineRule="auto"/>
        <w:ind w:right="0" w:firstLine="423"/>
        <w:jc w:val="left"/>
      </w:pPr>
      <w:r>
        <w:rPr>
          <w:color w:val="0E0E0E"/>
        </w:rPr>
        <w:t>在国家政策方面，国务院在《文化产业振兴规划》、《国家“十二五”时期文化改革发展规划纲要》 中将发展数字、网络出版产业作为出版传媒产业转型升级的重要战略；</w:t>
      </w:r>
      <w:r>
        <w:rPr>
          <w:rFonts w:ascii="宋体" w:hAnsi="宋体" w:cs="宋体" w:eastAsia="宋体" w:hint="default"/>
          <w:color w:val="0E0E0E"/>
        </w:rPr>
        <w:t>2017</w:t>
      </w:r>
      <w:r>
        <w:rPr>
          <w:color w:val="0E0E0E"/>
        </w:rPr>
        <w:t>年</w:t>
      </w:r>
      <w:r>
        <w:rPr>
          <w:rFonts w:ascii="宋体" w:hAnsi="宋体" w:cs="宋体" w:eastAsia="宋体" w:hint="default"/>
          <w:color w:val="0E0E0E"/>
        </w:rPr>
        <w:t>5</w:t>
      </w:r>
      <w:r>
        <w:rPr>
          <w:color w:val="0E0E0E"/>
        </w:rPr>
        <w:t>月</w:t>
      </w:r>
      <w:r>
        <w:rPr>
          <w:rFonts w:ascii="宋体" w:hAnsi="宋体" w:cs="宋体" w:eastAsia="宋体" w:hint="default"/>
          <w:color w:val="0E0E0E"/>
        </w:rPr>
        <w:t>7</w:t>
      </w:r>
      <w:r>
        <w:rPr>
          <w:color w:val="0E0E0E"/>
        </w:rPr>
        <w:t>日，中共中央办公厅、</w:t>
      </w:r>
      <w:r>
        <w:rPr>
          <w:color w:val="0E0E0E"/>
          <w:spacing w:val="-27"/>
        </w:rPr>
        <w:t> </w:t>
      </w:r>
      <w:r>
        <w:rPr>
          <w:color w:val="0E0E0E"/>
          <w:spacing w:val="-27"/>
        </w:rPr>
      </w:r>
      <w:r>
        <w:rPr>
          <w:color w:val="0E0E0E"/>
        </w:rPr>
        <w:t>国务院办公厅发布了《国家“十三五”时期文化发展改革规划纲要》，在互联网</w:t>
      </w:r>
      <w:r>
        <w:rPr>
          <w:rFonts w:ascii="宋体" w:hAnsi="宋体" w:cs="宋体" w:eastAsia="宋体" w:hint="default"/>
          <w:color w:val="0E0E0E"/>
        </w:rPr>
        <w:t>+</w:t>
      </w:r>
      <w:r>
        <w:rPr>
          <w:color w:val="0E0E0E"/>
        </w:rPr>
        <w:t>行动中提出创新网络文</w:t>
      </w:r>
      <w:r>
        <w:rPr>
          <w:color w:val="0E0E0E"/>
          <w:spacing w:val="-27"/>
        </w:rPr>
        <w:t> </w:t>
      </w:r>
      <w:r>
        <w:rPr>
          <w:color w:val="0E0E0E"/>
          <w:spacing w:val="-27"/>
        </w:rPr>
      </w:r>
      <w:r>
        <w:rPr>
          <w:color w:val="0E0E0E"/>
        </w:rPr>
        <w:t>化产品和服务，引导支持网络文化产业基地建设，建设中国文化（出版广电）大数据产业平台（</w:t>
      </w:r>
      <w:r>
        <w:rPr>
          <w:rFonts w:ascii="宋体" w:hAnsi="宋体" w:cs="宋体" w:eastAsia="宋体" w:hint="default"/>
          <w:color w:val="0E0E0E"/>
        </w:rPr>
        <w:t>CCDI</w:t>
      </w:r>
      <w:r>
        <w:rPr>
          <w:color w:val="0E0E0E"/>
        </w:rPr>
        <w:t>），</w:t>
      </w:r>
      <w:r>
        <w:rPr>
          <w:color w:val="0E0E0E"/>
          <w:spacing w:val="-22"/>
        </w:rPr>
        <w:t> </w:t>
      </w:r>
      <w:r>
        <w:rPr>
          <w:color w:val="0E0E0E"/>
        </w:rPr>
        <w:t>在国家战略高度上明确了版权云项目的定位。</w:t>
      </w:r>
      <w:r>
        <w:rPr/>
      </w:r>
    </w:p>
    <w:p>
      <w:pPr>
        <w:pStyle w:val="BodyText"/>
        <w:spacing w:line="408" w:lineRule="auto"/>
        <w:ind w:right="1122" w:firstLine="423"/>
        <w:jc w:val="left"/>
      </w:pPr>
      <w:r>
        <w:rPr>
          <w:rFonts w:ascii="宋体" w:hAnsi="宋体" w:cs="宋体" w:eastAsia="宋体" w:hint="default"/>
          <w:color w:val="0E0E0E"/>
          <w:spacing w:val="-1"/>
        </w:rPr>
        <w:t>2018</w:t>
      </w:r>
      <w:r>
        <w:rPr>
          <w:color w:val="0E0E0E"/>
          <w:spacing w:val="-1"/>
        </w:rPr>
        <w:t>年以来，中国知识产权保护已经发展至新的阶段，知识产权迎来政策调整与改革高峰，围绕关于</w:t>
      </w:r>
      <w:r>
        <w:rPr>
          <w:color w:val="0E0E0E"/>
        </w:rPr>
        <w:t> 加大知识产权保护力度、提高知识产权专利质量和提高专利申请效率等政策不断，具体如下：</w:t>
      </w:r>
      <w:r>
        <w:rPr/>
      </w:r>
    </w:p>
    <w:p>
      <w:pPr>
        <w:pStyle w:val="BodyText"/>
        <w:spacing w:line="240" w:lineRule="auto"/>
        <w:ind w:left="577" w:right="1122"/>
        <w:jc w:val="left"/>
      </w:pPr>
      <w:r>
        <w:rPr>
          <w:color w:val="0E0E0E"/>
        </w:rPr>
        <w:t>（</w:t>
      </w:r>
      <w:r>
        <w:rPr>
          <w:rFonts w:ascii="宋体" w:hAnsi="宋体" w:cs="宋体" w:eastAsia="宋体" w:hint="default"/>
          <w:color w:val="0E0E0E"/>
        </w:rPr>
        <w:t>1</w:t>
      </w:r>
      <w:r>
        <w:rPr>
          <w:color w:val="0E0E0E"/>
        </w:rPr>
        <w:t>）</w:t>
      </w:r>
      <w:r>
        <w:rPr>
          <w:rFonts w:ascii="宋体" w:hAnsi="宋体" w:cs="宋体" w:eastAsia="宋体" w:hint="default"/>
          <w:color w:val="0E0E0E"/>
        </w:rPr>
        <w:t>2018</w:t>
      </w:r>
      <w:r>
        <w:rPr>
          <w:color w:val="0E0E0E"/>
        </w:rPr>
        <w:t>年</w:t>
      </w:r>
      <w:r>
        <w:rPr>
          <w:rFonts w:ascii="宋体" w:hAnsi="宋体" w:cs="宋体" w:eastAsia="宋体" w:hint="default"/>
          <w:color w:val="0E0E0E"/>
        </w:rPr>
        <w:t>3</w:t>
      </w:r>
      <w:r>
        <w:rPr>
          <w:color w:val="0E0E0E"/>
        </w:rPr>
        <w:t>月，《国务院机构改革方案》颁发，明确重新组建国家知识产权局。</w:t>
      </w:r>
      <w:r>
        <w:rPr/>
      </w:r>
    </w:p>
    <w:p>
      <w:pPr>
        <w:spacing w:line="240" w:lineRule="auto" w:before="10"/>
        <w:rPr>
          <w:rFonts w:ascii="宋体" w:hAnsi="宋体" w:cs="宋体" w:eastAsia="宋体" w:hint="default"/>
          <w:sz w:val="14"/>
          <w:szCs w:val="14"/>
        </w:rPr>
      </w:pPr>
    </w:p>
    <w:p>
      <w:pPr>
        <w:pStyle w:val="BodyText"/>
        <w:spacing w:line="408" w:lineRule="auto" w:before="0"/>
        <w:ind w:right="1129" w:firstLine="423"/>
        <w:jc w:val="both"/>
      </w:pPr>
      <w:r>
        <w:rPr>
          <w:color w:val="0E0E0E"/>
          <w:spacing w:val="-1"/>
        </w:rPr>
        <w:t>（</w:t>
      </w:r>
      <w:r>
        <w:rPr>
          <w:rFonts w:ascii="宋体" w:hAnsi="宋体" w:cs="宋体" w:eastAsia="宋体" w:hint="default"/>
          <w:color w:val="0E0E0E"/>
          <w:spacing w:val="-1"/>
        </w:rPr>
        <w:t>2</w:t>
      </w:r>
      <w:r>
        <w:rPr>
          <w:color w:val="0E0E0E"/>
          <w:spacing w:val="-1"/>
        </w:rPr>
        <w:t>）</w:t>
      </w:r>
      <w:r>
        <w:rPr>
          <w:rFonts w:ascii="宋体" w:hAnsi="宋体" w:cs="宋体" w:eastAsia="宋体" w:hint="default"/>
          <w:color w:val="0E0E0E"/>
          <w:spacing w:val="-1"/>
        </w:rPr>
        <w:t>2018</w:t>
      </w:r>
      <w:r>
        <w:rPr>
          <w:color w:val="0E0E0E"/>
          <w:spacing w:val="-1"/>
        </w:rPr>
        <w:t>年</w:t>
      </w:r>
      <w:r>
        <w:rPr>
          <w:rFonts w:ascii="宋体" w:hAnsi="宋体" w:cs="宋体" w:eastAsia="宋体" w:hint="default"/>
          <w:color w:val="0E0E0E"/>
          <w:spacing w:val="-1"/>
        </w:rPr>
        <w:t>4</w:t>
      </w:r>
      <w:r>
        <w:rPr>
          <w:color w:val="0E0E0E"/>
          <w:spacing w:val="-1"/>
        </w:rPr>
        <w:t>月，习近平总书记博鳌亚洲论坛上提出将加强知识产权保护作为中国扩大开放的四个重</w:t>
      </w:r>
      <w:r>
        <w:rPr>
          <w:color w:val="0E0E0E"/>
        </w:rPr>
        <w:t> </w:t>
      </w:r>
      <w:r>
        <w:rPr>
          <w:color w:val="0E0E0E"/>
          <w:spacing w:val="-1"/>
        </w:rPr>
        <w:t>大举措之一，并通过“提高中国经济竞争力”、“加大执法力度”和“鼓励中外合作”三个要点指明了加</w:t>
      </w:r>
      <w:r>
        <w:rPr>
          <w:color w:val="0E0E0E"/>
          <w:spacing w:val="-81"/>
        </w:rPr>
        <w:t> </w:t>
      </w:r>
      <w:r>
        <w:rPr>
          <w:color w:val="0E0E0E"/>
          <w:spacing w:val="-81"/>
        </w:rPr>
      </w:r>
      <w:r>
        <w:rPr>
          <w:color w:val="0E0E0E"/>
          <w:spacing w:val="-1"/>
        </w:rPr>
        <w:t>强知识产权保护的努力方向。未来，要按照十九大精神，抓好《关于新形势下加快知识产权强国建设的若</w:t>
      </w:r>
      <w:r>
        <w:rPr>
          <w:color w:val="0E0E0E"/>
          <w:spacing w:val="-86"/>
        </w:rPr>
        <w:t> </w:t>
      </w:r>
      <w:r>
        <w:rPr>
          <w:color w:val="0E0E0E"/>
          <w:spacing w:val="-86"/>
        </w:rPr>
      </w:r>
      <w:r>
        <w:rPr>
          <w:color w:val="0E0E0E"/>
          <w:spacing w:val="-11"/>
        </w:rPr>
        <w:t>干意见》、《“十三五”国家知识产权保护和运用规划》、《深入实施国家知识产权战略行动计划（</w:t>
      </w:r>
      <w:r>
        <w:rPr>
          <w:rFonts w:ascii="宋体" w:hAnsi="宋体" w:cs="宋体" w:eastAsia="宋体" w:hint="default"/>
          <w:color w:val="0E0E0E"/>
          <w:spacing w:val="-11"/>
        </w:rPr>
        <w:t>2014-2020</w:t>
      </w:r>
      <w:r>
        <w:rPr>
          <w:rFonts w:ascii="宋体" w:hAnsi="宋体" w:cs="宋体" w:eastAsia="宋体" w:hint="default"/>
          <w:color w:val="0E0E0E"/>
          <w:spacing w:val="-70"/>
        </w:rPr>
        <w:t> </w:t>
      </w:r>
      <w:r>
        <w:rPr>
          <w:color w:val="0E0E0E"/>
        </w:rPr>
        <w:t>年）》等各项工作的落实，从</w:t>
      </w:r>
      <w:r>
        <w:rPr>
          <w:rFonts w:ascii="宋体" w:hAnsi="宋体" w:cs="宋体" w:eastAsia="宋体" w:hint="default"/>
          <w:color w:val="0E0E0E"/>
        </w:rPr>
        <w:t>2020</w:t>
      </w:r>
      <w:r>
        <w:rPr>
          <w:color w:val="0E0E0E"/>
        </w:rPr>
        <w:t>年到</w:t>
      </w:r>
      <w:r>
        <w:rPr>
          <w:rFonts w:ascii="宋体" w:hAnsi="宋体" w:cs="宋体" w:eastAsia="宋体" w:hint="default"/>
          <w:color w:val="0E0E0E"/>
        </w:rPr>
        <w:t>2035</w:t>
      </w:r>
      <w:r>
        <w:rPr>
          <w:color w:val="0E0E0E"/>
        </w:rPr>
        <w:t>年，力争经过</w:t>
      </w:r>
      <w:r>
        <w:rPr>
          <w:rFonts w:ascii="宋体" w:hAnsi="宋体" w:cs="宋体" w:eastAsia="宋体" w:hint="default"/>
          <w:color w:val="0E0E0E"/>
        </w:rPr>
        <w:t>15</w:t>
      </w:r>
      <w:r>
        <w:rPr>
          <w:color w:val="0E0E0E"/>
        </w:rPr>
        <w:t>年的努力，基本建成知识产权强国。</w:t>
      </w:r>
      <w:r>
        <w:rPr/>
      </w:r>
    </w:p>
    <w:p>
      <w:pPr>
        <w:pStyle w:val="BodyText"/>
        <w:spacing w:line="408" w:lineRule="auto"/>
        <w:ind w:right="1122" w:firstLine="423"/>
        <w:jc w:val="left"/>
      </w:pPr>
      <w:r>
        <w:rPr>
          <w:color w:val="0E0E0E"/>
        </w:rPr>
        <w:t>（</w:t>
      </w:r>
      <w:r>
        <w:rPr>
          <w:rFonts w:ascii="宋体" w:hAnsi="宋体" w:cs="宋体" w:eastAsia="宋体" w:hint="default"/>
          <w:color w:val="0E0E0E"/>
        </w:rPr>
        <w:t>3</w:t>
      </w:r>
      <w:r>
        <w:rPr>
          <w:color w:val="0E0E0E"/>
        </w:rPr>
        <w:t>）</w:t>
      </w:r>
      <w:r>
        <w:rPr>
          <w:rFonts w:ascii="宋体" w:hAnsi="宋体" w:cs="宋体" w:eastAsia="宋体" w:hint="default"/>
          <w:color w:val="0E0E0E"/>
        </w:rPr>
        <w:t>2018</w:t>
      </w:r>
      <w:r>
        <w:rPr>
          <w:color w:val="0E0E0E"/>
        </w:rPr>
        <w:t>年</w:t>
      </w:r>
      <w:r>
        <w:rPr>
          <w:rFonts w:ascii="宋体" w:hAnsi="宋体" w:cs="宋体" w:eastAsia="宋体" w:hint="default"/>
          <w:color w:val="0E0E0E"/>
        </w:rPr>
        <w:t>8</w:t>
      </w:r>
      <w:r>
        <w:rPr>
          <w:color w:val="0E0E0E"/>
        </w:rPr>
        <w:t>月，国家知识产权局发布《“互联网+”知识产权保护工作方案》，明确到</w:t>
      </w:r>
      <w:r>
        <w:rPr>
          <w:rFonts w:ascii="宋体" w:hAnsi="宋体" w:cs="宋体" w:eastAsia="宋体" w:hint="default"/>
          <w:color w:val="0E0E0E"/>
        </w:rPr>
        <w:t>2020</w:t>
      </w:r>
      <w:r>
        <w:rPr>
          <w:color w:val="0E0E0E"/>
        </w:rPr>
        <w:t>年“互 </w:t>
      </w:r>
      <w:r>
        <w:rPr>
          <w:color w:val="0E0E0E"/>
          <w:spacing w:val="-1"/>
        </w:rPr>
        <w:t>联网+”知识产权保护模式在全系统得到广泛应用，将“互联网+”作为深化知识产权保护方式改革的重要</w:t>
      </w:r>
      <w:r>
        <w:rPr>
          <w:spacing w:val="-1"/>
        </w:rPr>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0"/>
        <w:jc w:val="left"/>
      </w:pPr>
      <w:r>
        <w:rPr>
          <w:color w:val="0E0E0E"/>
          <w:spacing w:val="-5"/>
        </w:rPr>
        <w:t>手段，科学推进知识产权严保护、大保护、快保护、同保护，增强知识产权领域治理能力，该方案的发布，</w:t>
      </w:r>
      <w:r>
        <w:rPr>
          <w:color w:val="0E0E0E"/>
        </w:rPr>
        <w:t> 明确了未来</w:t>
      </w:r>
      <w:r>
        <w:rPr>
          <w:rFonts w:ascii="宋体" w:hAnsi="宋体" w:cs="宋体" w:eastAsia="宋体" w:hint="default"/>
          <w:color w:val="0E0E0E"/>
        </w:rPr>
        <w:t>2-3</w:t>
      </w:r>
      <w:r>
        <w:rPr>
          <w:color w:val="0E0E0E"/>
        </w:rPr>
        <w:t>年“互联网+”知识产权领域国家的战略目标，从产业政策的角度推动行业发展。</w:t>
      </w:r>
      <w:r>
        <w:rPr/>
      </w:r>
    </w:p>
    <w:p>
      <w:pPr>
        <w:pStyle w:val="BodyText"/>
        <w:spacing w:line="408" w:lineRule="auto"/>
        <w:ind w:right="1132" w:firstLine="423"/>
        <w:jc w:val="both"/>
      </w:pPr>
      <w:r>
        <w:rPr>
          <w:color w:val="0E0E0E"/>
        </w:rPr>
        <w:t>（</w:t>
      </w:r>
      <w:r>
        <w:rPr>
          <w:rFonts w:ascii="宋体" w:hAnsi="宋体" w:cs="宋体" w:eastAsia="宋体" w:hint="default"/>
          <w:color w:val="0E0E0E"/>
        </w:rPr>
        <w:t>4</w:t>
      </w:r>
      <w:r>
        <w:rPr>
          <w:color w:val="0E0E0E"/>
        </w:rPr>
        <w:t>）</w:t>
      </w:r>
      <w:r>
        <w:rPr>
          <w:rFonts w:ascii="宋体" w:hAnsi="宋体" w:cs="宋体" w:eastAsia="宋体" w:hint="default"/>
          <w:color w:val="0E0E0E"/>
        </w:rPr>
        <w:t>2018</w:t>
      </w:r>
      <w:r>
        <w:rPr>
          <w:color w:val="0E0E0E"/>
        </w:rPr>
        <w:t>年</w:t>
      </w:r>
      <w:r>
        <w:rPr>
          <w:rFonts w:ascii="宋体" w:hAnsi="宋体" w:cs="宋体" w:eastAsia="宋体" w:hint="default"/>
          <w:color w:val="0E0E0E"/>
        </w:rPr>
        <w:t>11</w:t>
      </w:r>
      <w:r>
        <w:rPr>
          <w:color w:val="0E0E0E"/>
        </w:rPr>
        <w:t>月，国家知识产权局发布《</w:t>
      </w:r>
      <w:r>
        <w:rPr>
          <w:rFonts w:ascii="宋体" w:hAnsi="宋体" w:cs="宋体" w:eastAsia="宋体" w:hint="default"/>
          <w:color w:val="0E0E0E"/>
        </w:rPr>
        <w:t>2018</w:t>
      </w:r>
      <w:r>
        <w:rPr>
          <w:color w:val="0E0E0E"/>
        </w:rPr>
        <w:t>年深入实施国家知识产权战略、加快建设知识产权强 </w:t>
      </w:r>
      <w:r>
        <w:rPr>
          <w:color w:val="0E0E0E"/>
          <w:spacing w:val="-5"/>
        </w:rPr>
        <w:t>国推进计划》，计划明确了</w:t>
      </w:r>
      <w:r>
        <w:rPr>
          <w:rFonts w:ascii="宋体" w:hAnsi="宋体" w:cs="宋体" w:eastAsia="宋体" w:hint="default"/>
          <w:color w:val="0E0E0E"/>
          <w:spacing w:val="-5"/>
        </w:rPr>
        <w:t>6</w:t>
      </w:r>
      <w:r>
        <w:rPr>
          <w:color w:val="0E0E0E"/>
          <w:spacing w:val="-5"/>
        </w:rPr>
        <w:t>大重点任务、</w:t>
      </w:r>
      <w:r>
        <w:rPr>
          <w:rFonts w:ascii="宋体" w:hAnsi="宋体" w:cs="宋体" w:eastAsia="宋体" w:hint="default"/>
          <w:color w:val="0E0E0E"/>
          <w:spacing w:val="-5"/>
        </w:rPr>
        <w:t>15</w:t>
      </w:r>
      <w:r>
        <w:rPr>
          <w:color w:val="0E0E0E"/>
          <w:spacing w:val="-5"/>
        </w:rPr>
        <w:t>个重点部分，共</w:t>
      </w:r>
      <w:r>
        <w:rPr>
          <w:rFonts w:ascii="宋体" w:hAnsi="宋体" w:cs="宋体" w:eastAsia="宋体" w:hint="default"/>
          <w:color w:val="0E0E0E"/>
          <w:spacing w:val="-5"/>
        </w:rPr>
        <w:t>109</w:t>
      </w:r>
      <w:r>
        <w:rPr>
          <w:color w:val="0E0E0E"/>
          <w:spacing w:val="-5"/>
        </w:rPr>
        <w:t>项具体措施，旨在加快建设知识产权强国，</w:t>
      </w:r>
      <w:r>
        <w:rPr>
          <w:color w:val="0E0E0E"/>
          <w:spacing w:val="-95"/>
        </w:rPr>
        <w:t> </w:t>
      </w:r>
      <w:r>
        <w:rPr>
          <w:color w:val="0E0E0E"/>
          <w:spacing w:val="-95"/>
        </w:rPr>
      </w:r>
      <w:r>
        <w:rPr>
          <w:color w:val="0E0E0E"/>
        </w:rPr>
        <w:t>加大高价值知识产权培育力度，提高知识产权审查质量和效率，强化知识产权保护。</w:t>
      </w:r>
      <w:r>
        <w:rPr/>
      </w:r>
    </w:p>
    <w:p>
      <w:pPr>
        <w:pStyle w:val="BodyText"/>
        <w:spacing w:line="408" w:lineRule="auto"/>
        <w:ind w:right="1023" w:firstLine="423"/>
        <w:jc w:val="left"/>
      </w:pPr>
      <w:r>
        <w:rPr>
          <w:color w:val="0E0E0E"/>
        </w:rPr>
        <w:t>（</w:t>
      </w:r>
      <w:r>
        <w:rPr>
          <w:rFonts w:ascii="宋体" w:hAnsi="宋体" w:cs="宋体" w:eastAsia="宋体" w:hint="default"/>
          <w:color w:val="0E0E0E"/>
        </w:rPr>
        <w:t>5</w:t>
      </w:r>
      <w:r>
        <w:rPr>
          <w:color w:val="0E0E0E"/>
        </w:rPr>
        <w:t>）</w:t>
      </w:r>
      <w:r>
        <w:rPr>
          <w:rFonts w:ascii="宋体" w:hAnsi="宋体" w:cs="宋体" w:eastAsia="宋体" w:hint="default"/>
          <w:color w:val="0E0E0E"/>
        </w:rPr>
        <w:t>2018</w:t>
      </w:r>
      <w:r>
        <w:rPr>
          <w:color w:val="0E0E0E"/>
        </w:rPr>
        <w:t>年</w:t>
      </w:r>
      <w:r>
        <w:rPr>
          <w:rFonts w:ascii="宋体" w:hAnsi="宋体" w:cs="宋体" w:eastAsia="宋体" w:hint="default"/>
          <w:color w:val="0E0E0E"/>
        </w:rPr>
        <w:t>12</w:t>
      </w:r>
      <w:r>
        <w:rPr>
          <w:color w:val="0E0E0E"/>
        </w:rPr>
        <w:t>月，国家知识产权局、发改委等</w:t>
      </w:r>
      <w:r>
        <w:rPr>
          <w:rFonts w:ascii="宋体" w:hAnsi="宋体" w:cs="宋体" w:eastAsia="宋体" w:hint="default"/>
          <w:color w:val="0E0E0E"/>
        </w:rPr>
        <w:t>38</w:t>
      </w:r>
      <w:r>
        <w:rPr>
          <w:color w:val="0E0E0E"/>
        </w:rPr>
        <w:t>个部门联合印发了《关于对知识产权（专利）领域 </w:t>
      </w:r>
      <w:r>
        <w:rPr>
          <w:color w:val="0E0E0E"/>
          <w:spacing w:val="-3"/>
        </w:rPr>
        <w:t>严重失信主体开展联合惩戒的合作备忘录》，此次备忘录的发布是知识产权信用体系建设详细规定的落地，</w:t>
      </w:r>
      <w:r>
        <w:rPr>
          <w:color w:val="0E0E0E"/>
          <w:spacing w:val="-92"/>
        </w:rPr>
        <w:t> </w:t>
      </w:r>
      <w:r>
        <w:rPr>
          <w:color w:val="0E0E0E"/>
          <w:spacing w:val="-92"/>
        </w:rPr>
      </w:r>
      <w:r>
        <w:rPr>
          <w:color w:val="0E0E0E"/>
        </w:rPr>
        <w:t>将严重失信行为主体实施者分为法人、非法人组织及自然人三类，明确指出重复专利侵权、不依法执行、</w:t>
      </w:r>
      <w:r>
        <w:rPr>
          <w:color w:val="0E0E0E"/>
          <w:spacing w:val="-35"/>
        </w:rPr>
        <w:t> </w:t>
      </w:r>
      <w:r>
        <w:rPr>
          <w:color w:val="0E0E0E"/>
          <w:spacing w:val="-35"/>
        </w:rPr>
      </w:r>
      <w:r>
        <w:rPr>
          <w:color w:val="0E0E0E"/>
        </w:rPr>
        <w:t>专利代理严重违法、专利代理人资格证书挂靠、非正常申请专利及提供虚假文件</w:t>
      </w:r>
      <w:r>
        <w:rPr>
          <w:rFonts w:ascii="宋体" w:hAnsi="宋体" w:cs="宋体" w:eastAsia="宋体" w:hint="default"/>
          <w:color w:val="0E0E0E"/>
        </w:rPr>
        <w:t>6</w:t>
      </w:r>
      <w:r>
        <w:rPr>
          <w:color w:val="0E0E0E"/>
        </w:rPr>
        <w:t>项严重失信行为，进一</w:t>
      </w:r>
      <w:r>
        <w:rPr>
          <w:color w:val="0E0E0E"/>
          <w:spacing w:val="-26"/>
        </w:rPr>
        <w:t> </w:t>
      </w:r>
      <w:r>
        <w:rPr>
          <w:color w:val="0E0E0E"/>
          <w:spacing w:val="-26"/>
        </w:rPr>
      </w:r>
      <w:r>
        <w:rPr>
          <w:color w:val="0E0E0E"/>
        </w:rPr>
        <w:t>步明确规范了知识产权侵权、代理、申请等领域的相关操作。</w:t>
      </w:r>
      <w:r>
        <w:rPr/>
      </w:r>
    </w:p>
    <w:p>
      <w:pPr>
        <w:pStyle w:val="BodyText"/>
        <w:spacing w:line="408" w:lineRule="auto"/>
        <w:ind w:right="1122" w:firstLine="423"/>
        <w:jc w:val="left"/>
      </w:pPr>
      <w:r>
        <w:rPr>
          <w:color w:val="0E0E0E"/>
          <w:spacing w:val="-1"/>
        </w:rPr>
        <w:t>综上所述，</w:t>
      </w:r>
      <w:r>
        <w:rPr>
          <w:rFonts w:ascii="宋体" w:hAnsi="宋体" w:cs="宋体" w:eastAsia="宋体" w:hint="default"/>
          <w:color w:val="0E0E0E"/>
          <w:spacing w:val="-1"/>
        </w:rPr>
        <w:t>2018</w:t>
      </w:r>
      <w:r>
        <w:rPr>
          <w:color w:val="0E0E0E"/>
          <w:spacing w:val="-1"/>
        </w:rPr>
        <w:t>年国家政策对知识产权的保护力度更强、对知识产权的质量要求更高、对知识产权的</w:t>
      </w:r>
      <w:r>
        <w:rPr>
          <w:color w:val="0E0E0E"/>
        </w:rPr>
        <w:t> 申请效率更快，政策端保护力度的不断加强，相关法律法规的持续完善，有利于促进行业良性发展。</w:t>
      </w:r>
      <w:r>
        <w:rPr/>
      </w:r>
    </w:p>
    <w:p>
      <w:pPr>
        <w:pStyle w:val="BodyText"/>
        <w:spacing w:line="408" w:lineRule="auto"/>
        <w:ind w:right="1023" w:firstLine="423"/>
        <w:jc w:val="left"/>
      </w:pPr>
      <w:r>
        <w:rPr>
          <w:color w:val="0E0E0E"/>
          <w:spacing w:val="-3"/>
        </w:rPr>
        <w:t>在市场空间方面，根据国家版权局网络版权产业研究基地发布的《中国网络版权产业发展报告</w:t>
      </w:r>
      <w:r>
        <w:rPr>
          <w:rFonts w:ascii="宋体" w:hAnsi="宋体" w:cs="宋体" w:eastAsia="宋体" w:hint="default"/>
          <w:color w:val="0E0E0E"/>
          <w:spacing w:val="-3"/>
        </w:rPr>
        <w:t>(2018)</w:t>
      </w:r>
      <w:r>
        <w:rPr>
          <w:color w:val="0E0E0E"/>
          <w:spacing w:val="-3"/>
        </w:rPr>
        <w:t>》</w:t>
      </w:r>
      <w:r>
        <w:rPr>
          <w:color w:val="0E0E0E"/>
        </w:rPr>
        <w:t> 显示，</w:t>
      </w:r>
      <w:r>
        <w:rPr>
          <w:rFonts w:ascii="宋体" w:hAnsi="宋体" w:cs="宋体" w:eastAsia="宋体" w:hint="default"/>
          <w:color w:val="0E0E0E"/>
        </w:rPr>
        <w:t>2017</w:t>
      </w:r>
      <w:r>
        <w:rPr>
          <w:color w:val="0E0E0E"/>
        </w:rPr>
        <w:t>年中国网络版权产业的市场规模为</w:t>
      </w:r>
      <w:r>
        <w:rPr>
          <w:rFonts w:ascii="宋体" w:hAnsi="宋体" w:cs="宋体" w:eastAsia="宋体" w:hint="default"/>
          <w:color w:val="0E0E0E"/>
        </w:rPr>
        <w:t>6,365</w:t>
      </w:r>
      <w:r>
        <w:rPr>
          <w:color w:val="0E0E0E"/>
        </w:rPr>
        <w:t>亿元</w:t>
      </w:r>
      <w:r>
        <w:rPr>
          <w:rFonts w:ascii="宋体" w:hAnsi="宋体" w:cs="宋体" w:eastAsia="宋体" w:hint="default"/>
          <w:color w:val="0E0E0E"/>
        </w:rPr>
        <w:t>,</w:t>
      </w:r>
      <w:r>
        <w:rPr>
          <w:color w:val="0E0E0E"/>
        </w:rPr>
        <w:t>较</w:t>
      </w:r>
      <w:r>
        <w:rPr>
          <w:rFonts w:ascii="宋体" w:hAnsi="宋体" w:cs="宋体" w:eastAsia="宋体" w:hint="default"/>
          <w:color w:val="0E0E0E"/>
        </w:rPr>
        <w:t>2016</w:t>
      </w:r>
      <w:r>
        <w:rPr>
          <w:color w:val="0E0E0E"/>
        </w:rPr>
        <w:t>年增长</w:t>
      </w:r>
      <w:r>
        <w:rPr>
          <w:rFonts w:ascii="宋体" w:hAnsi="宋体" w:cs="宋体" w:eastAsia="宋体" w:hint="default"/>
          <w:color w:val="0E0E0E"/>
        </w:rPr>
        <w:t>27.20%</w:t>
      </w:r>
      <w:r>
        <w:rPr>
          <w:color w:val="0E0E0E"/>
        </w:rPr>
        <w:t>；其中，中国网络版权产业 用户付费规模为</w:t>
      </w:r>
      <w:r>
        <w:rPr>
          <w:rFonts w:ascii="宋体" w:hAnsi="宋体" w:cs="宋体" w:eastAsia="宋体" w:hint="default"/>
          <w:color w:val="0E0E0E"/>
        </w:rPr>
        <w:t>3,184</w:t>
      </w:r>
      <w:r>
        <w:rPr>
          <w:color w:val="0E0E0E"/>
        </w:rPr>
        <w:t>亿元，占比规模突破</w:t>
      </w:r>
      <w:r>
        <w:rPr>
          <w:rFonts w:ascii="宋体" w:hAnsi="宋体" w:cs="宋体" w:eastAsia="宋体" w:hint="default"/>
          <w:color w:val="0E0E0E"/>
        </w:rPr>
        <w:t>50%</w:t>
      </w:r>
      <w:r>
        <w:rPr>
          <w:color w:val="0E0E0E"/>
        </w:rPr>
        <w:t>。随着版权相关法律法规的完善，版权市场环境日益改善，</w:t>
      </w:r>
      <w:r>
        <w:rPr>
          <w:color w:val="0E0E0E"/>
          <w:spacing w:val="-34"/>
        </w:rPr>
        <w:t> </w:t>
      </w:r>
      <w:r>
        <w:rPr>
          <w:color w:val="0E0E0E"/>
          <w:spacing w:val="-34"/>
        </w:rPr>
      </w:r>
      <w:r>
        <w:rPr>
          <w:color w:val="0E0E0E"/>
        </w:rPr>
        <w:t>版权意识正在逐渐强化，中国网络版权产业持续保持快速增长趋势，网络版权产业市场规模近十年年均复</w:t>
      </w:r>
      <w:r>
        <w:rPr>
          <w:color w:val="0E0E0E"/>
        </w:rPr>
        <w:t> 合增长率</w:t>
      </w:r>
      <w:r>
        <w:rPr>
          <w:rFonts w:ascii="宋体" w:hAnsi="宋体" w:cs="宋体" w:eastAsia="宋体" w:hint="default"/>
          <w:color w:val="0E0E0E"/>
        </w:rPr>
        <w:t>37.0%</w:t>
      </w:r>
      <w:r>
        <w:rPr>
          <w:color w:val="0E0E0E"/>
        </w:rPr>
        <w:t>，近五年年均复合增长率</w:t>
      </w:r>
      <w:r>
        <w:rPr>
          <w:rFonts w:ascii="宋体" w:hAnsi="宋体" w:cs="宋体" w:eastAsia="宋体" w:hint="default"/>
          <w:color w:val="0E0E0E"/>
        </w:rPr>
        <w:t>32.6%</w:t>
      </w:r>
      <w:r>
        <w:rPr>
          <w:color w:val="0E0E0E"/>
        </w:rPr>
        <w:t>，保持较高增长速度，按照近五年年均复合增速推算，预计 </w:t>
      </w:r>
      <w:r>
        <w:rPr>
          <w:rFonts w:ascii="宋体" w:hAnsi="宋体" w:cs="宋体" w:eastAsia="宋体" w:hint="default"/>
          <w:color w:val="0E0E0E"/>
        </w:rPr>
        <w:t>2018</w:t>
      </w:r>
      <w:r>
        <w:rPr>
          <w:color w:val="0E0E0E"/>
        </w:rPr>
        <w:t>年市场规模将达约</w:t>
      </w:r>
      <w:r>
        <w:rPr>
          <w:rFonts w:ascii="宋体" w:hAnsi="宋体" w:cs="宋体" w:eastAsia="宋体" w:hint="default"/>
          <w:color w:val="0E0E0E"/>
        </w:rPr>
        <w:t>8,400</w:t>
      </w:r>
      <w:r>
        <w:rPr>
          <w:color w:val="0E0E0E"/>
        </w:rPr>
        <w:t>亿元。</w:t>
      </w:r>
      <w:r>
        <w:rPr/>
      </w:r>
    </w:p>
    <w:p>
      <w:pPr>
        <w:spacing w:line="240" w:lineRule="auto" w:before="4"/>
        <w:rPr>
          <w:rFonts w:ascii="宋体" w:hAnsi="宋体" w:cs="宋体" w:eastAsia="宋体" w:hint="default"/>
          <w:sz w:val="3"/>
          <w:szCs w:val="3"/>
        </w:rPr>
      </w:pPr>
    </w:p>
    <w:p>
      <w:pPr>
        <w:spacing w:line="4944" w:lineRule="exact"/>
        <w:ind w:left="154"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5270453" cy="313944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5270453" cy="3139440"/>
                    </a:xfrm>
                    <a:prstGeom prst="rect">
                      <a:avLst/>
                    </a:prstGeom>
                  </pic:spPr>
                </pic:pic>
              </a:graphicData>
            </a:graphic>
          </wp:inline>
        </w:drawing>
      </w:r>
      <w:r>
        <w:rPr>
          <w:rFonts w:ascii="宋体" w:hAnsi="宋体" w:cs="宋体" w:eastAsia="宋体" w:hint="default"/>
          <w:position w:val="-98"/>
          <w:sz w:val="20"/>
          <w:szCs w:val="20"/>
        </w:rPr>
      </w:r>
    </w:p>
    <w:p>
      <w:pPr>
        <w:spacing w:before="80"/>
        <w:ind w:left="514" w:right="1122" w:firstLine="0"/>
        <w:jc w:val="left"/>
        <w:rPr>
          <w:rFonts w:ascii="宋体" w:hAnsi="宋体" w:cs="宋体" w:eastAsia="宋体" w:hint="default"/>
          <w:sz w:val="18"/>
          <w:szCs w:val="18"/>
        </w:rPr>
      </w:pPr>
      <w:r>
        <w:rPr>
          <w:rFonts w:ascii="宋体" w:hAnsi="宋体" w:cs="宋体" w:eastAsia="宋体" w:hint="default"/>
          <w:color w:val="0E0E0E"/>
          <w:sz w:val="18"/>
          <w:szCs w:val="18"/>
        </w:rPr>
        <w:t>数据来源：国家版权局，</w:t>
      </w:r>
      <w:r>
        <w:rPr>
          <w:rFonts w:ascii="宋体" w:hAnsi="宋体" w:cs="宋体" w:eastAsia="宋体" w:hint="default"/>
          <w:color w:val="0E0E0E"/>
          <w:sz w:val="18"/>
          <w:szCs w:val="18"/>
        </w:rPr>
        <w:t>2018</w:t>
      </w:r>
      <w:r>
        <w:rPr>
          <w:rFonts w:ascii="宋体" w:hAnsi="宋体" w:cs="宋体" w:eastAsia="宋体" w:hint="default"/>
          <w:color w:val="0E0E0E"/>
          <w:sz w:val="18"/>
          <w:szCs w:val="18"/>
        </w:rPr>
        <w:t>年数据暂未公布，为按近五年年均复合增速推算结果。</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0" w:firstLine="420"/>
        <w:jc w:val="both"/>
      </w:pPr>
      <w:r>
        <w:rPr/>
        <w:t>光一科技是</w:t>
      </w:r>
      <w:r>
        <w:rPr>
          <w:rFonts w:ascii="宋体" w:hAnsi="宋体" w:cs="宋体" w:eastAsia="宋体" w:hint="default"/>
        </w:rPr>
        <w:t>CCDI</w:t>
      </w:r>
      <w:r>
        <w:rPr/>
        <w:t>版权云项目的主要发起方和基石推动者。</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25</w:t>
      </w:r>
      <w:r>
        <w:rPr/>
        <w:t>日，公司与贵州省人民政府驻 </w:t>
      </w:r>
      <w:r>
        <w:rPr>
          <w:spacing w:val="-1"/>
        </w:rPr>
        <w:t>北京办事处、贵州省新闻出版局、贵州广电传媒集团、贵州文化产业投资管理有限公司、中国音像与数字</w:t>
      </w:r>
      <w:r>
        <w:rPr>
          <w:spacing w:val="-86"/>
        </w:rPr>
        <w:t> </w:t>
      </w:r>
      <w:r>
        <w:rPr>
          <w:spacing w:val="-86"/>
        </w:rPr>
      </w:r>
      <w:r>
        <w:rPr>
          <w:spacing w:val="-1"/>
        </w:rPr>
        <w:t>出版协会数字音像工作委员会、天擎华媒（北京）科技有限公司等部门和单位共同签署了《建设国家级数</w:t>
      </w:r>
      <w:r>
        <w:rPr>
          <w:spacing w:val="-85"/>
        </w:rPr>
        <w:t> </w:t>
      </w:r>
      <w:r>
        <w:rPr>
          <w:spacing w:val="-85"/>
        </w:rPr>
      </w:r>
      <w:r>
        <w:rPr>
          <w:spacing w:val="-1"/>
        </w:rPr>
        <w:t>字音像出版等系列项目战略合作协议》，共同实施建设以版权管理大数据为核心的“国家级数字音像传播</w:t>
      </w:r>
      <w:r>
        <w:rPr>
          <w:spacing w:val="-80"/>
        </w:rPr>
        <w:t> </w:t>
      </w:r>
      <w:r>
        <w:rPr>
          <w:spacing w:val="-80"/>
        </w:rPr>
      </w:r>
      <w:r>
        <w:rPr>
          <w:spacing w:val="-1"/>
        </w:rPr>
        <w:t>服务监管平台”及“国家级数字音像出版及版权备案库”。</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16</w:t>
      </w:r>
      <w:r>
        <w:rPr>
          <w:spacing w:val="-1"/>
        </w:rPr>
        <w:t>日，国家新闻出版广电总局和贵</w:t>
      </w:r>
      <w:r>
        <w:rPr>
          <w:spacing w:val="-81"/>
        </w:rPr>
        <w:t> </w:t>
      </w:r>
      <w:r>
        <w:rPr>
          <w:spacing w:val="-81"/>
        </w:rPr>
      </w:r>
      <w:r>
        <w:rPr>
          <w:spacing w:val="-1"/>
        </w:rPr>
        <w:t>州省人民政府签署《关于合作推动中国文化（出版广电）大数据产业项目开发的协议》，将“国家数字音</w:t>
      </w:r>
      <w:r>
        <w:rPr>
          <w:spacing w:val="-82"/>
        </w:rPr>
        <w:t> </w:t>
      </w:r>
      <w:r>
        <w:rPr>
          <w:spacing w:val="-82"/>
        </w:rPr>
      </w:r>
      <w:r>
        <w:rPr/>
        <w:t>像传播服务平台”项目（即版权云项目）纳入</w:t>
      </w:r>
      <w:r>
        <w:rPr>
          <w:rFonts w:ascii="宋体" w:hAnsi="宋体" w:cs="宋体" w:eastAsia="宋体" w:hint="default"/>
        </w:rPr>
        <w:t>CCDI</w:t>
      </w:r>
      <w:r>
        <w:rPr/>
        <w:t>总体项目统一规划。</w:t>
      </w:r>
    </w:p>
    <w:p>
      <w:pPr>
        <w:pStyle w:val="BodyText"/>
        <w:spacing w:line="240" w:lineRule="auto"/>
        <w:ind w:left="574" w:right="1122"/>
        <w:jc w:val="left"/>
      </w:pPr>
      <w:r>
        <w:rPr>
          <w:rFonts w:ascii="宋体" w:hAnsi="宋体" w:cs="宋体" w:eastAsia="宋体" w:hint="default"/>
        </w:rPr>
        <w:t>2</w:t>
      </w:r>
      <w:r>
        <w:rPr/>
        <w:t>、电力业务</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国家电网在《智能电网发展规划》中提出</w:t>
      </w:r>
      <w:r>
        <w:rPr>
          <w:rFonts w:ascii="宋体" w:hAnsi="宋体" w:cs="宋体" w:eastAsia="宋体" w:hint="default"/>
        </w:rPr>
        <w:t>2016-2020</w:t>
      </w:r>
      <w:r>
        <w:rPr/>
        <w:t>年进入引领提升阶段，进一步优化智能用电信息</w:t>
      </w:r>
      <w:r>
        <w:rPr>
          <w:spacing w:val="2"/>
        </w:rPr>
        <w:t> </w:t>
      </w:r>
      <w:r>
        <w:rPr/>
        <w:t>采集系统，根据运行实践深化系统研究、完善系统功能，提升系统利用效果。从国家电网整体趋势看，面</w:t>
      </w:r>
      <w:r>
        <w:rPr/>
        <w:t> </w:t>
      </w:r>
      <w:r>
        <w:rPr>
          <w:spacing w:val="-3"/>
        </w:rPr>
        <w:t>向对象协议仍处于推行阶段，计划与国家标准同步在</w:t>
      </w:r>
      <w:r>
        <w:rPr>
          <w:rFonts w:ascii="宋体" w:hAnsi="宋体" w:cs="宋体" w:eastAsia="宋体" w:hint="default"/>
          <w:spacing w:val="-3"/>
        </w:rPr>
        <w:t>2018</w:t>
      </w:r>
      <w:r>
        <w:rPr>
          <w:spacing w:val="-3"/>
        </w:rPr>
        <w:t>年完成</w:t>
      </w:r>
      <w:r>
        <w:rPr>
          <w:rFonts w:ascii="宋体" w:hAnsi="宋体" w:cs="宋体" w:eastAsia="宋体" w:hint="default"/>
          <w:spacing w:val="-3"/>
        </w:rPr>
        <w:t>IR46</w:t>
      </w:r>
      <w:r>
        <w:rPr>
          <w:spacing w:val="-3"/>
        </w:rPr>
        <w:t>标准的转化和发布工作，预计</w:t>
      </w:r>
      <w:r>
        <w:rPr>
          <w:rFonts w:ascii="宋体" w:hAnsi="宋体" w:cs="宋体" w:eastAsia="宋体" w:hint="default"/>
          <w:spacing w:val="-3"/>
        </w:rPr>
        <w:t>2018</w:t>
      </w:r>
      <w:r>
        <w:rPr>
          <w:spacing w:val="-3"/>
        </w:rPr>
        <w:t>年、</w:t>
      </w:r>
      <w:r>
        <w:rPr>
          <w:spacing w:val="-79"/>
        </w:rPr>
        <w:t> </w:t>
      </w:r>
      <w:r>
        <w:rPr>
          <w:rFonts w:ascii="宋体" w:hAnsi="宋体" w:cs="宋体" w:eastAsia="宋体" w:hint="default"/>
        </w:rPr>
        <w:t>2019</w:t>
      </w:r>
      <w:r>
        <w:rPr/>
        <w:t>年仍以新增用户、故障表更换和早期电表更换为主，需求量预计整体少且平稳；</w:t>
      </w:r>
      <w:r>
        <w:rPr>
          <w:rFonts w:ascii="宋体" w:hAnsi="宋体" w:cs="宋体" w:eastAsia="宋体" w:hint="default"/>
        </w:rPr>
        <w:t>2020</w:t>
      </w:r>
      <w:r>
        <w:rPr/>
        <w:t>年开始将会有计 划有节奏的全面推广同时满足</w:t>
      </w:r>
      <w:r>
        <w:rPr>
          <w:rFonts w:ascii="宋体" w:hAnsi="宋体" w:cs="宋体" w:eastAsia="宋体" w:hint="default"/>
        </w:rPr>
        <w:t>IR46</w:t>
      </w:r>
      <w:r>
        <w:rPr/>
        <w:t>和面向对象协议两套标准的产品，需求量将会发生较大增长。</w:t>
      </w:r>
    </w:p>
    <w:p>
      <w:pPr>
        <w:spacing w:line="240" w:lineRule="auto" w:before="4"/>
        <w:rPr>
          <w:rFonts w:ascii="宋体" w:hAnsi="宋体" w:cs="宋体" w:eastAsia="宋体" w:hint="default"/>
          <w:sz w:val="8"/>
          <w:szCs w:val="8"/>
        </w:rPr>
      </w:pPr>
    </w:p>
    <w:p>
      <w:pPr>
        <w:spacing w:line="4723" w:lineRule="exact"/>
        <w:ind w:left="514"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5274839" cy="2999232"/>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5274839" cy="2999232"/>
                    </a:xfrm>
                    <a:prstGeom prst="rect">
                      <a:avLst/>
                    </a:prstGeom>
                  </pic:spPr>
                </pic:pic>
              </a:graphicData>
            </a:graphic>
          </wp:inline>
        </w:drawing>
      </w:r>
      <w:r>
        <w:rPr>
          <w:rFonts w:ascii="宋体" w:hAnsi="宋体" w:cs="宋体" w:eastAsia="宋体" w:hint="default"/>
          <w:position w:val="-93"/>
          <w:sz w:val="20"/>
          <w:szCs w:val="20"/>
        </w:rPr>
      </w:r>
    </w:p>
    <w:p>
      <w:pPr>
        <w:spacing w:after="0" w:line="4723" w:lineRule="exact"/>
        <w:rPr>
          <w:rFonts w:ascii="宋体" w:hAnsi="宋体" w:cs="宋体" w:eastAsia="宋体" w:hint="default"/>
          <w:sz w:val="20"/>
          <w:szCs w:val="20"/>
        </w:rPr>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4675" w:lineRule="exact"/>
        <w:ind w:left="514"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5271437" cy="2968752"/>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5271437" cy="2968752"/>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10"/>
        <w:rPr>
          <w:rFonts w:ascii="宋体" w:hAnsi="宋体" w:cs="宋体" w:eastAsia="宋体" w:hint="default"/>
          <w:sz w:val="9"/>
          <w:szCs w:val="9"/>
        </w:rPr>
      </w:pPr>
    </w:p>
    <w:p>
      <w:pPr>
        <w:spacing w:before="44"/>
        <w:ind w:left="604" w:right="1122" w:firstLine="0"/>
        <w:jc w:val="left"/>
        <w:rPr>
          <w:rFonts w:ascii="宋体" w:hAnsi="宋体" w:cs="宋体" w:eastAsia="宋体" w:hint="default"/>
          <w:sz w:val="18"/>
          <w:szCs w:val="18"/>
        </w:rPr>
      </w:pPr>
      <w:r>
        <w:rPr>
          <w:rFonts w:ascii="宋体" w:hAnsi="宋体" w:cs="宋体" w:eastAsia="宋体" w:hint="default"/>
          <w:sz w:val="18"/>
          <w:szCs w:val="18"/>
        </w:rPr>
        <w:t>数据来源：根据国家电网公司历年招标数据统计</w:t>
      </w:r>
    </w:p>
    <w:p>
      <w:pPr>
        <w:pStyle w:val="BodyText"/>
        <w:spacing w:line="408" w:lineRule="auto" w:before="129"/>
        <w:ind w:right="1131" w:firstLine="420"/>
        <w:jc w:val="both"/>
      </w:pPr>
      <w:r>
        <w:rPr>
          <w:spacing w:val="-1"/>
        </w:rPr>
        <w:t>国家发展改革委、国家能源局在《电力发展“十三五”规划》中明确提出“升级改造配电网，推进智</w:t>
      </w:r>
      <w:r>
        <w:rPr/>
        <w:t> </w:t>
      </w:r>
      <w:r>
        <w:rPr>
          <w:spacing w:val="-1"/>
        </w:rPr>
        <w:t>能电网建设”，要求全面提升电网的智能化水平，提高电网接纳和优化配置多种能源的能力，满足用户供</w:t>
      </w:r>
      <w:r>
        <w:rPr>
          <w:spacing w:val="-83"/>
        </w:rPr>
        <w:t> </w:t>
      </w:r>
      <w:r>
        <w:rPr>
          <w:spacing w:val="-83"/>
        </w:rPr>
      </w:r>
      <w:r>
        <w:rPr>
          <w:spacing w:val="-1"/>
        </w:rPr>
        <w:t>需互动，充分发挥智能电网在现代能源体系中的作用。随着配电网建设改造行动计划对用户侧的在线监测</w:t>
      </w:r>
      <w:r>
        <w:rPr>
          <w:spacing w:val="-81"/>
        </w:rPr>
        <w:t> </w:t>
      </w:r>
      <w:r>
        <w:rPr>
          <w:spacing w:val="-81"/>
        </w:rPr>
      </w:r>
      <w:r>
        <w:rPr/>
        <w:t>和信息化互动提出更高的要求，对用电信息采集系统和与之相关的配电网产品将产生新的市场空间。</w:t>
      </w:r>
    </w:p>
    <w:p>
      <w:pPr>
        <w:pStyle w:val="BodyText"/>
        <w:spacing w:line="408" w:lineRule="auto"/>
        <w:ind w:right="0" w:firstLine="420"/>
        <w:jc w:val="left"/>
      </w:pPr>
      <w:r>
        <w:rPr>
          <w:rFonts w:ascii="宋体" w:hAnsi="宋体" w:cs="宋体" w:eastAsia="宋体" w:hint="default"/>
        </w:rPr>
        <w:t>2019</w:t>
      </w:r>
      <w:r>
        <w:rPr/>
        <w:t>年，国家电网提出建设枢纽型、平台型、共享型企业，在智能电网基础上建设泛在电力物联网， </w:t>
      </w:r>
      <w:r>
        <w:rPr>
          <w:spacing w:val="-5"/>
        </w:rPr>
        <w:t>即“三型两网”发展战略。所谓泛在电力物联网，就是围绕电力系统各环节企业、设备、人和物连接起来，</w:t>
      </w:r>
      <w:r>
        <w:rPr>
          <w:spacing w:val="-102"/>
        </w:rPr>
        <w:t> </w:t>
      </w:r>
      <w:r>
        <w:rPr>
          <w:spacing w:val="-102"/>
        </w:rPr>
      </w:r>
      <w:r>
        <w:rPr/>
        <w:t>产生共享数据，为用户、电网、发电、供应商和政府社会服务；以电网为枢纽，发挥平台和共享作用，为</w:t>
      </w:r>
      <w:r>
        <w:rPr/>
        <w:t> 全行业和更多市场主体发展创造更大机遇，提供价值服务，包含感知层、网络层、平台层、应用层四层结 构，充分应用大数据、云计算、物联网、移动互联、人工智能、区块链、边缘计算等现代信息技术，实现 电力系统各环节万物互联、人机交互，实现状态全面感知、信息高效处理、应用便捷灵活特征的智慧服务 系统。在“三型两网”大趋势下，新产品、新科技项目将迎来更广阔的市场空间。</w:t>
      </w:r>
    </w:p>
    <w:p>
      <w:pPr>
        <w:pStyle w:val="BodyText"/>
        <w:spacing w:line="408" w:lineRule="auto"/>
        <w:ind w:right="1128" w:firstLine="420"/>
        <w:jc w:val="both"/>
      </w:pPr>
      <w:r>
        <w:rPr>
          <w:spacing w:val="-1"/>
        </w:rPr>
        <w:t>光一科技深耕电力业务十余年，专注于信息采集技术和全面解决方案的研究与运用，重点打造以信息</w:t>
      </w:r>
      <w:r>
        <w:rPr/>
        <w:t> 采集及处理为核心、综合能源管理为价值的智能电网互联网</w:t>
      </w:r>
      <w:r>
        <w:rPr>
          <w:rFonts w:ascii="宋体" w:hAnsi="宋体" w:cs="宋体" w:eastAsia="宋体" w:hint="default"/>
        </w:rPr>
        <w:t>+</w:t>
      </w:r>
      <w:r>
        <w:rPr/>
        <w:t>业务板块相对完整的产业链。公司将以“泛</w:t>
      </w:r>
      <w:r>
        <w:rPr>
          <w:spacing w:val="-25"/>
        </w:rPr>
        <w:t> </w:t>
      </w:r>
      <w:r>
        <w:rPr>
          <w:spacing w:val="-25"/>
        </w:rPr>
      </w:r>
      <w:r>
        <w:rPr>
          <w:spacing w:val="-1"/>
        </w:rPr>
        <w:t>在电力物联网”发展为契机，贯通</w:t>
      </w:r>
      <w:r>
        <w:rPr>
          <w:rFonts w:ascii="宋体" w:hAnsi="宋体" w:cs="宋体" w:eastAsia="宋体" w:hint="default"/>
          <w:spacing w:val="-1"/>
        </w:rPr>
        <w:t>10kV</w:t>
      </w:r>
      <w:r>
        <w:rPr>
          <w:spacing w:val="-1"/>
        </w:rPr>
        <w:t>至</w:t>
      </w:r>
      <w:r>
        <w:rPr>
          <w:rFonts w:ascii="宋体" w:hAnsi="宋体" w:cs="宋体" w:eastAsia="宋体" w:hint="default"/>
          <w:spacing w:val="-1"/>
        </w:rPr>
        <w:t>400V</w:t>
      </w:r>
      <w:r>
        <w:rPr>
          <w:spacing w:val="-1"/>
        </w:rPr>
        <w:t>设备链条，以软件开发和软硬件相结合的感知层应用设备为</w:t>
      </w:r>
      <w:r>
        <w:rPr>
          <w:spacing w:val="-80"/>
        </w:rPr>
        <w:t> </w:t>
      </w:r>
      <w:r>
        <w:rPr>
          <w:spacing w:val="-80"/>
        </w:rPr>
      </w:r>
      <w:r>
        <w:rPr/>
        <w:t>主要产品，并以此为基础平台，布局完善工程维护专业运维、智慧综合能源监控分析服务等衍生业务。</w:t>
      </w:r>
    </w:p>
    <w:p>
      <w:pPr>
        <w:pStyle w:val="Heading2"/>
        <w:spacing w:line="240" w:lineRule="auto" w:before="179"/>
        <w:ind w:right="1122"/>
        <w:jc w:val="left"/>
        <w:rPr>
          <w:b w:val="0"/>
          <w:bCs w:val="0"/>
        </w:rPr>
      </w:pPr>
      <w:bookmarkStart w:name="二、主要资产重大变化情况" w:id="18"/>
      <w:bookmarkEnd w:id="18"/>
      <w:r>
        <w:rPr>
          <w:b w:val="0"/>
          <w:bCs w:val="0"/>
        </w:rPr>
      </w:r>
      <w:r>
        <w:rPr/>
        <w:t>二、主要资产重大变化情况</w:t>
      </w:r>
      <w:r>
        <w:rPr>
          <w:b w:val="0"/>
          <w:bCs w:val="0"/>
        </w:rPr>
      </w:r>
    </w:p>
    <w:p>
      <w:pPr>
        <w:pStyle w:val="Heading4"/>
        <w:spacing w:line="240" w:lineRule="auto" w:before="177"/>
        <w:ind w:right="1122"/>
        <w:jc w:val="left"/>
        <w:rPr>
          <w:b w:val="0"/>
          <w:bCs w:val="0"/>
        </w:rPr>
      </w:pPr>
      <w:bookmarkStart w:name="1、主要资产重大变化情况" w:id="19"/>
      <w:bookmarkEnd w:id="19"/>
      <w:r>
        <w:rPr>
          <w:b w:val="0"/>
          <w:bCs w:val="0"/>
        </w:rPr>
      </w:r>
      <w:r>
        <w:rPr>
          <w:rFonts w:ascii="宋体" w:hAnsi="宋体" w:cs="宋体" w:eastAsia="宋体" w:hint="default"/>
        </w:rPr>
        <w:t>1</w:t>
      </w:r>
      <w:r>
        <w:rPr/>
        <w:t>、主要资产重大变化情况</w:t>
      </w:r>
      <w:r>
        <w:rPr>
          <w:b w:val="0"/>
          <w:bCs w:val="0"/>
        </w:rPr>
      </w:r>
    </w:p>
    <w:p>
      <w:pPr>
        <w:spacing w:after="0" w:line="240" w:lineRule="auto"/>
        <w:jc w:val="left"/>
        <w:sectPr>
          <w:pgSz w:w="11910" w:h="16840"/>
          <w:pgMar w:header="877" w:footer="1000"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3053"/>
        <w:gridCol w:w="6516"/>
      </w:tblGrid>
      <w:tr>
        <w:trPr>
          <w:trHeight w:val="415" w:hRule="exact"/>
        </w:trPr>
        <w:tc>
          <w:tcPr>
            <w:tcW w:w="305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7" w:hRule="exact"/>
        </w:trPr>
        <w:tc>
          <w:tcPr>
            <w:tcW w:w="305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长期股权投资较期初增长</w:t>
            </w:r>
            <w:r>
              <w:rPr>
                <w:rFonts w:ascii="宋体" w:hAnsi="宋体" w:cs="宋体" w:eastAsia="宋体" w:hint="default"/>
                <w:spacing w:val="-46"/>
                <w:sz w:val="18"/>
                <w:szCs w:val="18"/>
              </w:rPr>
              <w:t> </w:t>
            </w:r>
            <w:r>
              <w:rPr>
                <w:rFonts w:ascii="宋体" w:hAnsi="宋体" w:cs="宋体" w:eastAsia="宋体" w:hint="default"/>
                <w:sz w:val="18"/>
                <w:szCs w:val="18"/>
              </w:rPr>
              <w:t>168.33%</w:t>
            </w:r>
            <w:r>
              <w:rPr>
                <w:rFonts w:ascii="宋体" w:hAnsi="宋体" w:cs="宋体" w:eastAsia="宋体" w:hint="default"/>
                <w:sz w:val="18"/>
                <w:szCs w:val="18"/>
              </w:rPr>
              <w:t>，主要是本期新增投资联营企业所致</w:t>
            </w:r>
          </w:p>
        </w:tc>
      </w:tr>
      <w:tr>
        <w:trPr>
          <w:trHeight w:val="727" w:hRule="exact"/>
        </w:trPr>
        <w:tc>
          <w:tcPr>
            <w:tcW w:w="30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6" w:type="dxa"/>
            <w:tcBorders>
              <w:top w:val="single" w:sz="6" w:space="0" w:color="000000"/>
              <w:left w:val="single" w:sz="6" w:space="0" w:color="000000"/>
              <w:bottom w:val="single" w:sz="12" w:space="0" w:color="000000"/>
              <w:right w:val="single" w:sz="12" w:space="0" w:color="000000"/>
            </w:tcBorders>
          </w:tcPr>
          <w:p>
            <w:pPr>
              <w:pStyle w:val="TableParagraph"/>
              <w:spacing w:line="319" w:lineRule="auto" w:before="51"/>
              <w:ind w:left="20" w:right="36"/>
              <w:jc w:val="left"/>
              <w:rPr>
                <w:rFonts w:ascii="宋体" w:hAnsi="宋体" w:cs="宋体" w:eastAsia="宋体" w:hint="default"/>
                <w:sz w:val="18"/>
                <w:szCs w:val="18"/>
              </w:rPr>
            </w:pPr>
            <w:r>
              <w:rPr>
                <w:rFonts w:ascii="宋体" w:hAnsi="宋体" w:cs="宋体" w:eastAsia="宋体" w:hint="default"/>
                <w:sz w:val="18"/>
                <w:szCs w:val="18"/>
              </w:rPr>
              <w:t>投资性房地产较期初增长</w:t>
            </w:r>
            <w:r>
              <w:rPr>
                <w:rFonts w:ascii="宋体" w:hAnsi="宋体" w:cs="宋体" w:eastAsia="宋体" w:hint="default"/>
                <w:spacing w:val="-46"/>
                <w:sz w:val="18"/>
                <w:szCs w:val="18"/>
              </w:rPr>
              <w:t> </w:t>
            </w:r>
            <w:r>
              <w:rPr>
                <w:rFonts w:ascii="宋体" w:hAnsi="宋体" w:cs="宋体" w:eastAsia="宋体" w:hint="default"/>
                <w:sz w:val="18"/>
                <w:szCs w:val="18"/>
              </w:rPr>
              <w:t>397.06%</w:t>
            </w:r>
            <w:r>
              <w:rPr>
                <w:rFonts w:ascii="宋体" w:hAnsi="宋体" w:cs="宋体" w:eastAsia="宋体" w:hint="default"/>
                <w:sz w:val="18"/>
                <w:szCs w:val="18"/>
              </w:rPr>
              <w:t>，主要是本期上市公司房产根据租赁协议从固定 资产转入所致</w:t>
            </w:r>
          </w:p>
        </w:tc>
      </w:tr>
    </w:tbl>
    <w:p>
      <w:pPr>
        <w:pStyle w:val="Heading4"/>
        <w:spacing w:line="240" w:lineRule="auto" w:before="63"/>
        <w:ind w:right="1122"/>
        <w:jc w:val="left"/>
        <w:rPr>
          <w:b w:val="0"/>
          <w:bCs w:val="0"/>
        </w:rPr>
      </w:pPr>
      <w:bookmarkStart w:name="2、主要境外资产情况" w:id="20"/>
      <w:bookmarkEnd w:id="20"/>
      <w:r>
        <w:rPr>
          <w:b w:val="0"/>
          <w:bCs w:val="0"/>
        </w:rPr>
      </w:r>
      <w:r>
        <w:rPr>
          <w:rFonts w:ascii="宋体" w:hAnsi="宋体" w:cs="宋体" w:eastAsia="宋体" w:hint="default"/>
        </w:rPr>
        <w:t>2</w:t>
      </w:r>
      <w:r>
        <w:rPr/>
        <w:t>、主要境外资产情况</w:t>
      </w:r>
      <w:r>
        <w:rPr>
          <w:b w:val="0"/>
          <w:bCs w:val="0"/>
        </w:rPr>
      </w:r>
    </w:p>
    <w:p>
      <w:pPr>
        <w:spacing w:line="240" w:lineRule="auto" w:before="10"/>
        <w:rPr>
          <w:rFonts w:ascii="宋体" w:hAnsi="宋体" w:cs="宋体" w:eastAsia="宋体" w:hint="default"/>
          <w:b/>
          <w:bCs/>
          <w:sz w:val="14"/>
          <w:szCs w:val="14"/>
        </w:rPr>
      </w:pPr>
    </w:p>
    <w:p>
      <w:pPr>
        <w:spacing w:line="381" w:lineRule="auto" w:before="0"/>
        <w:ind w:left="154" w:right="686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三、核心竞争力分析" w:id="21"/>
      <w:bookmarkEnd w:id="21"/>
      <w:r>
        <w:rPr>
          <w:rFonts w:ascii="宋体" w:hAnsi="宋体" w:cs="宋体" w:eastAsia="宋体" w:hint="default"/>
          <w:sz w:val="21"/>
          <w:szCs w:val="21"/>
        </w:rPr>
      </w:r>
      <w:r>
        <w:rPr>
          <w:rFonts w:ascii="宋体" w:hAnsi="宋体" w:cs="宋体" w:eastAsia="宋体" w:hint="default"/>
          <w:b/>
          <w:bCs/>
          <w:sz w:val="24"/>
          <w:szCs w:val="24"/>
        </w:rPr>
        <w:t>三、核心竞争力分析</w:t>
      </w:r>
      <w:r>
        <w:rPr>
          <w:rFonts w:ascii="宋体" w:hAnsi="宋体" w:cs="宋体" w:eastAsia="宋体" w:hint="default"/>
          <w:b/>
          <w:bCs/>
          <w:w w:val="99"/>
          <w:sz w:val="24"/>
          <w:szCs w:val="24"/>
        </w:rPr>
        <w:t> </w:t>
      </w:r>
      <w:r>
        <w:rPr>
          <w:rFonts w:ascii="宋体" w:hAnsi="宋体" w:cs="宋体" w:eastAsia="宋体" w:hint="default"/>
          <w:sz w:val="21"/>
          <w:szCs w:val="21"/>
        </w:rPr>
        <w:t>公司是否需要遵守特殊行业的披露要求</w:t>
      </w:r>
      <w:r>
        <w:rPr>
          <w:rFonts w:ascii="宋体" w:hAnsi="宋体" w:cs="宋体" w:eastAsia="宋体" w:hint="default"/>
          <w:sz w:val="21"/>
          <w:szCs w:val="21"/>
        </w:rPr>
        <w:t>:</w:t>
      </w:r>
      <w:r>
        <w:rPr>
          <w:rFonts w:ascii="宋体" w:hAnsi="宋体" w:cs="宋体" w:eastAsia="宋体" w:hint="default"/>
          <w:sz w:val="21"/>
          <w:szCs w:val="21"/>
        </w:rPr>
        <w:t>否</w:t>
      </w:r>
    </w:p>
    <w:p>
      <w:pPr>
        <w:pStyle w:val="BodyText"/>
        <w:spacing w:line="240" w:lineRule="auto" w:before="69"/>
        <w:ind w:left="577" w:right="1122"/>
        <w:jc w:val="left"/>
      </w:pPr>
      <w:r>
        <w:rPr>
          <w:rFonts w:ascii="宋体" w:hAnsi="宋体" w:cs="宋体" w:eastAsia="宋体" w:hint="default"/>
        </w:rPr>
        <w:t>1</w:t>
      </w:r>
      <w:r>
        <w:rPr/>
        <w:t>、版权云业务</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t>《国家“十三五”时期文化发展改革规划纲要》在互联网</w:t>
      </w:r>
      <w:r>
        <w:rPr>
          <w:rFonts w:ascii="宋体" w:hAnsi="宋体" w:cs="宋体" w:eastAsia="宋体" w:hint="default"/>
        </w:rPr>
        <w:t>+</w:t>
      </w:r>
      <w:r>
        <w:rPr/>
        <w:t>行动中提出创新网络文化产品和服务，引 </w:t>
      </w:r>
      <w:r>
        <w:rPr>
          <w:spacing w:val="-1"/>
        </w:rPr>
        <w:t>导支持网络文化产业基地建设，建设中国文化（出版广电）大数据产业平台（</w:t>
      </w:r>
      <w:r>
        <w:rPr>
          <w:rFonts w:ascii="宋体" w:hAnsi="宋体" w:cs="宋体" w:eastAsia="宋体" w:hint="default"/>
          <w:spacing w:val="-1"/>
        </w:rPr>
        <w:t>CCDI</w:t>
      </w:r>
      <w:r>
        <w:rPr>
          <w:spacing w:val="-1"/>
        </w:rPr>
        <w:t>），在国家战略高度上</w:t>
      </w:r>
      <w:r>
        <w:rPr>
          <w:spacing w:val="-82"/>
        </w:rPr>
        <w:t> </w:t>
      </w:r>
      <w:r>
        <w:rPr>
          <w:spacing w:val="-82"/>
        </w:rPr>
      </w:r>
      <w:r>
        <w:rPr>
          <w:spacing w:val="-1"/>
        </w:rPr>
        <w:t>明确了版权云项目的定位。同时，版权云项目也是国家新闻出版广电总局和贵州省人民政府联合推动的项</w:t>
      </w:r>
      <w:r>
        <w:rPr>
          <w:spacing w:val="-81"/>
        </w:rPr>
        <w:t> </w:t>
      </w:r>
      <w:r>
        <w:rPr>
          <w:spacing w:val="-81"/>
        </w:rPr>
      </w:r>
      <w:r>
        <w:rPr>
          <w:spacing w:val="-5"/>
        </w:rPr>
        <w:t>目，在政策、资源、行业规则制定等方面具有天然优势。公司作为版权云项目的主要发起方和基石推动者，</w:t>
      </w:r>
      <w:r>
        <w:rPr>
          <w:spacing w:val="-103"/>
        </w:rPr>
        <w:t> </w:t>
      </w:r>
      <w:r>
        <w:rPr>
          <w:spacing w:val="-103"/>
        </w:rPr>
      </w:r>
      <w:r>
        <w:rPr>
          <w:spacing w:val="-1"/>
        </w:rPr>
        <w:t>可以依靠贵州文交所的牌照优势、国家千人计划区块链团队的技术优势、国内领先文化交易团队的运营优</w:t>
      </w:r>
      <w:r>
        <w:rPr>
          <w:spacing w:val="-81"/>
        </w:rPr>
        <w:t> </w:t>
      </w:r>
      <w:r>
        <w:rPr>
          <w:spacing w:val="-81"/>
        </w:rPr>
      </w:r>
      <w:r>
        <w:rPr>
          <w:spacing w:val="-1"/>
        </w:rPr>
        <w:t>势以及国内最领先编目团队的内容分拆技术优势，通过资源整合形成光一科技在数字版权内容风控、交易</w:t>
      </w:r>
      <w:r>
        <w:rPr>
          <w:spacing w:val="-81"/>
        </w:rPr>
        <w:t> </w:t>
      </w:r>
      <w:r>
        <w:rPr>
          <w:spacing w:val="-81"/>
        </w:rPr>
      </w:r>
      <w:r>
        <w:rPr/>
        <w:t>分发环节先行先试的市场优势。</w:t>
      </w:r>
    </w:p>
    <w:p>
      <w:pPr>
        <w:pStyle w:val="BodyText"/>
        <w:spacing w:line="408" w:lineRule="auto"/>
        <w:ind w:left="574" w:right="1122"/>
        <w:jc w:val="left"/>
      </w:pPr>
      <w:r>
        <w:rPr>
          <w:rFonts w:ascii="宋体" w:hAnsi="宋体" w:cs="宋体" w:eastAsia="宋体" w:hint="default"/>
        </w:rPr>
        <w:t>2</w:t>
      </w:r>
      <w:r>
        <w:rPr/>
        <w:t>、电力业务 </w:t>
      </w:r>
      <w:r>
        <w:rPr>
          <w:spacing w:val="-1"/>
        </w:rPr>
        <w:t>公司在电力业务领域积累了深厚的技术基础、良好的产品口碑和品牌效应，公司提升技术力量开发新</w:t>
      </w:r>
    </w:p>
    <w:p>
      <w:pPr>
        <w:pStyle w:val="BodyText"/>
        <w:spacing w:line="408" w:lineRule="auto"/>
        <w:ind w:right="1130"/>
        <w:jc w:val="both"/>
      </w:pPr>
      <w:r>
        <w:rPr>
          <w:spacing w:val="-1"/>
        </w:rPr>
        <w:t>产品的同时，为新一轮业务发展提前做技术储备和业务布局，在配电网的综合信息及状态采集与应用、新</w:t>
      </w:r>
      <w:r>
        <w:rPr>
          <w:spacing w:val="-83"/>
        </w:rPr>
        <w:t> </w:t>
      </w:r>
      <w:r>
        <w:rPr>
          <w:spacing w:val="-83"/>
        </w:rPr>
      </w:r>
      <w:r>
        <w:rPr>
          <w:spacing w:val="-1"/>
        </w:rPr>
        <w:t>的通讯技术在信息采集方面的应用、配电网的能源区域管理与互动等方面持续加强投入。目前，公司具备</w:t>
      </w:r>
      <w:r>
        <w:rPr>
          <w:spacing w:val="-82"/>
        </w:rPr>
        <w:t> </w:t>
      </w:r>
      <w:r>
        <w:rPr>
          <w:spacing w:val="-82"/>
        </w:rPr>
      </w:r>
      <w:r>
        <w:rPr>
          <w:spacing w:val="-1"/>
        </w:rPr>
        <w:t>终端制造、工程服务等多维度市场，可以为客户提供多元化电力业务服务，公司将充分利用电力产业链优</w:t>
      </w:r>
      <w:r>
        <w:rPr>
          <w:spacing w:val="-83"/>
        </w:rPr>
        <w:t> </w:t>
      </w:r>
      <w:r>
        <w:rPr>
          <w:spacing w:val="-83"/>
        </w:rPr>
      </w:r>
      <w:r>
        <w:rPr/>
        <w:t>势，以数据采集与处理为核心、综合能源管理为价值形成自己核心竞争力。</w:t>
      </w:r>
    </w:p>
    <w:p>
      <w:pPr>
        <w:pStyle w:val="BodyText"/>
        <w:spacing w:line="408" w:lineRule="auto"/>
        <w:ind w:left="574" w:right="1122"/>
        <w:jc w:val="left"/>
      </w:pPr>
      <w:r>
        <w:rPr>
          <w:rFonts w:ascii="宋体" w:hAnsi="宋体" w:cs="宋体" w:eastAsia="宋体" w:hint="default"/>
        </w:rPr>
        <w:t>3</w:t>
      </w:r>
      <w:r>
        <w:rPr/>
        <w:t>、健康信息服务业务 </w:t>
      </w:r>
      <w:r>
        <w:rPr>
          <w:spacing w:val="-1"/>
        </w:rPr>
        <w:t>云商天下与南京医科大学独家合作，是南京医科大学转化医学研究院（江苏省转化医学研究院）医工</w:t>
      </w:r>
    </w:p>
    <w:p>
      <w:pPr>
        <w:pStyle w:val="BodyText"/>
        <w:spacing w:line="408" w:lineRule="auto"/>
        <w:ind w:right="0"/>
        <w:jc w:val="left"/>
      </w:pPr>
      <w:r>
        <w:rPr/>
        <w:t>融合平台单位，在构建新诊疗服务模式中逐步建立起较强的连接能力，在技术沉淀和经验积累方面具有优 </w:t>
      </w:r>
      <w:r>
        <w:rPr>
          <w:spacing w:val="-1"/>
        </w:rPr>
        <w:t>势，协助南京医科大学的附属医院互联网化的同时衍生出多种区域性互联网医疗服务及专科化互联网服务。</w:t>
      </w:r>
    </w:p>
    <w:p>
      <w:pPr>
        <w:spacing w:after="0" w:line="408" w:lineRule="auto"/>
        <w:jc w:val="left"/>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6" w:right="1122"/>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both"/>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1" w:firstLine="424"/>
        <w:jc w:val="both"/>
      </w:pPr>
      <w:r>
        <w:rPr>
          <w:rFonts w:ascii="宋体" w:hAnsi="宋体" w:cs="宋体" w:eastAsia="宋体" w:hint="default"/>
          <w:spacing w:val="-1"/>
        </w:rPr>
        <w:t>2018</w:t>
      </w:r>
      <w:r>
        <w:rPr>
          <w:spacing w:val="-1"/>
        </w:rPr>
        <w:t>年，公司继续按照既定的发展战略逐步推进，版权云业务以全网监测能力建设为重点，通过赋能</w:t>
      </w:r>
      <w:r>
        <w:rPr/>
        <w:t> </w:t>
      </w:r>
      <w:r>
        <w:rPr>
          <w:spacing w:val="-1"/>
        </w:rPr>
        <w:t>和叠加，形成商业模式和盈利能力并谋划整合进入上市公司；电力业务在巩固已有市场地位的同时，一方</w:t>
      </w:r>
      <w:r>
        <w:rPr>
          <w:spacing w:val="-83"/>
        </w:rPr>
        <w:t> </w:t>
      </w:r>
      <w:r>
        <w:rPr>
          <w:spacing w:val="-83"/>
        </w:rPr>
      </w:r>
      <w:r>
        <w:rPr>
          <w:spacing w:val="-1"/>
        </w:rPr>
        <w:t>面积极应对市场环境变化给公司带来的挑战，另一方面各项工作稳步有序推进，报告期内公司完成的重点</w:t>
      </w:r>
      <w:r>
        <w:rPr>
          <w:spacing w:val="-81"/>
        </w:rPr>
        <w:t> </w:t>
      </w:r>
      <w:r>
        <w:rPr>
          <w:spacing w:val="-81"/>
        </w:rPr>
      </w:r>
      <w:r>
        <w:rPr/>
        <w:t>工作如下：</w:t>
      </w:r>
    </w:p>
    <w:p>
      <w:pPr>
        <w:pStyle w:val="BodyText"/>
        <w:spacing w:line="408" w:lineRule="auto"/>
        <w:ind w:left="578" w:right="1132"/>
        <w:jc w:val="left"/>
      </w:pPr>
      <w:r>
        <w:rPr>
          <w:rFonts w:ascii="宋体" w:hAnsi="宋体" w:cs="宋体" w:eastAsia="宋体" w:hint="default"/>
        </w:rPr>
        <w:t>1</w:t>
      </w:r>
      <w:r>
        <w:rPr/>
        <w:t>、优化管理结构，完善内部运行环境建设。 </w:t>
      </w:r>
      <w:r>
        <w:rPr>
          <w:spacing w:val="-1"/>
        </w:rPr>
        <w:t>报告期内，公司以整体搬迁进入新的产业基地为契机，加强人才的引进和培养，加强对各子公司的管</w:t>
      </w:r>
    </w:p>
    <w:p>
      <w:pPr>
        <w:pStyle w:val="BodyText"/>
        <w:spacing w:line="408" w:lineRule="auto"/>
        <w:ind w:right="1035"/>
        <w:jc w:val="both"/>
      </w:pPr>
      <w:r>
        <w:rPr/>
        <w:t>控，形成各主体间的协同效应，提高资源利用效率，加强风险管控能力，进一步完善内部运行环境建设。</w:t>
      </w:r>
      <w:r>
        <w:rPr>
          <w:spacing w:val="-35"/>
        </w:rPr>
        <w:t> </w:t>
      </w:r>
      <w:r>
        <w:rPr>
          <w:spacing w:val="-35"/>
        </w:rPr>
      </w:r>
      <w:r>
        <w:rPr/>
        <w:t>同时，严格实行预算管理和绩效考核，积极践行开源节流，提高公司运行效率及工作质量。</w:t>
      </w:r>
    </w:p>
    <w:p>
      <w:pPr>
        <w:pStyle w:val="BodyText"/>
        <w:spacing w:line="408" w:lineRule="auto"/>
        <w:ind w:left="574" w:right="1122"/>
        <w:jc w:val="left"/>
      </w:pPr>
      <w:r>
        <w:rPr>
          <w:rFonts w:ascii="宋体" w:hAnsi="宋体" w:cs="宋体" w:eastAsia="宋体" w:hint="default"/>
        </w:rPr>
        <w:t>2</w:t>
      </w:r>
      <w:r>
        <w:rPr/>
        <w:t>、版权云业务融合各方资源，稳步有序发展，重点业务落地。 </w:t>
      </w:r>
      <w:r>
        <w:rPr>
          <w:spacing w:val="-1"/>
        </w:rPr>
        <w:t>报告期内，中云文化大数据通过调整组建新的经营管理团队，在版权大数据核心产业培育、整合完善</w:t>
      </w:r>
    </w:p>
    <w:p>
      <w:pPr>
        <w:pStyle w:val="BodyText"/>
        <w:spacing w:line="408" w:lineRule="auto"/>
        <w:ind w:right="1130"/>
        <w:jc w:val="both"/>
      </w:pPr>
      <w:r>
        <w:rPr>
          <w:spacing w:val="-1"/>
        </w:rPr>
        <w:t>版权金融服务体系、版权孵化聚集园区建设等方面取得了阶段性成效，由“持续性投入”稳步过渡到“边</w:t>
      </w:r>
      <w:r>
        <w:rPr>
          <w:spacing w:val="-81"/>
        </w:rPr>
        <w:t> </w:t>
      </w:r>
      <w:r>
        <w:rPr>
          <w:spacing w:val="-81"/>
        </w:rPr>
      </w:r>
      <w:r>
        <w:rPr>
          <w:spacing w:val="-1"/>
        </w:rPr>
        <w:t>投入、边建设、边运营”阶段。在贵州省版权局的授权下，组建了“贵州省版权登记中心”，版权登记业</w:t>
      </w:r>
      <w:r>
        <w:rPr>
          <w:spacing w:val="-83"/>
        </w:rPr>
        <w:t> </w:t>
      </w:r>
      <w:r>
        <w:rPr>
          <w:spacing w:val="-83"/>
        </w:rPr>
      </w:r>
      <w:r>
        <w:rPr>
          <w:spacing w:val="-1"/>
        </w:rPr>
        <w:t>务快速增长，版权交易平台正在进行系统内测。在加强数据资源的汇聚与应用方面，版权云项目已初步具</w:t>
      </w:r>
      <w:r>
        <w:rPr>
          <w:spacing w:val="-83"/>
        </w:rPr>
        <w:t> </w:t>
      </w:r>
      <w:r>
        <w:rPr>
          <w:spacing w:val="-83"/>
        </w:rPr>
      </w:r>
      <w:r>
        <w:rPr>
          <w:spacing w:val="-1"/>
        </w:rPr>
        <w:t>备了对图书、音乐、影视、期刊、报纸、艺术品等多类别等版权资源及数据汇集能力，全国报纸、期刊杂</w:t>
      </w:r>
      <w:r>
        <w:rPr>
          <w:spacing w:val="-85"/>
        </w:rPr>
        <w:t> </w:t>
      </w:r>
      <w:r>
        <w:rPr>
          <w:spacing w:val="-85"/>
        </w:rPr>
      </w:r>
      <w:r>
        <w:rPr>
          <w:spacing w:val="-1"/>
        </w:rPr>
        <w:t>志数据资源、电视频道和大量视频数据资源以合作方式逐步进入版权云数据库。在版权孵化汇聚产业园建</w:t>
      </w:r>
      <w:r>
        <w:rPr>
          <w:spacing w:val="-81"/>
        </w:rPr>
        <w:t> </w:t>
      </w:r>
      <w:r>
        <w:rPr>
          <w:spacing w:val="-81"/>
        </w:rPr>
      </w:r>
      <w:r>
        <w:rPr>
          <w:spacing w:val="-1"/>
        </w:rPr>
        <w:t>设方面，结合“多彩贵州风景眼”、“贵谷”的建设，积极引进并孵化</w:t>
      </w:r>
      <w:r>
        <w:rPr>
          <w:rFonts w:ascii="宋体" w:hAnsi="宋体" w:cs="宋体" w:eastAsia="宋体" w:hint="default"/>
          <w:spacing w:val="-1"/>
        </w:rPr>
        <w:t>IP</w:t>
      </w:r>
      <w:r>
        <w:rPr>
          <w:spacing w:val="-1"/>
        </w:rPr>
        <w:t>创作、大数据、影视传媒、文化</w:t>
      </w:r>
      <w:r>
        <w:rPr>
          <w:spacing w:val="-84"/>
        </w:rPr>
        <w:t> </w:t>
      </w:r>
      <w:r>
        <w:rPr>
          <w:spacing w:val="-84"/>
        </w:rPr>
      </w:r>
      <w:r>
        <w:rPr/>
        <w:t>交易、文创旅游等企业聚集，打造全国有影响力的版权产业孵化集聚区和版权内容集聚区。</w:t>
      </w:r>
    </w:p>
    <w:p>
      <w:pPr>
        <w:pStyle w:val="BodyText"/>
        <w:spacing w:line="408" w:lineRule="auto"/>
        <w:ind w:right="0" w:firstLine="420"/>
        <w:jc w:val="left"/>
      </w:pPr>
      <w:r>
        <w:rPr/>
        <w:t>在互联网内容安全及内容合规、版权保护方面，运营主体天擎华媒、海誉动想依托自身移动云计算的 技术能力以及超大数据实时处理能力一方面为有关部门提供服务，支撑互联网尤其是移动互联网的常规、</w:t>
      </w:r>
      <w:r>
        <w:rPr>
          <w:spacing w:val="-35"/>
        </w:rPr>
        <w:t> </w:t>
      </w:r>
      <w:r>
        <w:rPr>
          <w:spacing w:val="-35"/>
        </w:rPr>
      </w:r>
      <w:r>
        <w:rPr/>
        <w:t>违规及不良信息的监测取证工作，建立覆盖数百种类的</w:t>
      </w:r>
      <w:r>
        <w:rPr>
          <w:rFonts w:ascii="宋体" w:hAnsi="宋体" w:cs="宋体" w:eastAsia="宋体" w:hint="default"/>
        </w:rPr>
        <w:t>AI</w:t>
      </w:r>
      <w:r>
        <w:rPr/>
        <w:t>能力对不同的监管内容进行识别，结合规模化的 移动互联网内容获取能力建立对互联网不良内容的更广更深监测的识别能力。</w:t>
      </w:r>
    </w:p>
    <w:p>
      <w:pPr>
        <w:pStyle w:val="BodyText"/>
        <w:spacing w:line="408" w:lineRule="auto"/>
        <w:ind w:right="1131" w:firstLine="420"/>
        <w:jc w:val="both"/>
      </w:pPr>
      <w:r>
        <w:rPr>
          <w:spacing w:val="-1"/>
        </w:rPr>
        <w:t>在内容监测</w:t>
      </w:r>
      <w:r>
        <w:rPr>
          <w:rFonts w:ascii="宋体" w:hAnsi="宋体" w:cs="宋体" w:eastAsia="宋体" w:hint="default"/>
          <w:spacing w:val="-1"/>
        </w:rPr>
        <w:t>TO-B</w:t>
      </w:r>
      <w:r>
        <w:rPr>
          <w:spacing w:val="-1"/>
        </w:rPr>
        <w:t>业务拓展方面，运营主体通过监测服务积累的经验和技术能力，通过对目前互联网内</w:t>
      </w:r>
      <w:r>
        <w:rPr/>
        <w:t> </w:t>
      </w:r>
      <w:r>
        <w:rPr>
          <w:spacing w:val="-1"/>
        </w:rPr>
        <w:t>容生产企业对内容管理，风险管控的需求调研，</w:t>
      </w:r>
      <w:r>
        <w:rPr>
          <w:rFonts w:ascii="宋体" w:hAnsi="宋体" w:cs="宋体" w:eastAsia="宋体" w:hint="default"/>
          <w:spacing w:val="-1"/>
        </w:rPr>
        <w:t>2018</w:t>
      </w:r>
      <w:r>
        <w:rPr>
          <w:spacing w:val="-1"/>
        </w:rPr>
        <w:t>年已启动企业端不良内容自检平台的产品开发，第一</w:t>
      </w:r>
      <w:r>
        <w:rPr>
          <w:spacing w:val="-81"/>
        </w:rPr>
        <w:t> </w:t>
      </w:r>
      <w:r>
        <w:rPr>
          <w:spacing w:val="-81"/>
        </w:rPr>
      </w:r>
      <w:r>
        <w:rPr/>
        <w:t>版本已在测试中。</w:t>
      </w:r>
    </w:p>
    <w:p>
      <w:pPr>
        <w:pStyle w:val="BodyText"/>
        <w:spacing w:line="240" w:lineRule="auto"/>
        <w:ind w:left="574" w:right="0"/>
        <w:jc w:val="left"/>
      </w:pPr>
      <w:r>
        <w:rPr/>
        <w:t>在版权知识产权维权授权体系布局方面，基于数据获取能力和数据识别能力，搭建版权识别能力，其</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1122" w:hanging="420"/>
        <w:jc w:val="left"/>
      </w:pPr>
      <w:r>
        <w:rPr/>
        <w:t>中音乐版权的识别和获取以及取证存证的环节已完成，下一步将启动音乐版权维权授权的商业运营。 </w:t>
      </w:r>
      <w:r>
        <w:rPr>
          <w:rFonts w:ascii="宋体" w:hAnsi="宋体" w:cs="宋体" w:eastAsia="宋体" w:hint="default"/>
        </w:rPr>
        <w:t>3</w:t>
      </w:r>
      <w:r>
        <w:rPr/>
        <w:t>、电力业务以泛在电力物联网为契机，巩固现有业务并积极拓展新业务。 </w:t>
      </w:r>
      <w:r>
        <w:rPr>
          <w:spacing w:val="-6"/>
        </w:rPr>
        <w:t>报告期内，公司电力业务在现有业务的基础上，一方面通过加强研发投入，提升技术力量开发新产品；</w:t>
      </w:r>
    </w:p>
    <w:p>
      <w:pPr>
        <w:pStyle w:val="BodyText"/>
        <w:spacing w:line="408" w:lineRule="auto"/>
        <w:ind w:right="1122"/>
        <w:jc w:val="left"/>
      </w:pPr>
      <w:r>
        <w:rPr>
          <w:spacing w:val="-1"/>
        </w:rPr>
        <w:t>另一方面通过业务调整，着力布局电力行业新格局，目前公司具备终端制造、工程服务、能效管理等多维</w:t>
      </w:r>
      <w:r>
        <w:rPr>
          <w:spacing w:val="-86"/>
        </w:rPr>
        <w:t> </w:t>
      </w:r>
      <w:r>
        <w:rPr>
          <w:spacing w:val="-86"/>
        </w:rPr>
      </w:r>
      <w:r>
        <w:rPr/>
        <w:t>度市场，提供多元化电力业务服务。</w:t>
      </w:r>
    </w:p>
    <w:p>
      <w:pPr>
        <w:pStyle w:val="BodyText"/>
        <w:spacing w:line="408" w:lineRule="auto"/>
        <w:ind w:right="0" w:firstLine="424"/>
        <w:jc w:val="left"/>
      </w:pPr>
      <w:r>
        <w:rPr>
          <w:spacing w:val="-6"/>
        </w:rPr>
        <w:t>在技术研发方面，公司积极深入研究高速电力线载波通信（</w:t>
      </w:r>
      <w:r>
        <w:rPr>
          <w:rFonts w:ascii="宋体" w:hAnsi="宋体" w:cs="宋体" w:eastAsia="宋体" w:hint="default"/>
          <w:spacing w:val="-6"/>
        </w:rPr>
        <w:t>HPLC</w:t>
      </w:r>
      <w:r>
        <w:rPr>
          <w:spacing w:val="-6"/>
        </w:rPr>
        <w:t>）、基于蜂窝的窄带物联（</w:t>
      </w:r>
      <w:r>
        <w:rPr>
          <w:rFonts w:ascii="宋体" w:hAnsi="宋体" w:cs="宋体" w:eastAsia="宋体" w:hint="default"/>
          <w:spacing w:val="-6"/>
        </w:rPr>
        <w:t>NB-IoT</w:t>
      </w:r>
      <w:r>
        <w:rPr>
          <w:spacing w:val="-6"/>
        </w:rPr>
        <w:t>）、</w:t>
      </w:r>
      <w:r>
        <w:rPr>
          <w:spacing w:val="-41"/>
        </w:rPr>
        <w:t> </w:t>
      </w:r>
      <w:r>
        <w:rPr>
          <w:rFonts w:ascii="宋体" w:hAnsi="宋体" w:cs="宋体" w:eastAsia="宋体" w:hint="default"/>
        </w:rPr>
        <w:t>LoRa</w:t>
      </w:r>
      <w:r>
        <w:rPr/>
        <w:t>等多种通信技术的融合及深化应用模型，通过融合</w:t>
      </w:r>
      <w:r>
        <w:rPr>
          <w:rFonts w:ascii="宋体" w:hAnsi="宋体" w:cs="宋体" w:eastAsia="宋体" w:hint="default"/>
        </w:rPr>
        <w:t>4G</w:t>
      </w:r>
      <w:r>
        <w:rPr/>
        <w:t>、</w:t>
      </w:r>
      <w:r>
        <w:rPr>
          <w:rFonts w:ascii="宋体" w:hAnsi="宋体" w:cs="宋体" w:eastAsia="宋体" w:hint="default"/>
        </w:rPr>
        <w:t>HPLC</w:t>
      </w:r>
      <w:r>
        <w:rPr/>
        <w:t>、</w:t>
      </w:r>
      <w:r>
        <w:rPr>
          <w:rFonts w:ascii="宋体" w:hAnsi="宋体" w:cs="宋体" w:eastAsia="宋体" w:hint="default"/>
        </w:rPr>
        <w:t>LoRa</w:t>
      </w:r>
      <w:r>
        <w:rPr/>
        <w:t>等多种通信技术研制出末端电网感 知系统，实现对末端电网在线监测、线损分析、线路阻抗计算与故障预警。在台区拓扑关系识别技术、用 户停电事件主动上报技术、高频度采集技术上取得进一步突破，开发新一代低压末端电网智能感知产品，</w:t>
      </w:r>
      <w:r>
        <w:rPr>
          <w:spacing w:val="-35"/>
        </w:rPr>
        <w:t> </w:t>
      </w:r>
      <w:r>
        <w:rPr>
          <w:spacing w:val="-35"/>
        </w:rPr>
      </w:r>
      <w:r>
        <w:rPr/>
        <w:t>已在江苏省南京、苏州、扬州等多个地区批量使用，取得良好效果。</w:t>
      </w:r>
    </w:p>
    <w:p>
      <w:pPr>
        <w:pStyle w:val="BodyText"/>
        <w:spacing w:line="408" w:lineRule="auto"/>
        <w:ind w:right="1013" w:firstLine="424"/>
        <w:jc w:val="left"/>
      </w:pPr>
      <w:r>
        <w:rPr>
          <w:spacing w:val="-3"/>
        </w:rPr>
        <w:t>在配电自动化产品方面，公司开发的“暂态录波型故障指示器”、“暂态特征型故障指示器”等产品，</w:t>
      </w:r>
      <w:r>
        <w:rPr/>
        <w:t> 均通过中国电科院等权威部门的试验检测，并在江苏、江西、福建、湖北、重庆等多个网省中标。</w:t>
      </w:r>
    </w:p>
    <w:p>
      <w:pPr>
        <w:pStyle w:val="BodyText"/>
        <w:spacing w:line="408" w:lineRule="auto"/>
        <w:ind w:right="0" w:firstLine="424"/>
        <w:jc w:val="left"/>
      </w:pPr>
      <w:r>
        <w:rPr/>
        <w:t>在综合能源管理方面，苏源光一以能效监测系统、区域能源管理为重点，加强新产品市场推广力度， 推进能效管理及区域能源管理的现场实施，积极落实苏宁云商能源管理系统，推进江苏省碳排放交易系统</w:t>
      </w:r>
    </w:p>
    <w:p>
      <w:pPr>
        <w:pStyle w:val="BodyText"/>
        <w:spacing w:line="408" w:lineRule="auto"/>
        <w:ind w:right="1122"/>
        <w:jc w:val="left"/>
      </w:pPr>
      <w:r>
        <w:rPr>
          <w:spacing w:val="-1"/>
        </w:rPr>
        <w:t>（擎天项目）现场采集项目的实施，参与江苏省电力公司“末端电网全景感知项目”试点，已在南京、苏</w:t>
      </w:r>
      <w:r>
        <w:rPr>
          <w:spacing w:val="-85"/>
        </w:rPr>
        <w:t> </w:t>
      </w:r>
      <w:r>
        <w:rPr>
          <w:spacing w:val="-85"/>
        </w:rPr>
      </w:r>
      <w:r>
        <w:rPr/>
        <w:t>州等地实施，并积极开展该项目省外业务工作的推进。</w:t>
      </w:r>
    </w:p>
    <w:p>
      <w:pPr>
        <w:pStyle w:val="BodyText"/>
        <w:spacing w:line="408" w:lineRule="auto"/>
        <w:ind w:right="0" w:firstLine="424"/>
        <w:jc w:val="left"/>
      </w:pPr>
      <w:r>
        <w:rPr/>
        <w:t>在智能计量表箱业务方面，受国家电网招标行业周期影响，索瑞电气的表箱业务竞争越发激烈，招标 数量、招标价格均大幅降低，为此，索瑞电气积极调整营销策略，深耕市场渠道，加强内外协调；同时，</w:t>
      </w:r>
      <w:r>
        <w:rPr>
          <w:spacing w:val="-35"/>
        </w:rPr>
        <w:t> </w:t>
      </w:r>
      <w:r>
        <w:rPr>
          <w:spacing w:val="-35"/>
        </w:rPr>
      </w:r>
      <w:r>
        <w:rPr/>
        <w:t>加强内部管理，强化预算管控，精简人员编制，实现降本增效目标。</w:t>
      </w:r>
    </w:p>
    <w:p>
      <w:pPr>
        <w:pStyle w:val="BodyText"/>
        <w:spacing w:line="408" w:lineRule="auto"/>
        <w:ind w:right="1122" w:firstLine="424"/>
        <w:jc w:val="left"/>
      </w:pPr>
      <w:r>
        <w:rPr/>
        <w:t>在知识产权方面，</w:t>
      </w:r>
      <w:r>
        <w:rPr>
          <w:rFonts w:ascii="宋体" w:hAnsi="宋体" w:cs="宋体" w:eastAsia="宋体" w:hint="default"/>
        </w:rPr>
        <w:t>2018</w:t>
      </w:r>
      <w:r>
        <w:rPr/>
        <w:t>年公司新申请发明专利授权</w:t>
      </w:r>
      <w:r>
        <w:rPr>
          <w:rFonts w:ascii="宋体" w:hAnsi="宋体" w:cs="宋体" w:eastAsia="宋体" w:hint="default"/>
        </w:rPr>
        <w:t>1</w:t>
      </w:r>
      <w:r>
        <w:rPr/>
        <w:t>项、实用新型专利</w:t>
      </w:r>
      <w:r>
        <w:rPr>
          <w:rFonts w:ascii="宋体" w:hAnsi="宋体" w:cs="宋体" w:eastAsia="宋体" w:hint="default"/>
        </w:rPr>
        <w:t>3</w:t>
      </w:r>
      <w:r>
        <w:rPr/>
        <w:t>项；获得发明专利授权</w:t>
      </w:r>
      <w:r>
        <w:rPr>
          <w:rFonts w:ascii="宋体" w:hAnsi="宋体" w:cs="宋体" w:eastAsia="宋体" w:hint="default"/>
        </w:rPr>
        <w:t>1</w:t>
      </w:r>
      <w:r>
        <w:rPr/>
        <w:t>项、</w:t>
      </w:r>
      <w:r>
        <w:rPr>
          <w:spacing w:val="1"/>
        </w:rPr>
        <w:t> </w:t>
      </w:r>
      <w:r>
        <w:rPr/>
        <w:t>实用新型专利授权</w:t>
      </w:r>
      <w:r>
        <w:rPr>
          <w:rFonts w:ascii="宋体" w:hAnsi="宋体" w:cs="宋体" w:eastAsia="宋体" w:hint="default"/>
        </w:rPr>
        <w:t>5</w:t>
      </w:r>
      <w:r>
        <w:rPr/>
        <w:t>项。</w:t>
      </w:r>
    </w:p>
    <w:p>
      <w:pPr>
        <w:pStyle w:val="BodyText"/>
        <w:spacing w:line="408" w:lineRule="auto"/>
        <w:ind w:left="576" w:right="1122" w:hanging="3"/>
        <w:jc w:val="left"/>
      </w:pPr>
      <w:r>
        <w:rPr>
          <w:rFonts w:ascii="宋体" w:hAnsi="宋体" w:cs="宋体" w:eastAsia="宋体" w:hint="default"/>
        </w:rPr>
        <w:t>4</w:t>
      </w:r>
      <w:r>
        <w:rPr/>
        <w:t>、健康信息服务业务继续深化医工融合平台，推动相关服务项目落地实施。 </w:t>
      </w:r>
      <w:r>
        <w:rPr>
          <w:spacing w:val="-1"/>
        </w:rPr>
        <w:t>健康信息服务业务以控股子公司云商天下为运营主体。报告期内，云商天下继续深化与南京医科大学</w:t>
      </w:r>
    </w:p>
    <w:p>
      <w:pPr>
        <w:pStyle w:val="BodyText"/>
        <w:spacing w:line="408" w:lineRule="auto"/>
        <w:ind w:right="1122"/>
        <w:jc w:val="left"/>
      </w:pPr>
      <w:r>
        <w:rPr>
          <w:spacing w:val="-1"/>
        </w:rPr>
        <w:t>合作，以独家建设南京医科大学转化医学研究院（江苏省转化医学研究院）医工融合平台为契机，推动医</w:t>
      </w:r>
      <w:r>
        <w:rPr>
          <w:spacing w:val="-86"/>
        </w:rPr>
        <w:t> </w:t>
      </w:r>
      <w:r>
        <w:rPr>
          <w:spacing w:val="-86"/>
        </w:rPr>
      </w:r>
      <w:r>
        <w:rPr/>
        <w:t>联体协同服务项目、家庭医生服务项目的落地实施。</w:t>
      </w:r>
    </w:p>
    <w:p>
      <w:pPr>
        <w:pStyle w:val="BodyText"/>
        <w:spacing w:line="408" w:lineRule="auto"/>
        <w:ind w:right="1131" w:firstLine="420"/>
        <w:jc w:val="both"/>
      </w:pPr>
      <w:r>
        <w:rPr/>
        <w:t>在医联体协同服务方面，协同南京市妇幼保健院集团建立协同服务平台，提供远程门诊</w:t>
      </w:r>
      <w:r>
        <w:rPr>
          <w:rFonts w:ascii="宋体" w:hAnsi="宋体" w:cs="宋体" w:eastAsia="宋体" w:hint="default"/>
        </w:rPr>
        <w:t>/</w:t>
      </w:r>
      <w:r>
        <w:rPr/>
        <w:t>会诊及远程 </w:t>
      </w:r>
      <w:r>
        <w:rPr>
          <w:spacing w:val="-1"/>
        </w:rPr>
        <w:t>教育协作业务，以患者诊疗信息为核心，利用互联网信息技术实现医院与医院之间、科室与科室之间、基</w:t>
      </w:r>
      <w:r>
        <w:rPr>
          <w:spacing w:val="-85"/>
        </w:rPr>
        <w:t> </w:t>
      </w:r>
      <w:r>
        <w:rPr>
          <w:spacing w:val="-85"/>
        </w:rPr>
      </w:r>
      <w:r>
        <w:rPr>
          <w:spacing w:val="-1"/>
        </w:rPr>
        <w:t>层医生与专家之间的交流及跨医院的病情讨论、门诊、会诊，提升集团成员单位的诊疗水平，促进医疗服</w:t>
      </w:r>
      <w:r>
        <w:rPr>
          <w:spacing w:val="-86"/>
        </w:rPr>
        <w:t> </w:t>
      </w:r>
      <w:r>
        <w:rPr>
          <w:spacing w:val="-86"/>
        </w:rPr>
      </w:r>
      <w:r>
        <w:rPr/>
        <w:t>务的均等化。</w:t>
      </w:r>
    </w:p>
    <w:p>
      <w:pPr>
        <w:pStyle w:val="BodyText"/>
        <w:spacing w:line="240" w:lineRule="auto"/>
        <w:ind w:left="574" w:right="1122"/>
        <w:jc w:val="left"/>
      </w:pPr>
      <w:r>
        <w:rPr/>
        <w:t>在家庭医生服务方面，以互联网</w:t>
      </w:r>
      <w:r>
        <w:rPr>
          <w:rFonts w:ascii="宋体" w:hAnsi="宋体" w:cs="宋体" w:eastAsia="宋体" w:hint="default"/>
        </w:rPr>
        <w:t>+</w:t>
      </w:r>
      <w:r>
        <w:rPr/>
        <w:t>为工具，整合线下各类医疗资源，为客户量身定制家庭医生服务平</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t>台，提供家庭健康在线咨询、健康宣教、技能培训及社区及上级医院健康咨询、预约挂号等一体化服务。</w:t>
      </w:r>
      <w:r>
        <w:rPr>
          <w:spacing w:val="-35"/>
        </w:rPr>
        <w:t> </w:t>
      </w:r>
      <w:r>
        <w:rPr>
          <w:spacing w:val="-35"/>
        </w:rPr>
      </w:r>
      <w:r>
        <w:rPr/>
        <w:t>提供家庭医生签约，为签约居民建立有效数据的个人健康档案，通过健康监测、健康教育，对人群进行筛</w:t>
      </w:r>
      <w:r>
        <w:rPr/>
        <w:t> 查，提供就医指导、就医预约、双向转诊、智能问诊、辅助诊断等服务。</w:t>
      </w:r>
    </w:p>
    <w:p>
      <w:pPr>
        <w:spacing w:line="240" w:lineRule="auto" w:before="1"/>
        <w:rPr>
          <w:rFonts w:ascii="宋体" w:hAnsi="宋体" w:cs="宋体" w:eastAsia="宋体" w:hint="default"/>
          <w:sz w:val="14"/>
          <w:szCs w:val="14"/>
        </w:rPr>
      </w:pPr>
    </w:p>
    <w:p>
      <w:pPr>
        <w:pStyle w:val="Heading2"/>
        <w:spacing w:line="240" w:lineRule="auto" w:before="0"/>
        <w:ind w:right="1122"/>
        <w:jc w:val="left"/>
        <w:rPr>
          <w:b w:val="0"/>
          <w:bCs w:val="0"/>
        </w:rPr>
      </w:pPr>
      <w:bookmarkStart w:name="二、主营业务分析" w:id="25"/>
      <w:bookmarkEnd w:id="25"/>
      <w:r>
        <w:rPr>
          <w:b w:val="0"/>
          <w:bCs w:val="0"/>
        </w:rPr>
      </w:r>
      <w:r>
        <w:rPr/>
        <w:t>二、主营业务分析</w:t>
      </w:r>
      <w:r>
        <w:rPr>
          <w:b w:val="0"/>
          <w:bCs w:val="0"/>
        </w:rPr>
      </w:r>
    </w:p>
    <w:p>
      <w:pPr>
        <w:spacing w:line="240" w:lineRule="auto" w:before="13"/>
        <w:rPr>
          <w:rFonts w:ascii="宋体" w:hAnsi="宋体" w:cs="宋体" w:eastAsia="宋体" w:hint="default"/>
          <w:b/>
          <w:bCs/>
          <w:sz w:val="25"/>
          <w:szCs w:val="25"/>
        </w:rPr>
      </w:pPr>
    </w:p>
    <w:p>
      <w:pPr>
        <w:spacing w:line="408" w:lineRule="auto" w:before="0"/>
        <w:ind w:left="154" w:right="5292" w:firstLine="0"/>
        <w:jc w:val="left"/>
        <w:rPr>
          <w:rFonts w:ascii="宋体" w:hAnsi="宋体" w:cs="宋体" w:eastAsia="宋体" w:hint="default"/>
          <w:sz w:val="21"/>
          <w:szCs w:val="21"/>
        </w:rPr>
      </w:pPr>
      <w:bookmarkStart w:name="1、概述" w:id="26"/>
      <w:bookmarkEnd w:id="26"/>
      <w:r>
        <w:rPr/>
      </w:r>
      <w:r>
        <w:rPr>
          <w:rFonts w:ascii="宋体" w:hAnsi="宋体" w:cs="宋体" w:eastAsia="宋体"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99"/>
          <w:sz w:val="21"/>
          <w:szCs w:val="21"/>
        </w:rPr>
        <w:t> </w:t>
      </w:r>
      <w:r>
        <w:rPr>
          <w:rFonts w:ascii="宋体" w:hAnsi="宋体" w:cs="宋体" w:eastAsia="宋体" w:hint="default"/>
          <w:sz w:val="21"/>
          <w:szCs w:val="21"/>
        </w:rPr>
        <w:t>参见“经营情况讨论与分析”中的“一、概述”相关内容。 </w:t>
      </w:r>
      <w:bookmarkStart w:name="2、收入与成本" w:id="27"/>
      <w:bookmarkEnd w:id="27"/>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408" w:lineRule="auto" w:before="46"/>
        <w:ind w:left="154" w:right="6027"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b/>
          <w:bCs/>
          <w:w w:val="99"/>
          <w:sz w:val="21"/>
          <w:szCs w:val="21"/>
        </w:rPr>
        <w:t> </w:t>
      </w:r>
      <w:r>
        <w:rPr>
          <w:rFonts w:ascii="宋体" w:hAnsi="宋体" w:cs="宋体" w:eastAsia="宋体" w:hint="default"/>
          <w:sz w:val="21"/>
          <w:szCs w:val="21"/>
        </w:rPr>
        <w:t>公司是否需要遵守光伏产业链相关业的披露要求</w:t>
      </w:r>
      <w:r>
        <w:rPr>
          <w:rFonts w:ascii="宋体" w:hAnsi="宋体" w:cs="宋体" w:eastAsia="宋体" w:hint="default"/>
          <w:sz w:val="21"/>
          <w:szCs w:val="21"/>
        </w:rPr>
        <w:t>:</w:t>
      </w:r>
      <w:r>
        <w:rPr>
          <w:rFonts w:ascii="宋体" w:hAnsi="宋体" w:cs="宋体" w:eastAsia="宋体" w:hint="default"/>
          <w:sz w:val="21"/>
          <w:szCs w:val="21"/>
        </w:rPr>
        <w:t>否</w:t>
      </w:r>
    </w:p>
    <w:p>
      <w:pPr>
        <w:pStyle w:val="BodyText"/>
        <w:spacing w:line="408" w:lineRule="auto"/>
        <w:ind w:right="0"/>
        <w:jc w:val="left"/>
      </w:pPr>
      <w:r>
        <w:rPr/>
        <w:t>公司是否需遵守《深圳证券交易所创业板行业信息披露指引第</w:t>
      </w:r>
      <w:r>
        <w:rPr>
          <w:spacing w:val="-22"/>
        </w:rPr>
        <w:t> </w:t>
      </w:r>
      <w:r>
        <w:rPr>
          <w:rFonts w:ascii="宋体" w:hAnsi="宋体" w:cs="宋体" w:eastAsia="宋体" w:hint="default"/>
        </w:rPr>
        <w:t>1</w:t>
      </w:r>
      <w:r>
        <w:rPr>
          <w:rFonts w:ascii="宋体" w:hAnsi="宋体" w:cs="宋体" w:eastAsia="宋体" w:hint="default"/>
          <w:spacing w:val="-23"/>
        </w:rPr>
        <w:t> </w:t>
      </w:r>
      <w:r>
        <w:rPr/>
        <w:t>号——上市公司从事广播电影电视业务》</w:t>
      </w:r>
      <w:r>
        <w:rPr>
          <w:spacing w:val="-95"/>
        </w:rPr>
        <w:t> </w:t>
      </w:r>
      <w:r>
        <w:rPr>
          <w:spacing w:val="-95"/>
        </w:rPr>
      </w:r>
      <w:r>
        <w:rPr/>
        <w:t>的披露要求：否</w:t>
      </w:r>
    </w:p>
    <w:p>
      <w:pPr>
        <w:pStyle w:val="BodyText"/>
        <w:spacing w:line="408" w:lineRule="auto"/>
        <w:ind w:right="1115"/>
        <w:jc w:val="left"/>
      </w:pPr>
      <w:r>
        <w:rPr/>
        <w:t>公司是否需遵守《深圳证券交易所创业板行业信息披露指引第</w:t>
      </w:r>
      <w:r>
        <w:rPr>
          <w:spacing w:val="-64"/>
        </w:rPr>
        <w:t> </w:t>
      </w:r>
      <w:r>
        <w:rPr>
          <w:rFonts w:ascii="宋体" w:hAnsi="宋体" w:cs="宋体" w:eastAsia="宋体" w:hint="default"/>
        </w:rPr>
        <w:t>5</w:t>
      </w:r>
      <w:r>
        <w:rPr>
          <w:rFonts w:ascii="宋体" w:hAnsi="宋体" w:cs="宋体" w:eastAsia="宋体" w:hint="default"/>
          <w:spacing w:val="-64"/>
        </w:rPr>
        <w:t> </w:t>
      </w:r>
      <w:r>
        <w:rPr/>
        <w:t>号——上市公司从事互联网游戏业务》的 披露要求：否</w:t>
      </w:r>
    </w:p>
    <w:p>
      <w:pPr>
        <w:pStyle w:val="BodyText"/>
        <w:spacing w:line="408" w:lineRule="auto"/>
        <w:ind w:right="1016"/>
        <w:jc w:val="left"/>
      </w:pPr>
      <w:r>
        <w:rPr>
          <w:spacing w:val="-4"/>
        </w:rPr>
        <w:t>公司是否需遵守《深圳证券交易所创业板行业信息披露指引第</w:t>
      </w:r>
      <w:r>
        <w:rPr>
          <w:spacing w:val="-57"/>
        </w:rPr>
        <w:t> </w:t>
      </w:r>
      <w:r>
        <w:rPr>
          <w:rFonts w:ascii="宋体" w:hAnsi="宋体" w:cs="宋体" w:eastAsia="宋体" w:hint="default"/>
        </w:rPr>
        <w:t>9</w:t>
      </w:r>
      <w:r>
        <w:rPr>
          <w:rFonts w:ascii="宋体" w:hAnsi="宋体" w:cs="宋体" w:eastAsia="宋体" w:hint="default"/>
          <w:spacing w:val="-57"/>
        </w:rPr>
        <w:t> </w:t>
      </w:r>
      <w:r>
        <w:rPr/>
        <w:t>号——上市公司从事</w:t>
      </w:r>
      <w:r>
        <w:rPr>
          <w:spacing w:val="-57"/>
        </w:rPr>
        <w:t> </w:t>
      </w:r>
      <w:r>
        <w:rPr>
          <w:rFonts w:ascii="宋体" w:hAnsi="宋体" w:cs="宋体" w:eastAsia="宋体" w:hint="default"/>
        </w:rPr>
        <w:t>LED</w:t>
      </w:r>
      <w:r>
        <w:rPr>
          <w:rFonts w:ascii="宋体" w:hAnsi="宋体" w:cs="宋体" w:eastAsia="宋体" w:hint="default"/>
          <w:spacing w:val="-57"/>
        </w:rPr>
        <w:t> </w:t>
      </w:r>
      <w:r>
        <w:rPr>
          <w:spacing w:val="-1"/>
        </w:rPr>
        <w:t>产业链相关业务》</w:t>
      </w:r>
      <w:r>
        <w:rPr/>
        <w:t> 的披露要求</w:t>
      </w:r>
      <w:r>
        <w:rPr>
          <w:rFonts w:ascii="宋体" w:hAnsi="宋体" w:cs="宋体" w:eastAsia="宋体" w:hint="default"/>
        </w:rPr>
        <w:t>:</w:t>
      </w:r>
      <w:r>
        <w:rPr/>
        <w:t>否</w:t>
      </w:r>
    </w:p>
    <w:p>
      <w:pPr>
        <w:pStyle w:val="BodyText"/>
        <w:spacing w:line="408" w:lineRule="auto"/>
        <w:ind w:right="1200"/>
        <w:jc w:val="left"/>
      </w:pPr>
      <w:r>
        <w:rPr/>
        <w:t>公司是否需遵守《深圳证券交易所创业板行业信息披露指引第</w:t>
      </w:r>
      <w:r>
        <w:rPr>
          <w:spacing w:val="-54"/>
        </w:rPr>
        <w:t> </w:t>
      </w:r>
      <w:r>
        <w:rPr>
          <w:rFonts w:ascii="宋体" w:hAnsi="宋体" w:cs="宋体" w:eastAsia="宋体" w:hint="default"/>
        </w:rPr>
        <w:t>10</w:t>
      </w:r>
      <w:r>
        <w:rPr>
          <w:rFonts w:ascii="宋体" w:hAnsi="宋体" w:cs="宋体" w:eastAsia="宋体" w:hint="default"/>
          <w:spacing w:val="-54"/>
        </w:rPr>
        <w:t> </w:t>
      </w:r>
      <w:r>
        <w:rPr/>
        <w:t>号——上市公司从事医疗器械业务》的 披露要求：否</w:t>
      </w:r>
    </w:p>
    <w:p>
      <w:pPr>
        <w:pStyle w:val="BodyText"/>
        <w:spacing w:line="408" w:lineRule="auto"/>
        <w:ind w:right="1199"/>
        <w:jc w:val="left"/>
      </w:pPr>
      <w:r>
        <w:rPr/>
        <w:t>公司是否需遵守《深圳证券交易所行业信息披露指引第</w:t>
      </w:r>
      <w:r>
        <w:rPr>
          <w:spacing w:val="-53"/>
        </w:rPr>
        <w:t> </w:t>
      </w:r>
      <w:r>
        <w:rPr>
          <w:rFonts w:ascii="宋体" w:hAnsi="宋体" w:cs="宋体" w:eastAsia="宋体" w:hint="default"/>
        </w:rPr>
        <w:t>12</w:t>
      </w:r>
      <w:r>
        <w:rPr>
          <w:rFonts w:ascii="宋体" w:hAnsi="宋体" w:cs="宋体" w:eastAsia="宋体" w:hint="default"/>
          <w:spacing w:val="-54"/>
        </w:rPr>
        <w:t> </w:t>
      </w:r>
      <w:r>
        <w:rPr/>
        <w:t>号——上市公司从软件与信息技术服务业务》 的披露要求</w:t>
      </w:r>
      <w:r>
        <w:rPr>
          <w:rFonts w:ascii="宋体" w:hAnsi="宋体" w:cs="宋体" w:eastAsia="宋体" w:hint="default"/>
        </w:rPr>
        <w:t>:</w:t>
      </w:r>
      <w:r>
        <w:rPr/>
        <w:t>否</w:t>
      </w:r>
    </w:p>
    <w:p>
      <w:pPr>
        <w:spacing w:after="0" w:line="408" w:lineRule="auto"/>
        <w:jc w:val="left"/>
        <w:sectPr>
          <w:pgSz w:w="11910" w:h="16840"/>
          <w:pgMar w:header="877" w:footer="1000" w:top="1100" w:bottom="1180" w:left="980" w:right="0"/>
        </w:sectPr>
      </w:pPr>
    </w:p>
    <w:p>
      <w:pPr>
        <w:pStyle w:val="BodyText"/>
        <w:spacing w:line="240" w:lineRule="auto" w:before="9"/>
        <w:ind w:right="-20"/>
        <w:jc w:val="left"/>
      </w:pPr>
      <w:r>
        <w:rPr/>
        <w:t>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835" w:space="7085"/>
            <w:col w:w="2010"/>
          </w:cols>
        </w:sectPr>
      </w:pPr>
    </w:p>
    <w:p>
      <w:pPr>
        <w:spacing w:line="240" w:lineRule="auto" w:before="8"/>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242" w:hRule="exact"/>
        </w:trPr>
        <w:tc>
          <w:tcPr>
            <w:tcW w:w="1597"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189"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8"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56" w:hRule="exact"/>
        </w:trPr>
        <w:tc>
          <w:tcPr>
            <w:tcW w:w="1597" w:type="dxa"/>
            <w:vMerge w:val="restart"/>
            <w:tcBorders>
              <w:top w:val="nil" w:sz="6" w:space="0" w:color="auto"/>
              <w:left w:val="single" w:sz="12" w:space="0" w:color="000000"/>
              <w:right w:val="single" w:sz="6" w:space="0" w:color="000000"/>
            </w:tcBorders>
            <w:shd w:val="clear" w:color="auto" w:fill="D2D2D2"/>
          </w:tcPr>
          <w:p>
            <w:pPr/>
          </w:p>
        </w:tc>
        <w:tc>
          <w:tcPr>
            <w:tcW w:w="3189" w:type="dxa"/>
            <w:gridSpan w:val="2"/>
            <w:vMerge/>
            <w:tcBorders>
              <w:left w:val="single" w:sz="6" w:space="0" w:color="000000"/>
              <w:bottom w:val="single" w:sz="6" w:space="0" w:color="000000"/>
              <w:right w:val="single" w:sz="6" w:space="0" w:color="000000"/>
            </w:tcBorders>
            <w:shd w:val="clear" w:color="auto" w:fill="D2D2D2"/>
          </w:tcPr>
          <w:p>
            <w:pPr/>
          </w:p>
        </w:tc>
        <w:tc>
          <w:tcPr>
            <w:tcW w:w="3188" w:type="dxa"/>
            <w:gridSpan w:val="2"/>
            <w:vMerge/>
            <w:tcBorders>
              <w:left w:val="single" w:sz="6" w:space="0" w:color="000000"/>
              <w:bottom w:val="single" w:sz="6" w:space="0" w:color="000000"/>
              <w:right w:val="single" w:sz="6" w:space="0" w:color="000000"/>
            </w:tcBorders>
            <w:shd w:val="clear" w:color="auto" w:fill="D2D2D2"/>
          </w:tcPr>
          <w:p>
            <w:pPr/>
          </w:p>
        </w:tc>
        <w:tc>
          <w:tcPr>
            <w:tcW w:w="1594"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0"/>
              <w:ind w:left="4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56" w:hRule="exact"/>
        </w:trPr>
        <w:tc>
          <w:tcPr>
            <w:tcW w:w="1597" w:type="dxa"/>
            <w:vMerge/>
            <w:tcBorders>
              <w:left w:val="single" w:sz="12" w:space="0" w:color="000000"/>
              <w:bottom w:val="nil" w:sz="6" w:space="0" w:color="auto"/>
              <w:right w:val="single" w:sz="6" w:space="0" w:color="000000"/>
            </w:tcBorders>
            <w:shd w:val="clear" w:color="auto" w:fill="D2D2D2"/>
          </w:tcPr>
          <w:p>
            <w:pPr/>
          </w:p>
        </w:tc>
        <w:tc>
          <w:tcPr>
            <w:tcW w:w="15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6" w:space="0" w:color="000000"/>
              <w:bottom w:val="nil" w:sz="6" w:space="0" w:color="auto"/>
              <w:right w:val="single" w:sz="12" w:space="0" w:color="000000"/>
            </w:tcBorders>
            <w:shd w:val="clear" w:color="auto" w:fill="D2D2D2"/>
          </w:tcPr>
          <w:p>
            <w:pPr/>
          </w:p>
        </w:tc>
      </w:tr>
      <w:tr>
        <w:trPr>
          <w:trHeight w:val="256" w:hRule="exact"/>
        </w:trPr>
        <w:tc>
          <w:tcPr>
            <w:tcW w:w="1597"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94" w:type="dxa"/>
            <w:vMerge/>
            <w:tcBorders>
              <w:left w:val="single" w:sz="6" w:space="0" w:color="000000"/>
              <w:bottom w:val="single" w:sz="6" w:space="0" w:color="000000"/>
              <w:right w:val="single" w:sz="6" w:space="0" w:color="000000"/>
            </w:tcBorders>
            <w:shd w:val="clear" w:color="auto" w:fill="D2D2D2"/>
          </w:tcPr>
          <w:p>
            <w:pPr/>
          </w:p>
        </w:tc>
        <w:tc>
          <w:tcPr>
            <w:tcW w:w="1595" w:type="dxa"/>
            <w:vMerge/>
            <w:tcBorders>
              <w:left w:val="single" w:sz="6" w:space="0" w:color="000000"/>
              <w:bottom w:val="single" w:sz="6" w:space="0" w:color="000000"/>
              <w:right w:val="single" w:sz="6" w:space="0" w:color="000000"/>
            </w:tcBorders>
            <w:shd w:val="clear" w:color="auto" w:fill="D2D2D2"/>
          </w:tcPr>
          <w:p>
            <w:pPr/>
          </w:p>
        </w:tc>
        <w:tc>
          <w:tcPr>
            <w:tcW w:w="1594" w:type="dxa"/>
            <w:vMerge/>
            <w:tcBorders>
              <w:left w:val="single" w:sz="6" w:space="0" w:color="000000"/>
              <w:bottom w:val="single" w:sz="6" w:space="0" w:color="000000"/>
              <w:right w:val="single" w:sz="6" w:space="0" w:color="000000"/>
            </w:tcBorders>
            <w:shd w:val="clear" w:color="auto" w:fill="D2D2D2"/>
          </w:tcPr>
          <w:p>
            <w:pPr/>
          </w:p>
        </w:tc>
        <w:tc>
          <w:tcPr>
            <w:tcW w:w="1594" w:type="dxa"/>
            <w:vMerge/>
            <w:tcBorders>
              <w:left w:val="single" w:sz="6" w:space="0" w:color="000000"/>
              <w:bottom w:val="single" w:sz="6" w:space="0" w:color="000000"/>
              <w:right w:val="single" w:sz="6" w:space="0" w:color="000000"/>
            </w:tcBorders>
            <w:shd w:val="clear" w:color="auto" w:fill="D2D2D2"/>
          </w:tcPr>
          <w:p>
            <w:pPr/>
          </w:p>
        </w:tc>
        <w:tc>
          <w:tcPr>
            <w:tcW w:w="1594"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9" w:hRule="exact"/>
        </w:trPr>
        <w:tc>
          <w:tcPr>
            <w:tcW w:w="159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17" w:space="0" w:color="D2D2D2"/>
              <w:left w:val="single" w:sz="14" w:space="0" w:color="D2D2D2"/>
              <w:bottom w:val="single" w:sz="6" w:space="0" w:color="000000"/>
              <w:right w:val="single" w:sz="14" w:space="0" w:color="D2D2D2"/>
            </w:tcBorders>
          </w:tcPr>
          <w:p>
            <w:pPr>
              <w:pStyle w:val="TableParagraph"/>
              <w:spacing w:line="240" w:lineRule="auto" w:before="39"/>
              <w:ind w:right="7"/>
              <w:jc w:val="right"/>
              <w:rPr>
                <w:rFonts w:ascii="宋体" w:hAnsi="宋体" w:cs="宋体" w:eastAsia="宋体" w:hint="default"/>
                <w:sz w:val="18"/>
                <w:szCs w:val="18"/>
              </w:rPr>
            </w:pPr>
            <w:r>
              <w:rPr>
                <w:rFonts w:ascii="宋体"/>
                <w:sz w:val="18"/>
              </w:rPr>
              <w:t>435,931,413.33</w:t>
            </w:r>
          </w:p>
        </w:tc>
        <w:tc>
          <w:tcPr>
            <w:tcW w:w="15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18"/>
              <w:jc w:val="right"/>
              <w:rPr>
                <w:rFonts w:ascii="宋体" w:hAnsi="宋体" w:cs="宋体" w:eastAsia="宋体" w:hint="default"/>
                <w:sz w:val="18"/>
                <w:szCs w:val="18"/>
              </w:rPr>
            </w:pPr>
            <w:r>
              <w:rPr>
                <w:rFonts w:ascii="宋体"/>
                <w:sz w:val="18"/>
              </w:rPr>
              <w:t>100%</w:t>
            </w:r>
          </w:p>
        </w:tc>
        <w:tc>
          <w:tcPr>
            <w:tcW w:w="1594" w:type="dxa"/>
            <w:tcBorders>
              <w:top w:val="single" w:sz="17" w:space="0" w:color="D2D2D2"/>
              <w:left w:val="single" w:sz="14" w:space="0" w:color="D2D2D2"/>
              <w:bottom w:val="single" w:sz="6" w:space="0" w:color="000000"/>
              <w:right w:val="single" w:sz="14" w:space="0" w:color="D2D2D2"/>
            </w:tcBorders>
          </w:tcPr>
          <w:p>
            <w:pPr>
              <w:pStyle w:val="TableParagraph"/>
              <w:spacing w:line="240" w:lineRule="auto" w:before="39"/>
              <w:ind w:right="8"/>
              <w:jc w:val="right"/>
              <w:rPr>
                <w:rFonts w:ascii="宋体" w:hAnsi="宋体" w:cs="宋体" w:eastAsia="宋体" w:hint="default"/>
                <w:sz w:val="18"/>
                <w:szCs w:val="18"/>
              </w:rPr>
            </w:pPr>
            <w:r>
              <w:rPr>
                <w:rFonts w:ascii="宋体"/>
                <w:sz w:val="18"/>
              </w:rPr>
              <w:t>540,224,208.56</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18"/>
              <w:jc w:val="right"/>
              <w:rPr>
                <w:rFonts w:ascii="宋体" w:hAnsi="宋体" w:cs="宋体" w:eastAsia="宋体" w:hint="default"/>
                <w:sz w:val="18"/>
                <w:szCs w:val="18"/>
              </w:rPr>
            </w:pPr>
            <w:r>
              <w:rPr>
                <w:rFonts w:ascii="宋体"/>
                <w:sz w:val="18"/>
              </w:rPr>
              <w:t>100%</w:t>
            </w:r>
          </w:p>
        </w:tc>
        <w:tc>
          <w:tcPr>
            <w:tcW w:w="15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-19.31%</w:t>
            </w:r>
          </w:p>
        </w:tc>
      </w:tr>
      <w:tr>
        <w:trPr>
          <w:trHeight w:val="404"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5"/>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250"/>
              <w:jc w:val="right"/>
              <w:rPr>
                <w:rFonts w:ascii="宋体" w:hAnsi="宋体" w:cs="宋体" w:eastAsia="宋体" w:hint="default"/>
                <w:sz w:val="18"/>
                <w:szCs w:val="18"/>
              </w:rPr>
            </w:pPr>
            <w:r>
              <w:rPr>
                <w:rFonts w:ascii="宋体" w:hAnsi="宋体" w:cs="宋体" w:eastAsia="宋体" w:hint="default"/>
                <w:sz w:val="18"/>
                <w:szCs w:val="18"/>
              </w:rPr>
              <w:t>电力设备行业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428,207,473.66</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98.23%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528,723,540.39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97.87%</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-19.01%</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512" w:right="0"/>
              <w:jc w:val="left"/>
              <w:rPr>
                <w:rFonts w:ascii="宋体" w:hAnsi="宋体" w:cs="宋体" w:eastAsia="宋体" w:hint="default"/>
                <w:sz w:val="18"/>
                <w:szCs w:val="18"/>
              </w:rPr>
            </w:pPr>
            <w:r>
              <w:rPr>
                <w:rFonts w:ascii="宋体" w:hAnsi="宋体" w:cs="宋体" w:eastAsia="宋体" w:hint="default"/>
                <w:sz w:val="18"/>
                <w:szCs w:val="18"/>
              </w:rPr>
              <w:t>健康云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1,938,151.71</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0.44%</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100.00%</w:t>
            </w:r>
          </w:p>
        </w:tc>
      </w:tr>
      <w:tr>
        <w:trPr>
          <w:trHeight w:val="413"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250"/>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5,785,787.96</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1.33%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11,500,668.17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2.13%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-49.69%</w:t>
            </w:r>
          </w:p>
        </w:tc>
      </w:tr>
      <w:tr>
        <w:trPr>
          <w:trHeight w:val="412"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19" w:hRule="exact"/>
        </w:trPr>
        <w:tc>
          <w:tcPr>
            <w:tcW w:w="159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250"/>
              <w:jc w:val="right"/>
              <w:rPr>
                <w:rFonts w:ascii="宋体" w:hAnsi="宋体" w:cs="宋体" w:eastAsia="宋体" w:hint="default"/>
                <w:sz w:val="18"/>
                <w:szCs w:val="18"/>
              </w:rPr>
            </w:pPr>
            <w:r>
              <w:rPr>
                <w:rFonts w:ascii="宋体" w:hAnsi="宋体" w:cs="宋体" w:eastAsia="宋体" w:hint="default"/>
                <w:sz w:val="18"/>
                <w:szCs w:val="18"/>
              </w:rPr>
              <w:t>低压集抄系统</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191,443,497.63</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43.92%</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121,626,871.10</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22.51%</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57.40%</w:t>
            </w:r>
          </w:p>
        </w:tc>
      </w:tr>
    </w:tbl>
    <w:p>
      <w:pPr>
        <w:spacing w:after="0" w:line="240" w:lineRule="auto"/>
        <w:jc w:val="right"/>
        <w:rPr>
          <w:rFonts w:ascii="宋体" w:hAnsi="宋体" w:cs="宋体" w:eastAsia="宋体" w:hint="default"/>
          <w:sz w:val="18"/>
          <w:szCs w:val="18"/>
        </w:rPr>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419" w:hRule="exact"/>
        </w:trPr>
        <w:tc>
          <w:tcPr>
            <w:tcW w:w="1597" w:type="dxa"/>
            <w:vMerge w:val="restart"/>
            <w:tcBorders>
              <w:top w:val="single" w:sz="12" w:space="0" w:color="000000"/>
              <w:left w:val="single" w:sz="12" w:space="0" w:color="000000"/>
              <w:right w:val="single" w:sz="6" w:space="0" w:color="000000"/>
            </w:tcBorders>
            <w:shd w:val="clear" w:color="auto" w:fill="D2D2D2"/>
          </w:tcPr>
          <w:p>
            <w:pPr/>
          </w:p>
        </w:tc>
        <w:tc>
          <w:tcPr>
            <w:tcW w:w="3189" w:type="dxa"/>
            <w:gridSpan w:val="2"/>
            <w:tcBorders>
              <w:top w:val="single" w:sz="12" w:space="0" w:color="000000"/>
              <w:left w:val="single" w:sz="6" w:space="0" w:color="000000"/>
              <w:bottom w:val="single" w:sz="6" w:space="0" w:color="FFFFFF"/>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8" w:type="dxa"/>
            <w:gridSpan w:val="2"/>
            <w:tcBorders>
              <w:top w:val="single" w:sz="12" w:space="0" w:color="000000"/>
              <w:left w:val="single" w:sz="6" w:space="0" w:color="000000"/>
              <w:bottom w:val="single" w:sz="6" w:space="0" w:color="FFFFFF"/>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12" w:hRule="exact"/>
        </w:trPr>
        <w:tc>
          <w:tcPr>
            <w:tcW w:w="1597" w:type="dxa"/>
            <w:vMerge/>
            <w:tcBorders>
              <w:left w:val="single" w:sz="12" w:space="0" w:color="000000"/>
              <w:bottom w:val="single" w:sz="6" w:space="0" w:color="000000"/>
              <w:right w:val="single" w:sz="6" w:space="0" w:color="000000"/>
            </w:tcBorders>
            <w:shd w:val="clear" w:color="auto" w:fill="D2D2D2"/>
          </w:tcPr>
          <w:p>
            <w:pPr/>
          </w:p>
        </w:tc>
        <w:tc>
          <w:tcPr>
            <w:tcW w:w="1594"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6" w:space="0" w:color="000000"/>
              <w:bottom w:val="single" w:sz="6" w:space="0" w:color="000000"/>
              <w:right w:val="single" w:sz="12" w:space="0" w:color="000000"/>
            </w:tcBorders>
            <w:shd w:val="clear" w:color="auto" w:fill="D2D2D2"/>
          </w:tcPr>
          <w:p>
            <w:pPr/>
          </w:p>
        </w:tc>
      </w:tr>
      <w:tr>
        <w:trPr>
          <w:trHeight w:val="413"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配电终端</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13,110,882.96</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13,833,680.68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2.56%</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-5.22%</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专变采集终端</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20,791,031.33</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4.77%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53,303,813.66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9.87%</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-61.00%</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电能计量表箱</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113,473,761.44</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26.03%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220,393,390.01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40.80%</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-48.51%</w:t>
            </w:r>
          </w:p>
        </w:tc>
      </w:tr>
      <w:tr>
        <w:trPr>
          <w:trHeight w:val="413"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高低压成套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47,988,240.41</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11.01%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75,137,785.44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13.91%</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-36.13%</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改性材料</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13,577.58</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857,264.99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0.16%</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-98.42%</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电力工程设计</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20,128,455.37</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4.62%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12,057,591.27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66.94%</w:t>
            </w:r>
          </w:p>
        </w:tc>
      </w:tr>
      <w:tr>
        <w:trPr>
          <w:trHeight w:val="413"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23,196,178.65</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5.31%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31,513,143.24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5.83%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-26.39%</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5,785,787.96</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11,500,668.17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-49.69%</w:t>
            </w:r>
          </w:p>
        </w:tc>
      </w:tr>
      <w:tr>
        <w:trPr>
          <w:trHeight w:val="412"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13"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40,658,732.76</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9.33%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45,552,144.27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8.43%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-10.74%</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234,087,162.36</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53.70%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227,832,963.06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42.17%</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2.75%</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32,031,462.31</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7.35%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91,905,675.75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17.01%</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-65.15%</w:t>
            </w:r>
          </w:p>
        </w:tc>
      </w:tr>
      <w:tr>
        <w:trPr>
          <w:trHeight w:val="413"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95,388,918.26</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21.88%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138,618,192.05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25.66%</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-31.19%</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25,039,963.78</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5.74%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25,223,089.60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4.67%</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-0.73%</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8,725,173.86</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10,967,613.94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-20.45%</w:t>
            </w:r>
          </w:p>
        </w:tc>
      </w:tr>
      <w:tr>
        <w:trPr>
          <w:trHeight w:val="421" w:hRule="exact"/>
        </w:trPr>
        <w:tc>
          <w:tcPr>
            <w:tcW w:w="159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6" w:space="0" w:color="000000"/>
              <w:left w:val="single" w:sz="6" w:space="0" w:color="000000"/>
              <w:bottom w:val="single" w:sz="12" w:space="0" w:color="000000"/>
              <w:right w:val="single" w:sz="6" w:space="0" w:color="000000"/>
            </w:tcBorders>
          </w:tcPr>
          <w:p>
            <w:pPr/>
          </w:p>
        </w:tc>
        <w:tc>
          <w:tcPr>
            <w:tcW w:w="1595"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124,529.89</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0.02%</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-100.00%</w:t>
            </w:r>
          </w:p>
        </w:tc>
      </w:tr>
    </w:tbl>
    <w:p>
      <w:pPr>
        <w:pStyle w:val="Heading4"/>
        <w:spacing w:line="240" w:lineRule="auto" w:before="63"/>
        <w:ind w:right="1122"/>
        <w:jc w:val="left"/>
        <w:rPr>
          <w:b w:val="0"/>
          <w:bCs w:val="0"/>
        </w:rPr>
      </w:pPr>
      <w:bookmarkStart w:name="（2）占公司营业收入或营业利润10%以上的行业、产品或地区情况" w:id="29"/>
      <w:bookmarkEnd w:id="29"/>
      <w:r>
        <w:rPr>
          <w:b w:val="0"/>
          <w:bCs w:val="0"/>
        </w:rPr>
      </w:r>
      <w:r>
        <w:rPr/>
        <w:t>（</w:t>
      </w:r>
      <w:r>
        <w:rPr>
          <w:rFonts w:ascii="宋体" w:hAnsi="宋体" w:cs="宋体" w:eastAsia="宋体" w:hint="default"/>
        </w:rPr>
        <w:t>2</w:t>
      </w:r>
      <w:r>
        <w:rPr/>
        <w:t>）占公司营业收入或营业利润</w:t>
      </w:r>
      <w:r>
        <w:rPr>
          <w:spacing w:val="-60"/>
        </w:rPr>
        <w:t> </w:t>
      </w:r>
      <w:r>
        <w:rPr>
          <w:rFonts w:ascii="宋体" w:hAnsi="宋体" w:cs="宋体" w:eastAsia="宋体" w:hint="default"/>
        </w:rPr>
        <w:t>10%</w:t>
      </w:r>
      <w:r>
        <w:rPr/>
        <w:t>以上的行业、产品或地区情况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6867"/>
        <w:jc w:val="left"/>
      </w:pPr>
      <w:r>
        <w:rPr/>
        <w:t>√ 适用 □</w:t>
      </w:r>
      <w:r>
        <w:rPr>
          <w:spacing w:val="-1"/>
        </w:rPr>
        <w:t> </w:t>
      </w:r>
      <w:r>
        <w:rPr/>
        <w:t>不适用</w:t>
      </w:r>
      <w:r>
        <w:rPr/>
        <w:t> 公司是否需要遵守特殊行业的披露要求</w:t>
      </w:r>
      <w:r>
        <w:rPr>
          <w:rFonts w:ascii="宋体" w:hAnsi="宋体" w:cs="宋体" w:eastAsia="宋体" w:hint="default"/>
        </w:rPr>
        <w:t>:</w:t>
      </w:r>
      <w:r>
        <w:rPr/>
        <w:t>否</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8"/>
        <w:gridCol w:w="1367"/>
        <w:gridCol w:w="1366"/>
        <w:gridCol w:w="1367"/>
        <w:gridCol w:w="1367"/>
        <w:gridCol w:w="1367"/>
        <w:gridCol w:w="1371"/>
      </w:tblGrid>
      <w:tr>
        <w:trPr>
          <w:trHeight w:val="647"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315" w:right="44"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317" w:right="45"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409" w:right="37"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12"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12"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428,207,473.66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281,221,822.53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34.33%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-19.01%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-24.10%</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4.40%</w:t>
            </w:r>
          </w:p>
        </w:tc>
      </w:tr>
      <w:tr>
        <w:trPr>
          <w:trHeight w:val="412"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13"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低压集抄系统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191,443,497.63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117,337,683.91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38.71%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57.40%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36.22%</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9.53%</w:t>
            </w:r>
          </w:p>
        </w:tc>
      </w:tr>
      <w:tr>
        <w:trPr>
          <w:trHeight w:val="412"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电能计量表箱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113,473,761.44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83,694,184.55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-48.51%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-49.60%</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1.59%</w:t>
            </w:r>
          </w:p>
        </w:tc>
      </w:tr>
      <w:tr>
        <w:trPr>
          <w:trHeight w:val="412"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高低压成套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47,988,240.41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34,499,849.29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28.11%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-36.13%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-25.84%</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-9.98%</w:t>
            </w:r>
          </w:p>
        </w:tc>
      </w:tr>
      <w:tr>
        <w:trPr>
          <w:trHeight w:val="413"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12"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234,087,162.36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135,097,270.61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42.29%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-6.80%</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5.91%</w:t>
            </w:r>
          </w:p>
        </w:tc>
      </w:tr>
      <w:tr>
        <w:trPr>
          <w:trHeight w:val="419"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95,388,918.26</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66,111,428.22</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30.69%</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-31.19%</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-27.92%</w:t>
            </w:r>
          </w:p>
        </w:tc>
        <w:tc>
          <w:tcPr>
            <w:tcW w:w="13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-3.14%</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14"/>
        <w:jc w:val="left"/>
      </w:pPr>
      <w:r>
        <w:rPr/>
        <w:t>公司主营业务数据统计口径在报告期发生调整的情况下，公司最近</w:t>
      </w:r>
      <w:r>
        <w:rPr>
          <w:spacing w:val="-63"/>
        </w:rPr>
        <w:t> </w:t>
      </w:r>
      <w:r>
        <w:rPr>
          <w:rFonts w:ascii="宋体" w:hAnsi="宋体" w:cs="宋体" w:eastAsia="宋体" w:hint="default"/>
        </w:rPr>
        <w:t>1</w:t>
      </w:r>
      <w:r>
        <w:rPr>
          <w:rFonts w:ascii="宋体" w:hAnsi="宋体" w:cs="宋体" w:eastAsia="宋体" w:hint="default"/>
          <w:spacing w:val="-64"/>
        </w:rPr>
        <w:t> </w:t>
      </w:r>
      <w:r>
        <w:rPr/>
        <w:t>年按报告期末口径调整后的主营业务 数据</w:t>
      </w:r>
    </w:p>
    <w:p>
      <w:pPr>
        <w:pStyle w:val="BodyText"/>
        <w:spacing w:line="240" w:lineRule="auto"/>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3）公司实物销售收入是否大于劳务收入" w:id="30"/>
      <w:bookmarkEnd w:id="30"/>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是 □ 否</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607"/>
        <w:gridCol w:w="1573"/>
        <w:gridCol w:w="1605"/>
        <w:gridCol w:w="1594"/>
        <w:gridCol w:w="1594"/>
        <w:gridCol w:w="1594"/>
      </w:tblGrid>
      <w:tr>
        <w:trPr>
          <w:trHeight w:val="415" w:hRule="exact"/>
        </w:trPr>
        <w:tc>
          <w:tcPr>
            <w:tcW w:w="160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电能计量箱</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457,065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1,034,830</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-55.83%</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468,305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1,024,860</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-54.31%</w:t>
            </w:r>
          </w:p>
        </w:tc>
      </w:tr>
      <w:tr>
        <w:trPr>
          <w:trHeight w:val="407"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18,945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7,705</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145.88%</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高低压成套</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1,158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9,349</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-87.61%</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1,224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9,454</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-87.05%</w:t>
            </w:r>
          </w:p>
        </w:tc>
      </w:tr>
      <w:tr>
        <w:trPr>
          <w:trHeight w:val="408"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191</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34.55%</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改性材料</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千克</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64,996</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-97.69%</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千克</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64,996</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-97.69%</w:t>
            </w:r>
          </w:p>
        </w:tc>
      </w:tr>
      <w:tr>
        <w:trPr>
          <w:trHeight w:val="407"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千克</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低压集抄终端</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767,027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559,889</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37.00%</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773,436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565,207</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36.84%</w:t>
            </w:r>
          </w:p>
        </w:tc>
      </w:tr>
      <w:tr>
        <w:trPr>
          <w:trHeight w:val="408"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23,508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17,099</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37.48%</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专变采集终端</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30,799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82,652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-62.74%</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30,850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82,683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-62.69%</w:t>
            </w:r>
          </w:p>
        </w:tc>
      </w:tr>
      <w:tr>
        <w:trPr>
          <w:trHeight w:val="407"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1,210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1,159</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4.40%</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手持抄表终端</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-63.64%</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359</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08"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711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719</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-1.11%</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配电终端</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20,214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34,342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-41.14%</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19,857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34,742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-42.84%</w:t>
            </w:r>
          </w:p>
        </w:tc>
      </w:tr>
      <w:tr>
        <w:trPr>
          <w:trHeight w:val="415" w:hRule="exact"/>
        </w:trPr>
        <w:tc>
          <w:tcPr>
            <w:tcW w:w="1607" w:type="dxa"/>
            <w:vMerge/>
            <w:tcBorders>
              <w:left w:val="single" w:sz="12" w:space="0" w:color="000000"/>
              <w:bottom w:val="single" w:sz="12" w:space="0" w:color="000000"/>
              <w:right w:val="single" w:sz="14" w:space="0" w:color="D2D2D2"/>
            </w:tcBorders>
          </w:tcPr>
          <w:p>
            <w:pPr/>
          </w:p>
        </w:tc>
        <w:tc>
          <w:tcPr>
            <w:tcW w:w="157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166</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523</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-68.26%</w:t>
            </w:r>
          </w:p>
        </w:tc>
      </w:tr>
    </w:tbl>
    <w:p>
      <w:pPr>
        <w:pStyle w:val="BodyText"/>
        <w:spacing w:line="240" w:lineRule="auto" w:before="63"/>
        <w:ind w:right="1122"/>
        <w:jc w:val="left"/>
      </w:pPr>
      <w:r>
        <w:rPr/>
        <w:t>相关数据同比发生变动</w:t>
      </w:r>
      <w:r>
        <w:rPr>
          <w:spacing w:val="-54"/>
        </w:rPr>
        <w:t> </w:t>
      </w:r>
      <w:r>
        <w:rPr>
          <w:rFonts w:ascii="宋体" w:hAnsi="宋体" w:cs="宋体" w:eastAsia="宋体" w:hint="default"/>
        </w:rPr>
        <w:t>30%</w:t>
      </w:r>
      <w:r>
        <w:rPr/>
        <w:t>以上的原因说明</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037" w:firstLine="420"/>
        <w:jc w:val="both"/>
      </w:pPr>
      <w:bookmarkStart w:name="①电能计量箱、高低压成套、专变采集终端、手持抄表终端、配电终端的产销均下降，主要" w:id="31"/>
      <w:bookmarkEnd w:id="31"/>
      <w:r>
        <w:rPr/>
      </w:r>
      <w:r>
        <w:rPr/>
        <w:t>①电能计量箱、高低压成套、专变采集终端、手持抄表终端、配电终端的产销均下降，主要是国网、 省网公司招标减少所致。</w:t>
      </w:r>
    </w:p>
    <w:p>
      <w:pPr>
        <w:pStyle w:val="BodyText"/>
        <w:spacing w:line="240" w:lineRule="auto"/>
        <w:ind w:left="574" w:right="1122"/>
        <w:jc w:val="left"/>
      </w:pPr>
      <w:bookmarkStart w:name="②改性材料产销下降，主要是客户需求所致。" w:id="32"/>
      <w:bookmarkEnd w:id="32"/>
      <w:r>
        <w:rPr/>
      </w:r>
      <w:r>
        <w:rPr/>
        <w:t>②改性材料产销下降，主要是客户需求所致。</w:t>
      </w:r>
    </w:p>
    <w:p>
      <w:pPr>
        <w:spacing w:line="240" w:lineRule="auto" w:before="10"/>
        <w:rPr>
          <w:rFonts w:ascii="宋体" w:hAnsi="宋体" w:cs="宋体" w:eastAsia="宋体" w:hint="default"/>
          <w:sz w:val="14"/>
          <w:szCs w:val="14"/>
        </w:rPr>
      </w:pPr>
    </w:p>
    <w:p>
      <w:pPr>
        <w:pStyle w:val="BodyText"/>
        <w:spacing w:line="408" w:lineRule="auto" w:before="0"/>
        <w:ind w:right="1129" w:firstLine="420"/>
        <w:jc w:val="both"/>
      </w:pPr>
      <w:bookmarkStart w:name="③低压集抄终端产销存均有所上涨，主要是报告期执行了较多的前期中标合同，另外本报告" w:id="33"/>
      <w:bookmarkEnd w:id="33"/>
      <w:r>
        <w:rPr/>
      </w:r>
      <w:r>
        <w:rPr/>
        <w:t>③低压集抄终端产销存均有所上涨，主要是报告期执行了较多的前期中标合同，另外本报告期</w:t>
      </w:r>
      <w:r>
        <w:rPr>
          <w:spacing w:val="-63"/>
        </w:rPr>
        <w:t> </w:t>
      </w:r>
      <w:r>
        <w:rPr>
          <w:rFonts w:ascii="宋体" w:hAnsi="宋体" w:cs="宋体" w:eastAsia="宋体" w:hint="default"/>
        </w:rPr>
        <w:t>OEM</w:t>
      </w:r>
      <w:r>
        <w:rPr>
          <w:rFonts w:ascii="宋体" w:hAnsi="宋体" w:cs="宋体" w:eastAsia="宋体" w:hint="default"/>
          <w:spacing w:val="-63"/>
        </w:rPr>
        <w:t> </w:t>
      </w:r>
      <w:r>
        <w:rPr/>
        <w:t>合 同执行较上年同期增加综合导致。</w:t>
      </w:r>
    </w:p>
    <w:p>
      <w:pPr>
        <w:pStyle w:val="Heading4"/>
        <w:spacing w:line="240" w:lineRule="auto" w:before="46"/>
        <w:ind w:right="1122"/>
        <w:jc w:val="left"/>
        <w:rPr>
          <w:b w:val="0"/>
          <w:bCs w:val="0"/>
        </w:rPr>
      </w:pPr>
      <w:bookmarkStart w:name="（4）公司已签订的重大销售合同截至本报告期的履行情况" w:id="34"/>
      <w:bookmarkEnd w:id="34"/>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7" w:right="1122" w:hanging="424"/>
        <w:jc w:val="left"/>
      </w:pPr>
      <w:r>
        <w:rPr/>
        <w:t>√ 适用 □</w:t>
      </w:r>
      <w:r>
        <w:rPr>
          <w:spacing w:val="-1"/>
        </w:rPr>
        <w:t> </w:t>
      </w:r>
      <w:r>
        <w:rPr/>
        <w:t>不适用</w:t>
      </w:r>
      <w:r>
        <w:rPr/>
        <w:t> </w:t>
      </w:r>
      <w:r>
        <w:rPr>
          <w:rFonts w:ascii="宋体" w:hAnsi="宋体" w:cs="宋体" w:eastAsia="宋体" w:hint="default"/>
          <w:spacing w:val="5"/>
        </w:rPr>
        <w:t>2018</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31</w:t>
      </w:r>
      <w:r>
        <w:rPr>
          <w:spacing w:val="5"/>
        </w:rPr>
        <w:t>日，在国家电网公司</w:t>
      </w:r>
      <w:r>
        <w:rPr>
          <w:rFonts w:ascii="宋体" w:hAnsi="宋体" w:cs="宋体" w:eastAsia="宋体" w:hint="default"/>
          <w:spacing w:val="5"/>
        </w:rPr>
        <w:t>2018</w:t>
      </w:r>
      <w:r>
        <w:rPr>
          <w:spacing w:val="5"/>
        </w:rPr>
        <w:t>年第一次电能表及用电信息采集设备招标采购（招标编号：</w:t>
      </w:r>
      <w:r>
        <w:rPr/>
      </w:r>
    </w:p>
    <w:p>
      <w:pPr>
        <w:pStyle w:val="BodyText"/>
        <w:spacing w:line="408" w:lineRule="auto"/>
        <w:ind w:right="0"/>
        <w:jc w:val="left"/>
      </w:pPr>
      <w:r>
        <w:rPr>
          <w:rFonts w:ascii="宋体" w:hAnsi="宋体" w:cs="宋体" w:eastAsia="宋体" w:hint="default"/>
        </w:rPr>
        <w:t>0711-18OTL03522000</w:t>
      </w:r>
      <w:r>
        <w:rPr/>
        <w:t>）中，公司中标金额为</w:t>
      </w:r>
      <w:r>
        <w:rPr>
          <w:rFonts w:ascii="宋体" w:hAnsi="宋体" w:cs="宋体" w:eastAsia="宋体" w:hint="default"/>
        </w:rPr>
        <w:t>4,630.26</w:t>
      </w:r>
      <w:r>
        <w:rPr/>
        <w:t>万元。截至报告期末，中标形成的订单正在执行中，</w:t>
      </w:r>
      <w:r>
        <w:rPr>
          <w:spacing w:val="-34"/>
        </w:rPr>
        <w:t> </w:t>
      </w:r>
      <w:r>
        <w:rPr>
          <w:spacing w:val="-34"/>
        </w:rPr>
      </w:r>
      <w:r>
        <w:rPr/>
        <w:t>尚未执行完毕。</w:t>
      </w:r>
    </w:p>
    <w:p>
      <w:pPr>
        <w:pStyle w:val="BodyText"/>
        <w:spacing w:line="408" w:lineRule="auto"/>
        <w:ind w:right="1137" w:firstLine="423"/>
        <w:jc w:val="both"/>
      </w:pP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30</w:t>
      </w:r>
      <w:r>
        <w:rPr/>
        <w:t>日，在国网福建省电力有限公司</w:t>
      </w:r>
      <w:r>
        <w:rPr>
          <w:rFonts w:ascii="宋体" w:hAnsi="宋体" w:cs="宋体" w:eastAsia="宋体" w:hint="default"/>
        </w:rPr>
        <w:t>2018</w:t>
      </w:r>
      <w:r>
        <w:rPr/>
        <w:t>年用电信息采集本地通信单元协议库存物资招标采 购（招标编号：</w:t>
      </w:r>
      <w:r>
        <w:rPr>
          <w:rFonts w:ascii="宋体" w:hAnsi="宋体" w:cs="宋体" w:eastAsia="宋体" w:hint="default"/>
        </w:rPr>
        <w:t>XMZB-WZ18CJ</w:t>
      </w:r>
      <w:r>
        <w:rPr/>
        <w:t>）中，公司中标金额为</w:t>
      </w:r>
      <w:r>
        <w:rPr>
          <w:rFonts w:ascii="宋体" w:hAnsi="宋体" w:cs="宋体" w:eastAsia="宋体" w:hint="default"/>
        </w:rPr>
        <w:t>1,375.07</w:t>
      </w:r>
      <w:r>
        <w:rPr/>
        <w:t>万元。截至报告期末，中标形成的订单正在</w:t>
      </w:r>
      <w:r>
        <w:rPr>
          <w:spacing w:val="-34"/>
        </w:rPr>
        <w:t> </w:t>
      </w:r>
      <w:r>
        <w:rPr>
          <w:spacing w:val="-34"/>
        </w:rPr>
      </w:r>
      <w:r>
        <w:rPr/>
        <w:t>执行中，尚未执行完毕。</w:t>
      </w:r>
    </w:p>
    <w:p>
      <w:pPr>
        <w:pStyle w:val="BodyText"/>
        <w:spacing w:line="408" w:lineRule="auto"/>
        <w:ind w:right="1131" w:firstLine="423"/>
        <w:jc w:val="both"/>
      </w:pPr>
      <w:r>
        <w:rPr>
          <w:rFonts w:ascii="宋体" w:hAnsi="宋体" w:cs="宋体" w:eastAsia="宋体" w:hint="default"/>
          <w:spacing w:val="-1"/>
        </w:rPr>
        <w:t>2018</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15</w:t>
      </w:r>
      <w:r>
        <w:rPr>
          <w:spacing w:val="-1"/>
        </w:rPr>
        <w:t>日，在国网甘肃省电力公司</w:t>
      </w:r>
      <w:r>
        <w:rPr>
          <w:rFonts w:ascii="宋体" w:hAnsi="宋体" w:cs="宋体" w:eastAsia="宋体" w:hint="default"/>
          <w:spacing w:val="-1"/>
        </w:rPr>
        <w:t>2018</w:t>
      </w:r>
      <w:r>
        <w:rPr>
          <w:spacing w:val="-1"/>
        </w:rPr>
        <w:t>年第三次配网（居配工程）协议库存招标采购（招标编</w:t>
      </w:r>
      <w:r>
        <w:rPr/>
        <w:t> </w:t>
      </w:r>
      <w:r>
        <w:rPr>
          <w:spacing w:val="-1"/>
        </w:rPr>
        <w:t>号：</w:t>
      </w:r>
      <w:r>
        <w:rPr>
          <w:rFonts w:ascii="宋体" w:hAnsi="宋体" w:cs="宋体" w:eastAsia="宋体" w:hint="default"/>
          <w:spacing w:val="-1"/>
        </w:rPr>
        <w:t>GW271843</w:t>
      </w:r>
      <w:r>
        <w:rPr>
          <w:spacing w:val="-1"/>
        </w:rPr>
        <w:t>）中，公司中标金额为</w:t>
      </w:r>
      <w:r>
        <w:rPr>
          <w:rFonts w:ascii="宋体" w:hAnsi="宋体" w:cs="宋体" w:eastAsia="宋体" w:hint="default"/>
          <w:spacing w:val="-1"/>
        </w:rPr>
        <w:t>1,058.77</w:t>
      </w:r>
      <w:r>
        <w:rPr>
          <w:spacing w:val="-1"/>
        </w:rPr>
        <w:t>万元。截至报告期末，中标形成的订单正在执行中，尚未执</w:t>
      </w:r>
      <w:r>
        <w:rPr>
          <w:spacing w:val="-78"/>
        </w:rPr>
        <w:t> </w:t>
      </w:r>
      <w:r>
        <w:rPr>
          <w:spacing w:val="-78"/>
        </w:rPr>
      </w:r>
      <w:r>
        <w:rPr/>
        <w:t>行完毕。</w:t>
      </w:r>
    </w:p>
    <w:p>
      <w:pPr>
        <w:pStyle w:val="BodyText"/>
        <w:spacing w:line="240" w:lineRule="auto"/>
        <w:ind w:left="577" w:right="0"/>
        <w:jc w:val="left"/>
      </w:pP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15</w:t>
      </w:r>
      <w:r>
        <w:rPr>
          <w:spacing w:val="-3"/>
        </w:rPr>
        <w:t>日，在国家电网有限公司</w:t>
      </w:r>
      <w:r>
        <w:rPr>
          <w:rFonts w:ascii="宋体" w:hAnsi="宋体" w:cs="宋体" w:eastAsia="宋体" w:hint="default"/>
          <w:spacing w:val="-3"/>
        </w:rPr>
        <w:t>2018</w:t>
      </w:r>
      <w:r>
        <w:rPr>
          <w:spacing w:val="-3"/>
        </w:rPr>
        <w:t>年第二次电能表及用电信息采集设备招标采购（招标编号：</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rFonts w:ascii="宋体" w:hAnsi="宋体" w:cs="宋体" w:eastAsia="宋体" w:hint="default"/>
        </w:rPr>
        <w:t>0711-18OTL03622000</w:t>
      </w:r>
      <w:r>
        <w:rPr/>
        <w:t>）中，公司中标金额为</w:t>
      </w:r>
      <w:r>
        <w:rPr>
          <w:rFonts w:ascii="宋体" w:hAnsi="宋体" w:cs="宋体" w:eastAsia="宋体" w:hint="default"/>
        </w:rPr>
        <w:t>5,721.25</w:t>
      </w:r>
      <w:r>
        <w:rPr/>
        <w:t>万元。截至报告期末，中标形成的订单正在执行中，</w:t>
      </w:r>
      <w:r>
        <w:rPr>
          <w:spacing w:val="-34"/>
        </w:rPr>
        <w:t> </w:t>
      </w:r>
      <w:r>
        <w:rPr>
          <w:spacing w:val="-34"/>
        </w:rPr>
      </w:r>
      <w:r>
        <w:rPr/>
        <w:t>尚未执行完毕。</w:t>
      </w:r>
    </w:p>
    <w:p>
      <w:pPr>
        <w:spacing w:line="408" w:lineRule="auto" w:before="46"/>
        <w:ind w:left="154" w:right="8960" w:firstLine="0"/>
        <w:jc w:val="left"/>
        <w:rPr>
          <w:rFonts w:ascii="宋体" w:hAnsi="宋体" w:cs="宋体" w:eastAsia="宋体" w:hint="default"/>
          <w:sz w:val="21"/>
          <w:szCs w:val="21"/>
        </w:rPr>
      </w:pPr>
      <w:bookmarkStart w:name="（5）营业成本构成" w:id="35"/>
      <w:bookmarkEnd w:id="35"/>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b/>
          <w:bCs/>
          <w:w w:val="99"/>
          <w:sz w:val="21"/>
          <w:szCs w:val="21"/>
        </w:rPr>
        <w:t> </w:t>
      </w:r>
      <w:r>
        <w:rPr>
          <w:rFonts w:ascii="宋体" w:hAnsi="宋体" w:cs="宋体" w:eastAsia="宋体" w:hint="default"/>
          <w:sz w:val="21"/>
          <w:szCs w:val="21"/>
        </w:rPr>
        <w:t>行业分类</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370"/>
        <w:gridCol w:w="1608"/>
        <w:gridCol w:w="1419"/>
        <w:gridCol w:w="1416"/>
        <w:gridCol w:w="1419"/>
        <w:gridCol w:w="1417"/>
        <w:gridCol w:w="923"/>
      </w:tblGrid>
      <w:tr>
        <w:trPr>
          <w:trHeight w:val="419" w:hRule="exact"/>
        </w:trPr>
        <w:tc>
          <w:tcPr>
            <w:tcW w:w="1370"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608"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12" w:space="0" w:color="000000"/>
              <w:left w:val="single" w:sz="6" w:space="0" w:color="000000"/>
              <w:bottom w:val="single" w:sz="6" w:space="0" w:color="FFFFFF"/>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36" w:type="dxa"/>
            <w:gridSpan w:val="2"/>
            <w:tcBorders>
              <w:top w:val="single" w:sz="12" w:space="0" w:color="000000"/>
              <w:left w:val="single" w:sz="6" w:space="0" w:color="000000"/>
              <w:bottom w:val="single" w:sz="6" w:space="0" w:color="FFFFFF"/>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23"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12" w:hRule="exact"/>
        </w:trPr>
        <w:tc>
          <w:tcPr>
            <w:tcW w:w="1370" w:type="dxa"/>
            <w:vMerge/>
            <w:tcBorders>
              <w:left w:val="single" w:sz="12" w:space="0" w:color="000000"/>
              <w:bottom w:val="single" w:sz="6" w:space="0" w:color="000000"/>
              <w:right w:val="single" w:sz="6" w:space="0" w:color="000000"/>
            </w:tcBorders>
            <w:shd w:val="clear" w:color="auto" w:fill="D2D2D2"/>
          </w:tcPr>
          <w:p>
            <w:pPr/>
          </w:p>
        </w:tc>
        <w:tc>
          <w:tcPr>
            <w:tcW w:w="1608" w:type="dxa"/>
            <w:vMerge/>
            <w:tcBorders>
              <w:left w:val="single" w:sz="6" w:space="0" w:color="000000"/>
              <w:bottom w:val="single" w:sz="6" w:space="0" w:color="000000"/>
              <w:right w:val="single" w:sz="6" w:space="0" w:color="000000"/>
            </w:tcBorders>
            <w:shd w:val="clear" w:color="auto" w:fill="D2D2D2"/>
          </w:tcPr>
          <w:p>
            <w:pPr/>
          </w:p>
        </w:tc>
        <w:tc>
          <w:tcPr>
            <w:tcW w:w="1419"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right="6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9"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right="7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23" w:type="dxa"/>
            <w:vMerge/>
            <w:tcBorders>
              <w:left w:val="single" w:sz="6" w:space="0" w:color="000000"/>
              <w:bottom w:val="single" w:sz="6" w:space="0" w:color="000000"/>
              <w:right w:val="single" w:sz="12" w:space="0" w:color="000000"/>
            </w:tcBorders>
            <w:shd w:val="clear" w:color="auto" w:fill="D2D2D2"/>
          </w:tcPr>
          <w:p>
            <w:pP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175,423,883.92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61.43%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2" w:right="0"/>
              <w:jc w:val="center"/>
              <w:rPr>
                <w:rFonts w:ascii="宋体" w:hAnsi="宋体" w:cs="宋体" w:eastAsia="宋体" w:hint="default"/>
                <w:sz w:val="18"/>
                <w:szCs w:val="18"/>
              </w:rPr>
            </w:pPr>
            <w:r>
              <w:rPr>
                <w:rFonts w:ascii="宋体"/>
                <w:sz w:val="18"/>
              </w:rPr>
              <w:t>263,313,541.09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69.69%</w:t>
            </w:r>
          </w:p>
        </w:tc>
        <w:tc>
          <w:tcPr>
            <w:tcW w:w="9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-8.26%</w:t>
            </w:r>
          </w:p>
        </w:tc>
      </w:tr>
      <w:tr>
        <w:trPr>
          <w:trHeight w:val="413"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17,040,110.59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5.97%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2" w:right="0"/>
              <w:jc w:val="center"/>
              <w:rPr>
                <w:rFonts w:ascii="宋体" w:hAnsi="宋体" w:cs="宋体" w:eastAsia="宋体" w:hint="default"/>
                <w:sz w:val="18"/>
                <w:szCs w:val="18"/>
              </w:rPr>
            </w:pPr>
            <w:r>
              <w:rPr>
                <w:rFonts w:ascii="宋体"/>
                <w:sz w:val="18"/>
              </w:rPr>
              <w:t>14,029,023.59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3.71%</w:t>
            </w:r>
          </w:p>
        </w:tc>
        <w:tc>
          <w:tcPr>
            <w:tcW w:w="9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2.26%</w:t>
            </w: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17,605,715.64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2" w:right="0"/>
              <w:jc w:val="center"/>
              <w:rPr>
                <w:rFonts w:ascii="宋体" w:hAnsi="宋体" w:cs="宋体" w:eastAsia="宋体" w:hint="default"/>
                <w:sz w:val="18"/>
                <w:szCs w:val="18"/>
              </w:rPr>
            </w:pPr>
            <w:r>
              <w:rPr>
                <w:rFonts w:ascii="宋体"/>
                <w:sz w:val="18"/>
              </w:rPr>
              <w:t>28,326,594.77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7.50%</w:t>
            </w:r>
          </w:p>
        </w:tc>
        <w:tc>
          <w:tcPr>
            <w:tcW w:w="9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-1.33%</w:t>
            </w:r>
          </w:p>
        </w:tc>
      </w:tr>
      <w:tr>
        <w:trPr>
          <w:trHeight w:val="420" w:hRule="exact"/>
        </w:trPr>
        <w:tc>
          <w:tcPr>
            <w:tcW w:w="13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自制商品成本合计</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210,069,710.15</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73.57%</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102" w:right="0"/>
              <w:jc w:val="center"/>
              <w:rPr>
                <w:rFonts w:ascii="宋体" w:hAnsi="宋体" w:cs="宋体" w:eastAsia="宋体" w:hint="default"/>
                <w:sz w:val="18"/>
                <w:szCs w:val="18"/>
              </w:rPr>
            </w:pPr>
            <w:r>
              <w:rPr>
                <w:rFonts w:ascii="宋体"/>
                <w:sz w:val="18"/>
              </w:rPr>
              <w:t>305,669,159.45</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80.90%</w:t>
            </w:r>
          </w:p>
        </w:tc>
        <w:tc>
          <w:tcPr>
            <w:tcW w:w="9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-7.33%</w:t>
            </w:r>
          </w:p>
        </w:tc>
      </w:tr>
    </w:tbl>
    <w:p>
      <w:pPr>
        <w:pStyle w:val="Heading4"/>
        <w:spacing w:line="240" w:lineRule="auto" w:before="63"/>
        <w:ind w:right="1122"/>
        <w:jc w:val="left"/>
        <w:rPr>
          <w:b w:val="0"/>
          <w:bCs w:val="0"/>
        </w:rPr>
      </w:pPr>
      <w:bookmarkStart w:name="（6）报告期内合并范围是否发生变动" w:id="36"/>
      <w:bookmarkEnd w:id="36"/>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是 □ 否</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firstLine="423"/>
        <w:jc w:val="both"/>
      </w:pP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13</w:t>
      </w:r>
      <w:r>
        <w:rPr/>
        <w:t>日经第三届董事会第十九次会议审议通过了《关于全资子公司参与设立产业投资基金的 </w:t>
      </w:r>
      <w:r>
        <w:rPr>
          <w:spacing w:val="-1"/>
        </w:rPr>
        <w:t>议案》，同意全资子公司江苏光一贵仁股权投资基金管理有限公司作为普通合伙人出资成立南京领航光一</w:t>
      </w:r>
      <w:r>
        <w:rPr>
          <w:spacing w:val="-81"/>
        </w:rPr>
        <w:t> </w:t>
      </w:r>
      <w:r>
        <w:rPr>
          <w:spacing w:val="-81"/>
        </w:rPr>
      </w:r>
      <w:r>
        <w:rPr/>
        <w:t>科技产业投资合伙企业（有限合伙），该合伙企业自成立之日起纳入合并范围。</w:t>
      </w:r>
    </w:p>
    <w:p>
      <w:pPr>
        <w:pStyle w:val="BodyText"/>
        <w:spacing w:line="408" w:lineRule="auto"/>
        <w:ind w:right="1133" w:firstLine="423"/>
        <w:jc w:val="both"/>
      </w:pPr>
      <w:r>
        <w:rPr>
          <w:spacing w:val="-1"/>
        </w:rPr>
        <w:t>报告期内，控股子公司南京云商天下信息技术有限公司清算注销了孙公司云商天下信息技术河北有限</w:t>
      </w:r>
      <w:r>
        <w:rPr/>
        <w:t> 公司，自注销后不再纳入公司合并范围。</w:t>
      </w:r>
    </w:p>
    <w:p>
      <w:pPr>
        <w:pStyle w:val="Heading4"/>
        <w:spacing w:line="240" w:lineRule="auto" w:before="46"/>
        <w:ind w:right="1122"/>
        <w:jc w:val="left"/>
        <w:rPr>
          <w:b w:val="0"/>
          <w:bCs w:val="0"/>
        </w:rPr>
      </w:pPr>
      <w:bookmarkStart w:name="（7）公司报告期内业务、产品或服务发生重大变化或调整有关情况" w:id="37"/>
      <w:bookmarkEnd w:id="37"/>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spacing w:line="408" w:lineRule="auto" w:before="0"/>
        <w:ind w:left="154" w:right="727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99"/>
          <w:sz w:val="21"/>
          <w:szCs w:val="21"/>
        </w:rPr>
        <w:t> </w:t>
      </w:r>
      <w:r>
        <w:rPr>
          <w:rFonts w:ascii="宋体" w:hAnsi="宋体" w:cs="宋体" w:eastAsia="宋体" w:hint="default"/>
          <w:sz w:val="21"/>
          <w:szCs w:val="21"/>
        </w:rPr>
        <w:t>公司主要销售客户情况</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822"/>
        <w:gridCol w:w="4747"/>
      </w:tblGrid>
      <w:tr>
        <w:trPr>
          <w:trHeight w:val="398" w:hRule="exact"/>
        </w:trPr>
        <w:tc>
          <w:tcPr>
            <w:tcW w:w="4822" w:type="dxa"/>
            <w:tcBorders>
              <w:top w:val="single" w:sz="12" w:space="0" w:color="000000"/>
              <w:left w:val="single" w:sz="12" w:space="0" w:color="000000"/>
              <w:bottom w:val="single" w:sz="23" w:space="0" w:color="FFFFFF"/>
              <w:right w:val="single" w:sz="6"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47" w:type="dxa"/>
            <w:tcBorders>
              <w:top w:val="single" w:sz="12" w:space="0" w:color="000000"/>
              <w:left w:val="single" w:sz="6" w:space="0" w:color="000000"/>
              <w:bottom w:val="single" w:sz="23" w:space="0" w:color="FFFFFF"/>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124,628,726.24</w:t>
            </w:r>
          </w:p>
        </w:tc>
      </w:tr>
      <w:tr>
        <w:trPr>
          <w:trHeight w:val="413" w:hRule="exact"/>
        </w:trPr>
        <w:tc>
          <w:tcPr>
            <w:tcW w:w="4822" w:type="dxa"/>
            <w:tcBorders>
              <w:top w:val="single" w:sz="23" w:space="0" w:color="FFFFFF"/>
              <w:left w:val="single" w:sz="12" w:space="0" w:color="000000"/>
              <w:bottom w:val="single" w:sz="23" w:space="0" w:color="FFFFFF"/>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47" w:type="dxa"/>
            <w:tcBorders>
              <w:top w:val="single" w:sz="23" w:space="0" w:color="FFFFFF"/>
              <w:left w:val="single" w:sz="6" w:space="0" w:color="000000"/>
              <w:bottom w:val="single" w:sz="23" w:space="0" w:color="FFFFFF"/>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28.59%</w:t>
            </w:r>
          </w:p>
        </w:tc>
      </w:tr>
      <w:tr>
        <w:trPr>
          <w:trHeight w:val="440" w:hRule="exact"/>
        </w:trPr>
        <w:tc>
          <w:tcPr>
            <w:tcW w:w="4822" w:type="dxa"/>
            <w:tcBorders>
              <w:top w:val="single" w:sz="23"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47" w:type="dxa"/>
            <w:tcBorders>
              <w:top w:val="single" w:sz="23" w:space="0" w:color="FFFFFF"/>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bl>
    <w:p>
      <w:pPr>
        <w:spacing w:line="240" w:lineRule="auto" w:before="1"/>
        <w:rPr>
          <w:rFonts w:ascii="宋体" w:hAnsi="宋体" w:cs="宋体" w:eastAsia="宋体" w:hint="default"/>
          <w:sz w:val="14"/>
          <w:szCs w:val="14"/>
        </w:rPr>
      </w:pPr>
    </w:p>
    <w:p>
      <w:pPr>
        <w:pStyle w:val="BodyText"/>
        <w:spacing w:line="240" w:lineRule="auto" w:before="35"/>
        <w:ind w:right="1122"/>
        <w:jc w:val="left"/>
      </w:pPr>
      <w:r>
        <w:rPr/>
        <w:t>公司前</w:t>
      </w:r>
      <w:r>
        <w:rPr>
          <w:spacing w:val="-53"/>
        </w:rPr>
        <w:t> </w:t>
      </w:r>
      <w:r>
        <w:rPr>
          <w:rFonts w:ascii="宋体" w:hAnsi="宋体" w:cs="宋体" w:eastAsia="宋体" w:hint="default"/>
        </w:rPr>
        <w:t>5</w:t>
      </w:r>
      <w:r>
        <w:rPr>
          <w:rFonts w:ascii="宋体" w:hAnsi="宋体" w:cs="宋体" w:eastAsia="宋体" w:hint="default"/>
          <w:spacing w:val="-53"/>
        </w:rPr>
        <w:t> </w:t>
      </w:r>
      <w:r>
        <w:rPr/>
        <w:t>大客户资料</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792"/>
        <w:gridCol w:w="4029"/>
        <w:gridCol w:w="2374"/>
        <w:gridCol w:w="2373"/>
      </w:tblGrid>
      <w:tr>
        <w:trPr>
          <w:trHeight w:val="415" w:hRule="exact"/>
        </w:trPr>
        <w:tc>
          <w:tcPr>
            <w:tcW w:w="79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02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销售额</w:t>
            </w:r>
          </w:p>
        </w:tc>
        <w:tc>
          <w:tcPr>
            <w:tcW w:w="237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7" w:hRule="exact"/>
        </w:trPr>
        <w:tc>
          <w:tcPr>
            <w:tcW w:w="7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1</w:t>
            </w:r>
          </w:p>
        </w:tc>
        <w:tc>
          <w:tcPr>
            <w:tcW w:w="40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61,692,415.85</w:t>
            </w:r>
          </w:p>
        </w:tc>
        <w:tc>
          <w:tcPr>
            <w:tcW w:w="23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14.15%</w:t>
            </w:r>
          </w:p>
        </w:tc>
      </w:tr>
      <w:tr>
        <w:trPr>
          <w:trHeight w:val="407" w:hRule="exact"/>
        </w:trPr>
        <w:tc>
          <w:tcPr>
            <w:tcW w:w="7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2</w:t>
            </w:r>
          </w:p>
        </w:tc>
        <w:tc>
          <w:tcPr>
            <w:tcW w:w="40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17,465,017.24</w:t>
            </w:r>
          </w:p>
        </w:tc>
        <w:tc>
          <w:tcPr>
            <w:tcW w:w="23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4.01%</w:t>
            </w:r>
          </w:p>
        </w:tc>
      </w:tr>
      <w:tr>
        <w:trPr>
          <w:trHeight w:val="408" w:hRule="exact"/>
        </w:trPr>
        <w:tc>
          <w:tcPr>
            <w:tcW w:w="7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3</w:t>
            </w:r>
          </w:p>
        </w:tc>
        <w:tc>
          <w:tcPr>
            <w:tcW w:w="40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15,350,606.90</w:t>
            </w:r>
          </w:p>
        </w:tc>
        <w:tc>
          <w:tcPr>
            <w:tcW w:w="23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3.52%</w:t>
            </w:r>
          </w:p>
        </w:tc>
      </w:tr>
      <w:tr>
        <w:trPr>
          <w:trHeight w:val="407" w:hRule="exact"/>
        </w:trPr>
        <w:tc>
          <w:tcPr>
            <w:tcW w:w="7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4</w:t>
            </w:r>
          </w:p>
        </w:tc>
        <w:tc>
          <w:tcPr>
            <w:tcW w:w="40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15,219,441.34</w:t>
            </w:r>
          </w:p>
        </w:tc>
        <w:tc>
          <w:tcPr>
            <w:tcW w:w="23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3.49%</w:t>
            </w:r>
          </w:p>
        </w:tc>
      </w:tr>
      <w:tr>
        <w:trPr>
          <w:trHeight w:val="407" w:hRule="exact"/>
        </w:trPr>
        <w:tc>
          <w:tcPr>
            <w:tcW w:w="7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5</w:t>
            </w:r>
          </w:p>
        </w:tc>
        <w:tc>
          <w:tcPr>
            <w:tcW w:w="40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14,901,244.92</w:t>
            </w:r>
          </w:p>
        </w:tc>
        <w:tc>
          <w:tcPr>
            <w:tcW w:w="23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3.42%</w:t>
            </w:r>
          </w:p>
        </w:tc>
      </w:tr>
      <w:tr>
        <w:trPr>
          <w:trHeight w:val="414" w:hRule="exact"/>
        </w:trPr>
        <w:tc>
          <w:tcPr>
            <w:tcW w:w="79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02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sz w:val="18"/>
              </w:rPr>
              <w:t>--</w:t>
            </w:r>
          </w:p>
        </w:tc>
        <w:tc>
          <w:tcPr>
            <w:tcW w:w="2374"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124,628,726.24</w:t>
            </w:r>
          </w:p>
        </w:tc>
        <w:tc>
          <w:tcPr>
            <w:tcW w:w="23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28.59%</w:t>
            </w:r>
          </w:p>
        </w:tc>
      </w:tr>
    </w:tbl>
    <w:p>
      <w:pPr>
        <w:pStyle w:val="BodyText"/>
        <w:spacing w:line="240" w:lineRule="auto" w:before="63"/>
        <w:ind w:right="1122"/>
        <w:jc w:val="left"/>
      </w:pPr>
      <w:r>
        <w:rPr/>
        <w:t>主要客户其他情况说明</w:t>
      </w:r>
    </w:p>
    <w:p>
      <w:pPr>
        <w:spacing w:line="240" w:lineRule="auto" w:before="10"/>
        <w:rPr>
          <w:rFonts w:ascii="宋体" w:hAnsi="宋体" w:cs="宋体" w:eastAsia="宋体" w:hint="default"/>
          <w:sz w:val="14"/>
          <w:szCs w:val="14"/>
        </w:rPr>
      </w:pPr>
    </w:p>
    <w:p>
      <w:pPr>
        <w:pStyle w:val="BodyText"/>
        <w:spacing w:line="408" w:lineRule="auto" w:before="0"/>
        <w:ind w:right="8862"/>
        <w:jc w:val="left"/>
      </w:pPr>
      <w:r>
        <w:rPr/>
        <w:t>□ 适用 √</w:t>
      </w:r>
      <w:r>
        <w:rPr>
          <w:spacing w:val="-1"/>
        </w:rPr>
        <w:t> </w:t>
      </w:r>
      <w:r>
        <w:rPr/>
        <w:t>不适用</w:t>
      </w:r>
      <w:r>
        <w:rPr/>
        <w:t> 公司主要供应商情况</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822"/>
        <w:gridCol w:w="4747"/>
      </w:tblGrid>
      <w:tr>
        <w:trPr>
          <w:trHeight w:val="398" w:hRule="exact"/>
        </w:trPr>
        <w:tc>
          <w:tcPr>
            <w:tcW w:w="4822" w:type="dxa"/>
            <w:tcBorders>
              <w:top w:val="single" w:sz="12" w:space="0" w:color="000000"/>
              <w:left w:val="single" w:sz="12" w:space="0" w:color="000000"/>
              <w:bottom w:val="single" w:sz="23" w:space="0" w:color="FFFFFF"/>
              <w:right w:val="single" w:sz="6"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前五名供应商合计采购金额</w:t>
            </w:r>
          </w:p>
        </w:tc>
        <w:tc>
          <w:tcPr>
            <w:tcW w:w="4747" w:type="dxa"/>
            <w:tcBorders>
              <w:top w:val="single" w:sz="12" w:space="0" w:color="000000"/>
              <w:left w:val="single" w:sz="6" w:space="0" w:color="000000"/>
              <w:bottom w:val="single" w:sz="23" w:space="0" w:color="FFFFFF"/>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59,509,978.56</w:t>
            </w:r>
          </w:p>
        </w:tc>
      </w:tr>
      <w:tr>
        <w:trPr>
          <w:trHeight w:val="413" w:hRule="exact"/>
        </w:trPr>
        <w:tc>
          <w:tcPr>
            <w:tcW w:w="4822" w:type="dxa"/>
            <w:tcBorders>
              <w:top w:val="single" w:sz="23" w:space="0" w:color="FFFFFF"/>
              <w:left w:val="single" w:sz="12" w:space="0" w:color="000000"/>
              <w:bottom w:val="single" w:sz="23" w:space="0" w:color="FFFFFF"/>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47" w:type="dxa"/>
            <w:tcBorders>
              <w:top w:val="single" w:sz="23" w:space="0" w:color="FFFFFF"/>
              <w:left w:val="single" w:sz="6" w:space="0" w:color="000000"/>
              <w:bottom w:val="single" w:sz="23" w:space="0" w:color="FFFFFF"/>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30.33%</w:t>
            </w:r>
          </w:p>
        </w:tc>
      </w:tr>
      <w:tr>
        <w:trPr>
          <w:trHeight w:val="441" w:hRule="exact"/>
        </w:trPr>
        <w:tc>
          <w:tcPr>
            <w:tcW w:w="4822" w:type="dxa"/>
            <w:tcBorders>
              <w:top w:val="single" w:sz="23"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47" w:type="dxa"/>
            <w:tcBorders>
              <w:top w:val="single" w:sz="23" w:space="0" w:color="FFFFFF"/>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bl>
    <w:p>
      <w:pPr>
        <w:spacing w:line="240" w:lineRule="auto" w:before="5"/>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877" w:footer="1000" w:top="1100" w:bottom="1180" w:left="980" w:right="0"/>
        </w:sectPr>
      </w:pPr>
    </w:p>
    <w:p>
      <w:pPr>
        <w:pStyle w:val="BodyText"/>
        <w:spacing w:line="240" w:lineRule="auto" w:before="35"/>
        <w:ind w:right="-19"/>
        <w:jc w:val="left"/>
      </w:pPr>
      <w:r>
        <w:rPr/>
        <w:t>公司前</w:t>
      </w:r>
      <w:r>
        <w:rPr>
          <w:spacing w:val="-53"/>
        </w:rPr>
        <w:t> </w:t>
      </w:r>
      <w:r>
        <w:rPr>
          <w:rFonts w:ascii="宋体" w:hAnsi="宋体" w:cs="宋体" w:eastAsia="宋体" w:hint="default"/>
        </w:rPr>
        <w:t>5</w:t>
      </w:r>
      <w:r>
        <w:rPr>
          <w:rFonts w:ascii="宋体" w:hAnsi="宋体" w:cs="宋体" w:eastAsia="宋体" w:hint="default"/>
          <w:spacing w:val="-53"/>
        </w:rPr>
        <w:t> </w:t>
      </w:r>
      <w:r>
        <w:rPr/>
        <w:t>名供应商资料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2255" w:space="6665"/>
            <w:col w:w="2010"/>
          </w:cols>
        </w:sectPr>
      </w:pPr>
    </w:p>
    <w:p>
      <w:pPr>
        <w:spacing w:line="240" w:lineRule="auto" w:before="1"/>
        <w:rPr>
          <w:rFonts w:ascii="宋体" w:hAnsi="宋体" w:cs="宋体" w:eastAsia="宋体" w:hint="default"/>
          <w:sz w:val="26"/>
          <w:szCs w:val="26"/>
        </w:rPr>
      </w:pPr>
    </w:p>
    <w:tbl>
      <w:tblPr>
        <w:tblW w:w="0" w:type="auto"/>
        <w:jc w:val="left"/>
        <w:tblInd w:w="138" w:type="dxa"/>
        <w:tblLayout w:type="fixed"/>
        <w:tblCellMar>
          <w:top w:w="0" w:type="dxa"/>
          <w:left w:w="0" w:type="dxa"/>
          <w:bottom w:w="0" w:type="dxa"/>
          <w:right w:w="0" w:type="dxa"/>
        </w:tblCellMar>
        <w:tblLook w:val="01E0"/>
      </w:tblPr>
      <w:tblGrid>
        <w:gridCol w:w="936"/>
        <w:gridCol w:w="3168"/>
        <w:gridCol w:w="2732"/>
        <w:gridCol w:w="2732"/>
      </w:tblGrid>
      <w:tr>
        <w:trPr>
          <w:trHeight w:val="370" w:hRule="exact"/>
        </w:trPr>
        <w:tc>
          <w:tcPr>
            <w:tcW w:w="93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6"/>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73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采购额</w:t>
            </w:r>
          </w:p>
        </w:tc>
        <w:tc>
          <w:tcPr>
            <w:tcW w:w="273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54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40" w:hRule="exact"/>
        </w:trPr>
        <w:tc>
          <w:tcPr>
            <w:tcW w:w="9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right="9"/>
              <w:jc w:val="center"/>
              <w:rPr>
                <w:rFonts w:ascii="宋体" w:hAnsi="宋体" w:cs="宋体" w:eastAsia="宋体" w:hint="default"/>
                <w:sz w:val="18"/>
                <w:szCs w:val="18"/>
              </w:rPr>
            </w:pPr>
            <w:r>
              <w:rPr>
                <w:rFonts w:ascii="宋体"/>
                <w:sz w:val="18"/>
              </w:rPr>
              <w:t>1</w:t>
            </w:r>
          </w:p>
        </w:tc>
        <w:tc>
          <w:tcPr>
            <w:tcW w:w="3168"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8"/>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732"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22,326,354.90</w:t>
            </w:r>
          </w:p>
        </w:tc>
        <w:tc>
          <w:tcPr>
            <w:tcW w:w="2732"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11.38%</w:t>
            </w:r>
          </w:p>
        </w:tc>
      </w:tr>
      <w:tr>
        <w:trPr>
          <w:trHeight w:val="413" w:hRule="exact"/>
        </w:trPr>
        <w:tc>
          <w:tcPr>
            <w:tcW w:w="9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sz w:val="18"/>
              </w:rPr>
              <w:t>2</w:t>
            </w:r>
          </w:p>
        </w:tc>
        <w:tc>
          <w:tcPr>
            <w:tcW w:w="31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13,834,718.78</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7.05%</w:t>
            </w:r>
          </w:p>
        </w:tc>
      </w:tr>
      <w:tr>
        <w:trPr>
          <w:trHeight w:val="412" w:hRule="exact"/>
        </w:trPr>
        <w:tc>
          <w:tcPr>
            <w:tcW w:w="9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sz w:val="18"/>
              </w:rPr>
              <w:t>3</w:t>
            </w:r>
          </w:p>
        </w:tc>
        <w:tc>
          <w:tcPr>
            <w:tcW w:w="31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8,756,775.48</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4.46%</w:t>
            </w:r>
          </w:p>
        </w:tc>
      </w:tr>
      <w:tr>
        <w:trPr>
          <w:trHeight w:val="412" w:hRule="exact"/>
        </w:trPr>
        <w:tc>
          <w:tcPr>
            <w:tcW w:w="9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sz w:val="18"/>
              </w:rPr>
              <w:t>4</w:t>
            </w:r>
          </w:p>
        </w:tc>
        <w:tc>
          <w:tcPr>
            <w:tcW w:w="31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7,356,840.53</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3.75%</w:t>
            </w:r>
          </w:p>
        </w:tc>
      </w:tr>
      <w:tr>
        <w:trPr>
          <w:trHeight w:val="413" w:hRule="exact"/>
        </w:trPr>
        <w:tc>
          <w:tcPr>
            <w:tcW w:w="9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sz w:val="18"/>
              </w:rPr>
              <w:t>5</w:t>
            </w:r>
          </w:p>
        </w:tc>
        <w:tc>
          <w:tcPr>
            <w:tcW w:w="3168"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7,235,288.87</w:t>
            </w:r>
          </w:p>
        </w:tc>
        <w:tc>
          <w:tcPr>
            <w:tcW w:w="27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3.69%</w:t>
            </w:r>
          </w:p>
        </w:tc>
      </w:tr>
      <w:tr>
        <w:trPr>
          <w:trHeight w:val="419" w:hRule="exact"/>
        </w:trPr>
        <w:tc>
          <w:tcPr>
            <w:tcW w:w="93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2732"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59,509,978.56</w:t>
            </w:r>
          </w:p>
        </w:tc>
        <w:tc>
          <w:tcPr>
            <w:tcW w:w="27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30.33%</w:t>
            </w:r>
          </w:p>
        </w:tc>
      </w:tr>
    </w:tbl>
    <w:p>
      <w:pPr>
        <w:pStyle w:val="BodyText"/>
        <w:spacing w:line="240" w:lineRule="auto" w:before="63"/>
        <w:ind w:right="1122"/>
        <w:jc w:val="left"/>
      </w:pPr>
      <w:r>
        <w:rPr/>
        <w:t>主要供应商其他情况说明</w:t>
      </w:r>
    </w:p>
    <w:p>
      <w:pPr>
        <w:spacing w:line="240" w:lineRule="auto" w:before="10"/>
        <w:rPr>
          <w:rFonts w:ascii="宋体" w:hAnsi="宋体" w:cs="宋体" w:eastAsia="宋体" w:hint="default"/>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费用" w:id="38"/>
      <w:bookmarkEnd w:id="38"/>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10"/>
        <w:gridCol w:w="1637"/>
        <w:gridCol w:w="1637"/>
        <w:gridCol w:w="1462"/>
        <w:gridCol w:w="2917"/>
      </w:tblGrid>
      <w:tr>
        <w:trPr>
          <w:trHeight w:val="413" w:hRule="exact"/>
        </w:trPr>
        <w:tc>
          <w:tcPr>
            <w:tcW w:w="1910"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6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8" w:hRule="exact"/>
        </w:trPr>
        <w:tc>
          <w:tcPr>
            <w:tcW w:w="19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589"/>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41,049,254.28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45,571,542.04</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-9.92%</w:t>
            </w:r>
          </w:p>
        </w:tc>
        <w:tc>
          <w:tcPr>
            <w:tcW w:w="29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89"/>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50,953,860.35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57,065,124.85</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-10.71%</w:t>
            </w:r>
          </w:p>
        </w:tc>
        <w:tc>
          <w:tcPr>
            <w:tcW w:w="2917" w:type="dxa"/>
            <w:tcBorders>
              <w:top w:val="single" w:sz="6" w:space="0" w:color="000000"/>
              <w:left w:val="single" w:sz="6" w:space="0" w:color="000000"/>
              <w:bottom w:val="single" w:sz="6" w:space="0" w:color="000000"/>
              <w:right w:val="single" w:sz="12" w:space="0" w:color="000000"/>
            </w:tcBorders>
          </w:tcPr>
          <w:p>
            <w:pPr/>
          </w:p>
        </w:tc>
      </w:tr>
      <w:tr>
        <w:trPr>
          <w:trHeight w:val="163" w:hRule="exact"/>
        </w:trPr>
        <w:tc>
          <w:tcPr>
            <w:tcW w:w="1910" w:type="dxa"/>
            <w:tcBorders>
              <w:top w:val="single" w:sz="6" w:space="0" w:color="000000"/>
              <w:left w:val="single" w:sz="12" w:space="0" w:color="000000"/>
              <w:bottom w:val="nil" w:sz="6" w:space="0" w:color="auto"/>
              <w:right w:val="single" w:sz="6" w:space="0" w:color="000000"/>
            </w:tcBorders>
            <w:shd w:val="clear" w:color="auto" w:fill="D2D2D2"/>
          </w:tcPr>
          <w:p>
            <w:pPr/>
          </w:p>
        </w:tc>
        <w:tc>
          <w:tcPr>
            <w:tcW w:w="1637" w:type="dxa"/>
            <w:vMerge w:val="restart"/>
            <w:tcBorders>
              <w:top w:val="single" w:sz="6" w:space="0" w:color="000000"/>
              <w:left w:val="single" w:sz="9" w:space="0" w:color="D2D2D2"/>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sz w:val="18"/>
              </w:rPr>
              <w:t>30,162,007.87</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sz w:val="18"/>
              </w:rPr>
              <w:t>9,234,340.30</w:t>
            </w:r>
          </w:p>
        </w:tc>
        <w:tc>
          <w:tcPr>
            <w:tcW w:w="146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6" w:right="0"/>
              <w:jc w:val="left"/>
              <w:rPr>
                <w:rFonts w:ascii="宋体" w:hAnsi="宋体" w:cs="宋体" w:eastAsia="宋体" w:hint="default"/>
                <w:sz w:val="18"/>
                <w:szCs w:val="18"/>
              </w:rPr>
            </w:pPr>
            <w:r>
              <w:rPr>
                <w:rFonts w:ascii="宋体"/>
                <w:sz w:val="18"/>
              </w:rPr>
              <w:t>226.63%</w:t>
            </w:r>
          </w:p>
        </w:tc>
        <w:tc>
          <w:tcPr>
            <w:tcW w:w="2917" w:type="dxa"/>
            <w:vMerge w:val="restart"/>
            <w:tcBorders>
              <w:top w:val="single" w:sz="6" w:space="0" w:color="000000"/>
              <w:left w:val="single" w:sz="6" w:space="0" w:color="000000"/>
              <w:right w:val="single" w:sz="12" w:space="0" w:color="000000"/>
            </w:tcBorders>
          </w:tcPr>
          <w:p>
            <w:pPr>
              <w:pStyle w:val="TableParagraph"/>
              <w:spacing w:line="319" w:lineRule="auto" w:before="51"/>
              <w:ind w:left="20" w:right="10"/>
              <w:jc w:val="left"/>
              <w:rPr>
                <w:rFonts w:ascii="宋体" w:hAnsi="宋体" w:cs="宋体" w:eastAsia="宋体" w:hint="default"/>
                <w:sz w:val="18"/>
                <w:szCs w:val="18"/>
              </w:rPr>
            </w:pPr>
            <w:r>
              <w:rPr>
                <w:rFonts w:ascii="宋体" w:hAnsi="宋体" w:cs="宋体" w:eastAsia="宋体" w:hint="default"/>
                <w:spacing w:val="-2"/>
                <w:sz w:val="18"/>
                <w:szCs w:val="18"/>
              </w:rPr>
              <w:t>主要是随着基建项目完工转固，报告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期发生的基建贷款利息费用化所致</w:t>
            </w:r>
          </w:p>
        </w:tc>
      </w:tr>
      <w:tr>
        <w:trPr>
          <w:trHeight w:val="392" w:hRule="exact"/>
        </w:trPr>
        <w:tc>
          <w:tcPr>
            <w:tcW w:w="191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589"/>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6" w:space="0" w:color="000000"/>
            </w:tcBorders>
          </w:tcPr>
          <w:p>
            <w:pPr/>
          </w:p>
        </w:tc>
        <w:tc>
          <w:tcPr>
            <w:tcW w:w="1637" w:type="dxa"/>
            <w:vMerge/>
            <w:tcBorders>
              <w:left w:val="single" w:sz="6" w:space="0" w:color="000000"/>
              <w:right w:val="single" w:sz="6" w:space="0" w:color="000000"/>
            </w:tcBorders>
          </w:tcPr>
          <w:p>
            <w:pPr/>
          </w:p>
        </w:tc>
        <w:tc>
          <w:tcPr>
            <w:tcW w:w="1462" w:type="dxa"/>
            <w:vMerge/>
            <w:tcBorders>
              <w:left w:val="single" w:sz="6" w:space="0" w:color="000000"/>
              <w:right w:val="single" w:sz="6" w:space="0" w:color="000000"/>
            </w:tcBorders>
          </w:tcPr>
          <w:p>
            <w:pPr/>
          </w:p>
        </w:tc>
        <w:tc>
          <w:tcPr>
            <w:tcW w:w="2917" w:type="dxa"/>
            <w:vMerge/>
            <w:tcBorders>
              <w:left w:val="single" w:sz="6" w:space="0" w:color="000000"/>
              <w:right w:val="single" w:sz="12" w:space="0" w:color="000000"/>
            </w:tcBorders>
          </w:tcPr>
          <w:p>
            <w:pPr/>
          </w:p>
        </w:tc>
      </w:tr>
      <w:tr>
        <w:trPr>
          <w:trHeight w:val="163" w:hRule="exact"/>
        </w:trPr>
        <w:tc>
          <w:tcPr>
            <w:tcW w:w="191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637" w:type="dxa"/>
            <w:vMerge/>
            <w:tcBorders>
              <w:left w:val="single" w:sz="9" w:space="0" w:color="D2D2D2"/>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462" w:type="dxa"/>
            <w:vMerge/>
            <w:tcBorders>
              <w:left w:val="single" w:sz="6" w:space="0" w:color="000000"/>
              <w:bottom w:val="single" w:sz="6" w:space="0" w:color="000000"/>
              <w:right w:val="single" w:sz="6" w:space="0" w:color="000000"/>
            </w:tcBorders>
          </w:tcPr>
          <w:p>
            <w:pPr/>
          </w:p>
        </w:tc>
        <w:tc>
          <w:tcPr>
            <w:tcW w:w="2917" w:type="dxa"/>
            <w:vMerge/>
            <w:tcBorders>
              <w:left w:val="single" w:sz="6" w:space="0" w:color="000000"/>
              <w:bottom w:val="single" w:sz="6" w:space="0" w:color="000000"/>
              <w:right w:val="single" w:sz="12" w:space="0" w:color="000000"/>
            </w:tcBorders>
          </w:tcPr>
          <w:p>
            <w:pPr/>
          </w:p>
        </w:tc>
      </w:tr>
      <w:tr>
        <w:trPr>
          <w:trHeight w:val="415" w:hRule="exact"/>
        </w:trPr>
        <w:tc>
          <w:tcPr>
            <w:tcW w:w="191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589"/>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39,969,498.19</w:t>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47,206,543.39</w:t>
            </w: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-15.33%</w:t>
            </w:r>
          </w:p>
        </w:tc>
        <w:tc>
          <w:tcPr>
            <w:tcW w:w="2917"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1122"/>
        <w:jc w:val="left"/>
        <w:rPr>
          <w:b w:val="0"/>
          <w:bCs w:val="0"/>
        </w:rPr>
      </w:pPr>
      <w:bookmarkStart w:name="4、研发投入" w:id="39"/>
      <w:bookmarkEnd w:id="39"/>
      <w:r>
        <w:rPr>
          <w:b w:val="0"/>
          <w:bCs w:val="0"/>
        </w:rPr>
      </w:r>
      <w:r>
        <w:rPr>
          <w:rFonts w:ascii="宋体" w:hAnsi="宋体" w:cs="宋体" w:eastAsia="宋体" w:hint="default"/>
        </w:rPr>
        <w:t>4</w:t>
      </w:r>
      <w:r>
        <w:rPr/>
        <w:t>、研发投入</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80" w:right="0" w:hanging="426"/>
        <w:jc w:val="left"/>
      </w:pPr>
      <w:r>
        <w:rPr/>
        <w:t>√ 适用 □</w:t>
      </w:r>
      <w:r>
        <w:rPr>
          <w:spacing w:val="-1"/>
        </w:rPr>
        <w:t> </w:t>
      </w:r>
      <w:r>
        <w:rPr/>
        <w:t>不适用</w:t>
      </w:r>
      <w:r>
        <w:rPr/>
        <w:t> 报告期内，在电力业务方面，公司紧跟国家智能电网发展趋势，持续对已有产品进行改进优化设计，</w:t>
      </w:r>
    </w:p>
    <w:p>
      <w:pPr>
        <w:pStyle w:val="BodyText"/>
        <w:spacing w:line="408" w:lineRule="auto"/>
        <w:ind w:right="1122"/>
        <w:jc w:val="left"/>
      </w:pPr>
      <w:r>
        <w:rPr>
          <w:spacing w:val="2"/>
        </w:rPr>
        <w:t>同时对新技术及新产品进行研发投入，</w:t>
      </w:r>
      <w:r>
        <w:rPr>
          <w:rFonts w:ascii="宋体" w:hAnsi="宋体" w:cs="宋体" w:eastAsia="宋体" w:hint="default"/>
          <w:spacing w:val="2"/>
        </w:rPr>
        <w:t>2018</w:t>
      </w:r>
      <w:r>
        <w:rPr>
          <w:spacing w:val="2"/>
        </w:rPr>
        <w:t>年研发投入</w:t>
      </w:r>
      <w:r>
        <w:rPr>
          <w:rFonts w:ascii="宋体" w:hAnsi="宋体" w:cs="宋体" w:eastAsia="宋体" w:hint="default"/>
          <w:spacing w:val="2"/>
        </w:rPr>
        <w:t>3,996.95</w:t>
      </w:r>
      <w:r>
        <w:rPr>
          <w:spacing w:val="2"/>
        </w:rPr>
        <w:t>万元，较上年同期</w:t>
      </w:r>
      <w:r>
        <w:rPr>
          <w:rFonts w:ascii="宋体" w:hAnsi="宋体" w:cs="宋体" w:eastAsia="宋体" w:hint="default"/>
          <w:spacing w:val="2"/>
        </w:rPr>
        <w:t>4,720.69</w:t>
      </w:r>
      <w:r>
        <w:rPr>
          <w:spacing w:val="2"/>
        </w:rPr>
        <w:t>万元减少了</w:t>
      </w:r>
      <w:r>
        <w:rPr>
          <w:spacing w:val="-54"/>
        </w:rPr>
        <w:t> </w:t>
      </w:r>
      <w:r>
        <w:rPr>
          <w:spacing w:val="-54"/>
        </w:rPr>
      </w:r>
      <w:r>
        <w:rPr>
          <w:rFonts w:ascii="宋体" w:hAnsi="宋体" w:cs="宋体" w:eastAsia="宋体" w:hint="default"/>
        </w:rPr>
        <w:t>723.74</w:t>
      </w:r>
      <w:r>
        <w:rPr/>
        <w:t>万元；在版权云业务方面，研发主要由各运营主体自主实施，未在公司合并报表范围内有体现。</w:t>
      </w:r>
    </w:p>
    <w:p>
      <w:pPr>
        <w:pStyle w:val="BodyText"/>
        <w:spacing w:line="408" w:lineRule="auto"/>
        <w:ind w:right="1131" w:firstLine="315"/>
        <w:jc w:val="both"/>
      </w:pPr>
      <w:r>
        <w:rPr>
          <w:spacing w:val="-1"/>
        </w:rPr>
        <w:t>（</w:t>
      </w:r>
      <w:r>
        <w:rPr>
          <w:rFonts w:ascii="宋体" w:hAnsi="宋体" w:cs="宋体" w:eastAsia="宋体" w:hint="default"/>
          <w:spacing w:val="-1"/>
        </w:rPr>
        <w:t>1</w:t>
      </w:r>
      <w:r>
        <w:rPr>
          <w:spacing w:val="-1"/>
        </w:rPr>
        <w:t>）用电信息采集产品方面，在电力体制改革等宏观政策和智慧能源全球互联的新形势影响下，公司</w:t>
      </w:r>
      <w:r>
        <w:rPr/>
        <w:t> </w:t>
      </w:r>
      <w:r>
        <w:rPr>
          <w:spacing w:val="-1"/>
        </w:rPr>
        <w:t>深入研究高速电力线载波通信（</w:t>
      </w:r>
      <w:r>
        <w:rPr>
          <w:rFonts w:ascii="宋体" w:hAnsi="宋体" w:cs="宋体" w:eastAsia="宋体" w:hint="default"/>
          <w:spacing w:val="-1"/>
        </w:rPr>
        <w:t>HPLC</w:t>
      </w:r>
      <w:r>
        <w:rPr>
          <w:spacing w:val="-1"/>
        </w:rPr>
        <w:t>）、基于蜂窝的窄带物联（</w:t>
      </w:r>
      <w:r>
        <w:rPr>
          <w:rFonts w:ascii="宋体" w:hAnsi="宋体" w:cs="宋体" w:eastAsia="宋体" w:hint="default"/>
          <w:spacing w:val="-1"/>
        </w:rPr>
        <w:t>NB-IoT</w:t>
      </w:r>
      <w:r>
        <w:rPr>
          <w:spacing w:val="-1"/>
        </w:rPr>
        <w:t>）、</w:t>
      </w:r>
      <w:r>
        <w:rPr>
          <w:rFonts w:ascii="宋体" w:hAnsi="宋体" w:cs="宋体" w:eastAsia="宋体" w:hint="default"/>
          <w:spacing w:val="-1"/>
        </w:rPr>
        <w:t>LoRa</w:t>
      </w:r>
      <w:r>
        <w:rPr>
          <w:spacing w:val="-1"/>
        </w:rPr>
        <w:t>等多种通信技术的融合及</w:t>
      </w:r>
      <w:r>
        <w:rPr>
          <w:spacing w:val="-81"/>
        </w:rPr>
        <w:t> </w:t>
      </w:r>
      <w:r>
        <w:rPr>
          <w:spacing w:val="-81"/>
        </w:rPr>
      </w:r>
      <w:r>
        <w:rPr>
          <w:spacing w:val="-1"/>
        </w:rPr>
        <w:t>应用模型，为</w:t>
      </w:r>
      <w:r>
        <w:rPr>
          <w:rFonts w:ascii="宋体" w:hAnsi="宋体" w:cs="宋体" w:eastAsia="宋体" w:hint="default"/>
          <w:spacing w:val="-1"/>
        </w:rPr>
        <w:t>2019</w:t>
      </w:r>
      <w:r>
        <w:rPr>
          <w:spacing w:val="-1"/>
        </w:rPr>
        <w:t>年市场拓展奠定较好的技术基础；为保证</w:t>
      </w:r>
      <w:r>
        <w:rPr>
          <w:rFonts w:ascii="宋体" w:hAnsi="宋体" w:cs="宋体" w:eastAsia="宋体" w:hint="default"/>
          <w:spacing w:val="-1"/>
        </w:rPr>
        <w:t>HPLC</w:t>
      </w:r>
      <w:r>
        <w:rPr>
          <w:spacing w:val="-1"/>
        </w:rPr>
        <w:t>通信系统通信质量，服务电力用户用电信</w:t>
      </w:r>
      <w:r>
        <w:rPr>
          <w:spacing w:val="-81"/>
        </w:rPr>
        <w:t> </w:t>
      </w:r>
      <w:r>
        <w:rPr>
          <w:spacing w:val="-81"/>
        </w:rPr>
      </w:r>
      <w:r>
        <w:rPr>
          <w:spacing w:val="-1"/>
        </w:rPr>
        <w:t>息采集系统和智能电网建设，公司自主研制了高速电力线载波通信功能和性能测试台体，建立能够测试评</w:t>
      </w:r>
      <w:r>
        <w:rPr>
          <w:spacing w:val="-81"/>
        </w:rPr>
        <w:t> </w:t>
      </w:r>
      <w:r>
        <w:rPr>
          <w:spacing w:val="-81"/>
        </w:rPr>
      </w:r>
      <w:r>
        <w:rPr>
          <w:spacing w:val="-1"/>
        </w:rPr>
        <w:t>估高速电力线载波通信系统的实验室检测系统，已在部分省份投入使用，进一步提高电力公司检测工作效</w:t>
      </w:r>
      <w:r>
        <w:rPr>
          <w:spacing w:val="-81"/>
        </w:rPr>
        <w:t> </w:t>
      </w:r>
      <w:r>
        <w:rPr>
          <w:spacing w:val="-81"/>
        </w:rPr>
      </w:r>
      <w:r>
        <w:rPr>
          <w:spacing w:val="-1"/>
        </w:rPr>
        <w:t>率和检测系统的自动化程度；针对末端电网供电设备状态在线监测、线损分析、线路阻抗计算与故障预警</w:t>
      </w:r>
      <w:r>
        <w:rPr>
          <w:spacing w:val="-83"/>
        </w:rPr>
        <w:t> </w:t>
      </w:r>
      <w:r>
        <w:rPr>
          <w:spacing w:val="-83"/>
        </w:rPr>
      </w:r>
      <w:r>
        <w:rPr>
          <w:spacing w:val="-1"/>
        </w:rPr>
        <w:t>等电力业务需求，公司深入研究低压末端电网智能感知技术，在台区拓扑关系识别技术、用户停电事件主</w:t>
      </w:r>
      <w:r>
        <w:rPr>
          <w:spacing w:val="-83"/>
        </w:rPr>
        <w:t> </w:t>
      </w:r>
      <w:r>
        <w:rPr>
          <w:spacing w:val="-83"/>
        </w:rPr>
      </w:r>
      <w:r>
        <w:rPr>
          <w:spacing w:val="-1"/>
        </w:rPr>
        <w:t>动上报技术，高频度采集技术上取得进一步突破，开发的新一代低压末端电网智能感知产品，已在江苏省</w:t>
      </w:r>
      <w:r>
        <w:rPr>
          <w:spacing w:val="-83"/>
        </w:rPr>
        <w:t> </w:t>
      </w:r>
      <w:r>
        <w:rPr>
          <w:spacing w:val="-83"/>
        </w:rPr>
      </w:r>
      <w:r>
        <w:rPr/>
        <w:t>南京、苏州、扬州等多个地区批量使用，取得较好效果。</w:t>
      </w:r>
    </w:p>
    <w:p>
      <w:pPr>
        <w:spacing w:after="0" w:line="408" w:lineRule="auto"/>
        <w:jc w:val="both"/>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023" w:firstLine="426"/>
        <w:jc w:val="left"/>
      </w:pPr>
      <w:r>
        <w:rPr/>
        <w:t>（</w:t>
      </w:r>
      <w:r>
        <w:rPr>
          <w:rFonts w:ascii="宋体" w:hAnsi="宋体" w:cs="宋体" w:eastAsia="宋体" w:hint="default"/>
        </w:rPr>
        <w:t>2</w:t>
      </w:r>
      <w:r>
        <w:rPr/>
        <w:t>）配电自动化产品方面，公司围绕边缘计算强化智能配电终端深化应用，对智能配电终端进行开 发，实现低压拓扑动态管理、低压智能装置监测协同、分布式能源管理、低压精益化管理、故障研判与预 警、配变终端即插即用、无功管理等应用，开展与用电信息采集集中器就地化集成应用，数据共享，实现 </w:t>
      </w:r>
      <w:r>
        <w:rPr>
          <w:spacing w:val="-3"/>
        </w:rPr>
        <w:t>营配贯通与融合，为配电产品的市场扩大奠定了良好的技术基础；公司开发的“暂态录波型故障指示器”、</w:t>
      </w:r>
      <w:r>
        <w:rPr>
          <w:spacing w:val="-91"/>
        </w:rPr>
        <w:t> </w:t>
      </w:r>
      <w:r>
        <w:rPr>
          <w:spacing w:val="-91"/>
        </w:rPr>
      </w:r>
      <w:r>
        <w:rPr>
          <w:spacing w:val="-3"/>
        </w:rPr>
        <w:t>“暂态特征型故障指示器”等产品，均通过中国电科院等权威部门的试验检测，取得相应的型式试验报告、</w:t>
      </w:r>
      <w:r>
        <w:rPr>
          <w:spacing w:val="-92"/>
        </w:rPr>
        <w:t> </w:t>
      </w:r>
      <w:r>
        <w:rPr>
          <w:spacing w:val="-92"/>
        </w:rPr>
      </w:r>
      <w:r>
        <w:rPr>
          <w:spacing w:val="-5"/>
        </w:rPr>
        <w:t>入网专业检测报告（功能性能专业检测）和信息安全专业检测报告，获得了参加国网故障指示器投标资格，</w:t>
      </w:r>
      <w:r>
        <w:rPr>
          <w:spacing w:val="-101"/>
        </w:rPr>
        <w:t> </w:t>
      </w:r>
      <w:r>
        <w:rPr>
          <w:spacing w:val="-101"/>
        </w:rPr>
      </w:r>
      <w:r>
        <w:rPr/>
        <w:t>并在江西、福建等多个网省中标。</w:t>
      </w:r>
    </w:p>
    <w:p>
      <w:pPr>
        <w:pStyle w:val="BodyText"/>
        <w:spacing w:line="240" w:lineRule="auto"/>
        <w:ind w:right="1122"/>
        <w:jc w:val="left"/>
      </w:pPr>
      <w:r>
        <w:rPr/>
        <w:t>近三年公司研发投入金额及占营业收入的比例</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03"/>
        <w:gridCol w:w="2160"/>
        <w:gridCol w:w="2151"/>
        <w:gridCol w:w="2149"/>
      </w:tblGrid>
      <w:tr>
        <w:trPr>
          <w:trHeight w:val="415" w:hRule="exact"/>
        </w:trPr>
        <w:tc>
          <w:tcPr>
            <w:tcW w:w="310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21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7"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研发人员数量（人）</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194</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234</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231</w:t>
            </w:r>
          </w:p>
        </w:tc>
      </w:tr>
      <w:tr>
        <w:trPr>
          <w:trHeight w:val="407"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20.97%</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24.76%</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18.60%</w:t>
            </w:r>
          </w:p>
        </w:tc>
      </w:tr>
      <w:tr>
        <w:trPr>
          <w:trHeight w:val="407"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研发投入金额</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39,969,498.19</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47,206,919.08</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43,960,059.07</w:t>
            </w:r>
          </w:p>
        </w:tc>
      </w:tr>
      <w:tr>
        <w:trPr>
          <w:trHeight w:val="407"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9.17%</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8.74%</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5.40%</w:t>
            </w:r>
          </w:p>
        </w:tc>
      </w:tr>
      <w:tr>
        <w:trPr>
          <w:trHeight w:val="407"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研发支出资本化的金额</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r>
        <w:trPr>
          <w:trHeight w:val="408"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0.00%</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r>
        <w:trPr>
          <w:trHeight w:val="415" w:hRule="exact"/>
        </w:trPr>
        <w:tc>
          <w:tcPr>
            <w:tcW w:w="31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6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21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bl>
    <w:p>
      <w:pPr>
        <w:pStyle w:val="BodyText"/>
        <w:spacing w:line="240" w:lineRule="auto" w:before="63"/>
        <w:ind w:right="1122"/>
        <w:jc w:val="left"/>
      </w:pPr>
      <w:r>
        <w:rPr/>
        <w:t>研发投入总额占营业收入的比重较上年发生显著变化的原因</w:t>
      </w:r>
    </w:p>
    <w:p>
      <w:pPr>
        <w:spacing w:line="240" w:lineRule="auto" w:before="10"/>
        <w:rPr>
          <w:rFonts w:ascii="宋体" w:hAnsi="宋体" w:cs="宋体" w:eastAsia="宋体" w:hint="default"/>
          <w:sz w:val="14"/>
          <w:szCs w:val="14"/>
        </w:rPr>
      </w:pPr>
    </w:p>
    <w:p>
      <w:pPr>
        <w:pStyle w:val="BodyText"/>
        <w:spacing w:line="408" w:lineRule="auto" w:before="0"/>
        <w:ind w:right="6132"/>
        <w:jc w:val="left"/>
      </w:pPr>
      <w:r>
        <w:rPr/>
        <w:t>□ 适用 √</w:t>
      </w:r>
      <w:r>
        <w:rPr>
          <w:spacing w:val="-1"/>
        </w:rPr>
        <w:t> </w:t>
      </w:r>
      <w:r>
        <w:rPr/>
        <w:t>不适用</w:t>
      </w:r>
      <w:r>
        <w:rPr/>
        <w:t> 研发投入资本化率大幅变动的原因及其合理性说明</w:t>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现金流" w:id="40"/>
      <w:bookmarkEnd w:id="40"/>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03"/>
        <w:gridCol w:w="2160"/>
        <w:gridCol w:w="2151"/>
        <w:gridCol w:w="2149"/>
      </w:tblGrid>
      <w:tr>
        <w:trPr>
          <w:trHeight w:val="413" w:hRule="exact"/>
        </w:trPr>
        <w:tc>
          <w:tcPr>
            <w:tcW w:w="31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0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8"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584,047,363.99</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735,971,880.27</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-20.64%</w:t>
            </w:r>
          </w:p>
        </w:tc>
      </w:tr>
      <w:tr>
        <w:trPr>
          <w:trHeight w:val="407"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541,206,116.25</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746,582,809.95</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-27.51%</w:t>
            </w:r>
          </w:p>
        </w:tc>
      </w:tr>
      <w:tr>
        <w:trPr>
          <w:trHeight w:val="407"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42,841,247.74</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-10,610,929.68</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503.75%</w:t>
            </w:r>
          </w:p>
        </w:tc>
      </w:tr>
      <w:tr>
        <w:trPr>
          <w:trHeight w:val="407"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10,601,020.00</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98,955,133.56</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-89.29%</w:t>
            </w:r>
          </w:p>
        </w:tc>
      </w:tr>
      <w:tr>
        <w:trPr>
          <w:trHeight w:val="407"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255,639,325.03</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224,294,402.61</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13.97%</w:t>
            </w:r>
          </w:p>
        </w:tc>
      </w:tr>
      <w:tr>
        <w:trPr>
          <w:trHeight w:val="407"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-245,038,305.03</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-125,339,269.05</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-95.50%</w:t>
            </w:r>
          </w:p>
        </w:tc>
      </w:tr>
      <w:tr>
        <w:trPr>
          <w:trHeight w:val="408"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391,632,875.00</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413,397,961.60</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-5.26%</w:t>
            </w:r>
          </w:p>
        </w:tc>
      </w:tr>
      <w:tr>
        <w:trPr>
          <w:trHeight w:val="415" w:hRule="exact"/>
        </w:trPr>
        <w:tc>
          <w:tcPr>
            <w:tcW w:w="31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6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294,634,730.66</w:t>
            </w:r>
          </w:p>
        </w:tc>
        <w:tc>
          <w:tcPr>
            <w:tcW w:w="2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378,732,684.84</w:t>
            </w:r>
          </w:p>
        </w:tc>
        <w:tc>
          <w:tcPr>
            <w:tcW w:w="21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-22.21%</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103"/>
        <w:gridCol w:w="2160"/>
        <w:gridCol w:w="2151"/>
        <w:gridCol w:w="2149"/>
      </w:tblGrid>
      <w:tr>
        <w:trPr>
          <w:trHeight w:val="415" w:hRule="exact"/>
        </w:trPr>
        <w:tc>
          <w:tcPr>
            <w:tcW w:w="31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0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96,998,144.34</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34,665,276.76</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179.81%</w:t>
            </w:r>
          </w:p>
        </w:tc>
      </w:tr>
      <w:tr>
        <w:trPr>
          <w:trHeight w:val="415" w:hRule="exact"/>
        </w:trPr>
        <w:tc>
          <w:tcPr>
            <w:tcW w:w="31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6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-105,198,912.95</w:t>
            </w:r>
          </w:p>
        </w:tc>
        <w:tc>
          <w:tcPr>
            <w:tcW w:w="2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-101,284,921.97</w:t>
            </w:r>
          </w:p>
        </w:tc>
        <w:tc>
          <w:tcPr>
            <w:tcW w:w="21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-3.86%</w:t>
            </w:r>
          </w:p>
        </w:tc>
      </w:tr>
    </w:tbl>
    <w:p>
      <w:pPr>
        <w:pStyle w:val="BodyText"/>
        <w:spacing w:line="240" w:lineRule="auto" w:before="63"/>
        <w:ind w:right="1122"/>
        <w:jc w:val="left"/>
      </w:pPr>
      <w:r>
        <w:rPr/>
        <w:t>相关数据同比发生重大变动的主要影响因素说明</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before="0"/>
        <w:ind w:right="1116" w:firstLine="420"/>
        <w:jc w:val="left"/>
      </w:pPr>
      <w:r>
        <w:rPr/>
        <w:t>报告期经营活动现金净流量较上年同期增加</w:t>
      </w:r>
      <w:r>
        <w:rPr>
          <w:spacing w:val="-24"/>
        </w:rPr>
        <w:t> </w:t>
      </w:r>
      <w:r>
        <w:rPr>
          <w:rFonts w:ascii="宋体" w:hAnsi="宋体" w:cs="宋体" w:eastAsia="宋体" w:hint="default"/>
        </w:rPr>
        <w:t>503.75%</w:t>
      </w:r>
      <w:r>
        <w:rPr/>
        <w:t>，主要是一方面收到货款与支付货款的比例较上 年同期增加，另一方面严控费用，经营性其他支出减少共同所致。</w:t>
      </w:r>
    </w:p>
    <w:p>
      <w:pPr>
        <w:pStyle w:val="BodyText"/>
        <w:spacing w:line="408" w:lineRule="auto"/>
        <w:ind w:right="908" w:firstLine="420"/>
        <w:jc w:val="left"/>
      </w:pPr>
      <w:r>
        <w:rPr/>
        <w:t>报告期投资活动现金净流量较上年同期减少</w:t>
      </w:r>
      <w:r>
        <w:rPr>
          <w:spacing w:val="-44"/>
        </w:rPr>
        <w:t> </w:t>
      </w:r>
      <w:r>
        <w:rPr>
          <w:rFonts w:ascii="宋体" w:hAnsi="宋体" w:cs="宋体" w:eastAsia="宋体" w:hint="default"/>
          <w:spacing w:val="-3"/>
        </w:rPr>
        <w:t>95.50%</w:t>
      </w:r>
      <w:r>
        <w:rPr>
          <w:spacing w:val="-3"/>
        </w:rPr>
        <w:t>，主要是报告期新增投资领航光一的产业投资项目，</w:t>
      </w:r>
      <w:r>
        <w:rPr/>
        <w:t> 且上年同期收到资产处置款项综合导致。</w:t>
      </w:r>
    </w:p>
    <w:p>
      <w:pPr>
        <w:pStyle w:val="BodyText"/>
        <w:spacing w:line="408" w:lineRule="auto"/>
        <w:ind w:right="1116" w:firstLine="420"/>
        <w:jc w:val="left"/>
      </w:pPr>
      <w:r>
        <w:rPr/>
        <w:t>报告期筹资活动现金净流入较上年同期增加</w:t>
      </w:r>
      <w:r>
        <w:rPr>
          <w:spacing w:val="-24"/>
        </w:rPr>
        <w:t> </w:t>
      </w:r>
      <w:r>
        <w:rPr>
          <w:rFonts w:ascii="宋体" w:hAnsi="宋体" w:cs="宋体" w:eastAsia="宋体" w:hint="default"/>
        </w:rPr>
        <w:t>179.81%</w:t>
      </w:r>
      <w:r>
        <w:rPr/>
        <w:t>，主要是作为比较基数的上年同期支付了收购索 瑞电气剩余少数股东权益价款所致。 报告期内公司经营活动产生的现金净流量与本年度净利润存在重大差异的原因说明</w:t>
      </w:r>
    </w:p>
    <w:p>
      <w:pPr>
        <w:pStyle w:val="BodyText"/>
        <w:spacing w:line="240" w:lineRule="auto"/>
        <w:ind w:right="1122"/>
        <w:jc w:val="left"/>
      </w:pPr>
      <w:r>
        <w:rPr/>
        <w:t>□ 适用 √</w:t>
      </w:r>
      <w:r>
        <w:rPr>
          <w:spacing w:val="-1"/>
        </w:rPr>
        <w:t> </w:t>
      </w:r>
      <w:r>
        <w:rPr/>
        <w:t>不适用</w:t>
      </w: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000" w:top="1100" w:bottom="1180" w:left="980" w:right="0"/>
        </w:sectPr>
      </w:pPr>
    </w:p>
    <w:p>
      <w:pPr>
        <w:pStyle w:val="Heading2"/>
        <w:spacing w:line="240" w:lineRule="auto"/>
        <w:ind w:right="0"/>
        <w:jc w:val="left"/>
        <w:rPr>
          <w:b w:val="0"/>
          <w:bCs w:val="0"/>
        </w:rPr>
      </w:pPr>
      <w:bookmarkStart w:name="三、非主营业务情况" w:id="41"/>
      <w:bookmarkEnd w:id="41"/>
      <w:r>
        <w:rPr>
          <w:b w:val="0"/>
          <w:bCs w:val="0"/>
        </w:rPr>
      </w:r>
      <w:r>
        <w:rPr>
          <w:w w:val="95"/>
        </w:rPr>
        <w:t>三、非主营业务情况</w:t>
      </w:r>
      <w:r>
        <w:rPr>
          <w:b w:val="0"/>
          <w:bCs w:val="0"/>
        </w:rPr>
      </w:r>
    </w:p>
    <w:p>
      <w:pPr>
        <w:pStyle w:val="BodyText"/>
        <w:spacing w:line="240" w:lineRule="auto" w:before="143"/>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4"/>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2321" w:space="6598"/>
            <w:col w:w="2011"/>
          </w:cols>
        </w:sectPr>
      </w:pP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24"/>
        <w:gridCol w:w="1454"/>
        <w:gridCol w:w="1419"/>
        <w:gridCol w:w="4252"/>
        <w:gridCol w:w="920"/>
      </w:tblGrid>
      <w:tr>
        <w:trPr>
          <w:trHeight w:val="171" w:hRule="exact"/>
        </w:trPr>
        <w:tc>
          <w:tcPr>
            <w:tcW w:w="1524"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454" w:type="dxa"/>
            <w:tcBorders>
              <w:top w:val="single" w:sz="12" w:space="0" w:color="000000"/>
              <w:left w:val="single" w:sz="6" w:space="0" w:color="000000"/>
              <w:bottom w:val="nil" w:sz="6" w:space="0" w:color="auto"/>
              <w:right w:val="single" w:sz="6" w:space="0" w:color="000000"/>
            </w:tcBorders>
            <w:shd w:val="clear" w:color="auto" w:fill="D2D2D2"/>
          </w:tcPr>
          <w:p>
            <w:pPr/>
          </w:p>
        </w:tc>
        <w:tc>
          <w:tcPr>
            <w:tcW w:w="1419" w:type="dxa"/>
            <w:tcBorders>
              <w:top w:val="single" w:sz="12" w:space="0" w:color="000000"/>
              <w:left w:val="single" w:sz="6" w:space="0" w:color="000000"/>
              <w:bottom w:val="nil" w:sz="6" w:space="0" w:color="auto"/>
              <w:right w:val="single" w:sz="6" w:space="0" w:color="000000"/>
            </w:tcBorders>
            <w:shd w:val="clear" w:color="auto" w:fill="D2D2D2"/>
          </w:tcPr>
          <w:p>
            <w:pPr/>
          </w:p>
        </w:tc>
        <w:tc>
          <w:tcPr>
            <w:tcW w:w="4252" w:type="dxa"/>
            <w:tcBorders>
              <w:top w:val="single" w:sz="12" w:space="0" w:color="000000"/>
              <w:left w:val="single" w:sz="6" w:space="0" w:color="000000"/>
              <w:bottom w:val="nil" w:sz="6" w:space="0" w:color="auto"/>
              <w:right w:val="single" w:sz="6" w:space="0" w:color="000000"/>
            </w:tcBorders>
            <w:shd w:val="clear" w:color="auto" w:fill="D2D2D2"/>
          </w:tcPr>
          <w:p>
            <w:pPr/>
          </w:p>
        </w:tc>
        <w:tc>
          <w:tcPr>
            <w:tcW w:w="920"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10"/>
              <w:ind w:left="92" w:right="83"/>
              <w:jc w:val="left"/>
              <w:rPr>
                <w:rFonts w:ascii="宋体" w:hAnsi="宋体" w:cs="宋体" w:eastAsia="宋体" w:hint="default"/>
                <w:sz w:val="18"/>
                <w:szCs w:val="18"/>
              </w:rPr>
            </w:pPr>
            <w:r>
              <w:rPr>
                <w:rFonts w:ascii="宋体" w:hAnsi="宋体" w:cs="宋体" w:eastAsia="宋体" w:hint="default"/>
                <w:sz w:val="18"/>
                <w:szCs w:val="18"/>
              </w:rPr>
              <w:t>是否具有 可持续性</w:t>
            </w:r>
          </w:p>
        </w:tc>
      </w:tr>
      <w:tr>
        <w:trPr>
          <w:trHeight w:val="312" w:hRule="exact"/>
        </w:trPr>
        <w:tc>
          <w:tcPr>
            <w:tcW w:w="1524" w:type="dxa"/>
            <w:tcBorders>
              <w:top w:val="nil" w:sz="6" w:space="0" w:color="auto"/>
              <w:left w:val="single" w:sz="12" w:space="0" w:color="000000"/>
              <w:bottom w:val="nil" w:sz="6" w:space="0" w:color="auto"/>
              <w:right w:val="single" w:sz="6" w:space="0" w:color="000000"/>
            </w:tcBorders>
            <w:shd w:val="clear" w:color="auto" w:fill="D2D2D2"/>
          </w:tcPr>
          <w:p>
            <w:pPr/>
          </w:p>
        </w:tc>
        <w:tc>
          <w:tcPr>
            <w:tcW w:w="145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
              <w:ind w:right="71"/>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425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920" w:type="dxa"/>
            <w:vMerge/>
            <w:tcBorders>
              <w:left w:val="single" w:sz="6" w:space="0" w:color="000000"/>
              <w:right w:val="single" w:sz="12" w:space="0" w:color="000000"/>
            </w:tcBorders>
            <w:shd w:val="clear" w:color="auto" w:fill="D2D2D2"/>
          </w:tcPr>
          <w:p>
            <w:pPr/>
          </w:p>
        </w:tc>
      </w:tr>
      <w:tr>
        <w:trPr>
          <w:trHeight w:val="163" w:hRule="exact"/>
        </w:trPr>
        <w:tc>
          <w:tcPr>
            <w:tcW w:w="1524"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54"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9" w:type="dxa"/>
            <w:tcBorders>
              <w:top w:val="nil" w:sz="6" w:space="0" w:color="auto"/>
              <w:left w:val="single" w:sz="6" w:space="0" w:color="000000"/>
              <w:bottom w:val="single" w:sz="6" w:space="0" w:color="000000"/>
              <w:right w:val="single" w:sz="6" w:space="0" w:color="000000"/>
            </w:tcBorders>
            <w:shd w:val="clear" w:color="auto" w:fill="D2D2D2"/>
          </w:tcPr>
          <w:p>
            <w:pPr/>
          </w:p>
        </w:tc>
        <w:tc>
          <w:tcPr>
            <w:tcW w:w="4252" w:type="dxa"/>
            <w:tcBorders>
              <w:top w:val="nil" w:sz="6" w:space="0" w:color="auto"/>
              <w:left w:val="single" w:sz="6" w:space="0" w:color="000000"/>
              <w:bottom w:val="single" w:sz="6" w:space="0" w:color="000000"/>
              <w:right w:val="single" w:sz="6" w:space="0" w:color="000000"/>
            </w:tcBorders>
            <w:shd w:val="clear" w:color="auto" w:fill="D2D2D2"/>
          </w:tcPr>
          <w:p>
            <w:pPr/>
          </w:p>
        </w:tc>
        <w:tc>
          <w:tcPr>
            <w:tcW w:w="920" w:type="dxa"/>
            <w:vMerge/>
            <w:tcBorders>
              <w:left w:val="single" w:sz="6" w:space="0" w:color="000000"/>
              <w:bottom w:val="single" w:sz="6" w:space="0" w:color="000000"/>
              <w:right w:val="single" w:sz="12" w:space="0" w:color="000000"/>
            </w:tcBorders>
            <w:shd w:val="clear" w:color="auto" w:fill="D2D2D2"/>
          </w:tcPr>
          <w:p>
            <w:pPr/>
          </w:p>
        </w:tc>
      </w:tr>
      <w:tr>
        <w:trPr>
          <w:trHeight w:val="412" w:hRule="exact"/>
        </w:trPr>
        <w:tc>
          <w:tcPr>
            <w:tcW w:w="1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45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16,051,752.54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60.00%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主要是权益法核算长期股权投资取得的收益</w:t>
            </w:r>
          </w:p>
        </w:tc>
        <w:tc>
          <w:tcPr>
            <w:tcW w:w="9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9" w:hRule="exact"/>
        </w:trPr>
        <w:tc>
          <w:tcPr>
            <w:tcW w:w="1524" w:type="dxa"/>
            <w:tcBorders>
              <w:top w:val="single" w:sz="23" w:space="0" w:color="D2D2D2"/>
              <w:left w:val="single" w:sz="12" w:space="0" w:color="000000"/>
              <w:bottom w:val="single" w:sz="12" w:space="0" w:color="000000"/>
              <w:right w:val="single" w:sz="6" w:space="0" w:color="000000"/>
            </w:tcBorders>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14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33,559,923.90</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125.45%</w:t>
            </w:r>
          </w:p>
        </w:tc>
        <w:tc>
          <w:tcPr>
            <w:tcW w:w="4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主要是全资子公司苏源光一处置润麒路</w:t>
            </w:r>
            <w:r>
              <w:rPr>
                <w:rFonts w:ascii="宋体" w:hAnsi="宋体" w:cs="宋体" w:eastAsia="宋体" w:hint="default"/>
                <w:spacing w:val="-62"/>
                <w:sz w:val="18"/>
                <w:szCs w:val="18"/>
              </w:rPr>
              <w:t> </w:t>
            </w:r>
            <w:r>
              <w:rPr>
                <w:rFonts w:ascii="宋体" w:hAnsi="宋体" w:cs="宋体" w:eastAsia="宋体" w:hint="default"/>
                <w:sz w:val="18"/>
                <w:szCs w:val="18"/>
              </w:rPr>
              <w:t>86</w:t>
            </w:r>
            <w:r>
              <w:rPr>
                <w:rFonts w:ascii="宋体" w:hAnsi="宋体" w:cs="宋体" w:eastAsia="宋体" w:hint="default"/>
                <w:spacing w:val="-62"/>
                <w:sz w:val="18"/>
                <w:szCs w:val="18"/>
              </w:rPr>
              <w:t> </w:t>
            </w:r>
            <w:r>
              <w:rPr>
                <w:rFonts w:ascii="宋体" w:hAnsi="宋体" w:cs="宋体" w:eastAsia="宋体" w:hint="default"/>
                <w:sz w:val="18"/>
                <w:szCs w:val="18"/>
              </w:rPr>
              <w:t>号闲置资产</w:t>
            </w:r>
          </w:p>
        </w:tc>
        <w:tc>
          <w:tcPr>
            <w:tcW w:w="9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13"/>
          <w:szCs w:val="13"/>
        </w:rPr>
      </w:pPr>
    </w:p>
    <w:p>
      <w:pPr>
        <w:pStyle w:val="Heading2"/>
        <w:spacing w:line="240" w:lineRule="auto"/>
        <w:ind w:right="1122"/>
        <w:jc w:val="left"/>
        <w:rPr>
          <w:b w:val="0"/>
          <w:bCs w:val="0"/>
        </w:rPr>
      </w:pPr>
      <w:bookmarkStart w:name="四、资产及负债状况" w:id="42"/>
      <w:bookmarkEnd w:id="42"/>
      <w:r>
        <w:rPr>
          <w:b w:val="0"/>
          <w:bCs w:val="0"/>
        </w:rPr>
      </w:r>
      <w:r>
        <w:rPr/>
        <w:t>四、资产及负债状况</w:t>
      </w:r>
      <w:r>
        <w:rPr>
          <w:b w:val="0"/>
          <w:bCs w:val="0"/>
        </w:rPr>
      </w: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type w:val="continuous"/>
          <w:pgSz w:w="11910" w:h="16840"/>
          <w:pgMar w:top="1580" w:bottom="700" w:left="980" w:right="0"/>
        </w:sectPr>
      </w:pPr>
    </w:p>
    <w:p>
      <w:pPr>
        <w:pStyle w:val="Heading4"/>
        <w:spacing w:line="240" w:lineRule="auto" w:before="35"/>
        <w:ind w:right="0"/>
        <w:jc w:val="left"/>
        <w:rPr>
          <w:b w:val="0"/>
          <w:bCs w:val="0"/>
        </w:rPr>
      </w:pPr>
      <w:bookmarkStart w:name="1、资产构成重大变动情况" w:id="43"/>
      <w:bookmarkEnd w:id="43"/>
      <w:r>
        <w:rPr>
          <w:b w:val="0"/>
          <w:bCs w:val="0"/>
        </w:rPr>
      </w:r>
      <w:r>
        <w:rPr>
          <w:rFonts w:ascii="宋体" w:hAnsi="宋体" w:cs="宋体" w:eastAsia="宋体" w:hint="default"/>
          <w:w w:val="95"/>
        </w:rPr>
        <w:t>1</w:t>
      </w:r>
      <w:r>
        <w:rPr>
          <w:w w:val="95"/>
        </w:rPr>
        <w:t>、资产构成重大变动情况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7"/>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2579" w:space="6341"/>
            <w:col w:w="2010"/>
          </w:cols>
        </w:sectPr>
      </w:pP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352"/>
        <w:gridCol w:w="1336"/>
        <w:gridCol w:w="1276"/>
        <w:gridCol w:w="1417"/>
        <w:gridCol w:w="1277"/>
        <w:gridCol w:w="992"/>
        <w:gridCol w:w="1913"/>
      </w:tblGrid>
      <w:tr>
        <w:trPr>
          <w:trHeight w:val="219"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612"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694"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992" w:type="dxa"/>
            <w:tcBorders>
              <w:top w:val="single" w:sz="12" w:space="0" w:color="000000"/>
              <w:left w:val="single" w:sz="6" w:space="0" w:color="000000"/>
              <w:bottom w:val="nil" w:sz="6" w:space="0" w:color="auto"/>
              <w:right w:val="single" w:sz="6" w:space="0" w:color="000000"/>
            </w:tcBorders>
            <w:shd w:val="clear" w:color="auto" w:fill="D2D2D2"/>
          </w:tcPr>
          <w:p>
            <w:pPr/>
          </w:p>
        </w:tc>
        <w:tc>
          <w:tcPr>
            <w:tcW w:w="1913"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1352" w:type="dxa"/>
            <w:vMerge w:val="restart"/>
            <w:tcBorders>
              <w:top w:val="nil" w:sz="6" w:space="0" w:color="auto"/>
              <w:left w:val="single" w:sz="12" w:space="0" w:color="000000"/>
              <w:right w:val="single" w:sz="6" w:space="0" w:color="000000"/>
            </w:tcBorders>
            <w:shd w:val="clear" w:color="auto" w:fill="D2D2D2"/>
          </w:tcPr>
          <w:p>
            <w:pPr/>
          </w:p>
        </w:tc>
        <w:tc>
          <w:tcPr>
            <w:tcW w:w="2612" w:type="dxa"/>
            <w:gridSpan w:val="2"/>
            <w:vMerge/>
            <w:tcBorders>
              <w:left w:val="single" w:sz="6" w:space="0" w:color="000000"/>
              <w:bottom w:val="single" w:sz="6" w:space="0" w:color="000000"/>
              <w:right w:val="single" w:sz="6" w:space="0" w:color="000000"/>
            </w:tcBorders>
            <w:shd w:val="clear" w:color="auto" w:fill="D2D2D2"/>
          </w:tcPr>
          <w:p>
            <w:pPr/>
          </w:p>
        </w:tc>
        <w:tc>
          <w:tcPr>
            <w:tcW w:w="2694" w:type="dxa"/>
            <w:gridSpan w:val="2"/>
            <w:vMerge/>
            <w:tcBorders>
              <w:left w:val="single" w:sz="6" w:space="0" w:color="000000"/>
              <w:bottom w:val="single" w:sz="6" w:space="0" w:color="000000"/>
              <w:right w:val="single" w:sz="6" w:space="0" w:color="000000"/>
            </w:tcBorders>
            <w:shd w:val="clear" w:color="auto" w:fill="D2D2D2"/>
          </w:tcPr>
          <w:p>
            <w:pPr/>
          </w:p>
        </w:tc>
        <w:tc>
          <w:tcPr>
            <w:tcW w:w="9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13"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5"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3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89"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2" w:type="dxa"/>
            <w:vMerge/>
            <w:tcBorders>
              <w:left w:val="single" w:sz="6" w:space="0" w:color="000000"/>
              <w:bottom w:val="nil" w:sz="6" w:space="0" w:color="auto"/>
              <w:right w:val="single" w:sz="6" w:space="0" w:color="000000"/>
            </w:tcBorders>
            <w:shd w:val="clear" w:color="auto" w:fill="D2D2D2"/>
          </w:tcPr>
          <w:p>
            <w:pPr/>
          </w:p>
        </w:tc>
        <w:tc>
          <w:tcPr>
            <w:tcW w:w="1913"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1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3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9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3"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3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98" w:right="0"/>
              <w:jc w:val="center"/>
              <w:rPr>
                <w:rFonts w:ascii="宋体" w:hAnsi="宋体" w:cs="宋体" w:eastAsia="宋体" w:hint="default"/>
                <w:sz w:val="18"/>
                <w:szCs w:val="18"/>
              </w:rPr>
            </w:pPr>
            <w:r>
              <w:rPr>
                <w:rFonts w:ascii="宋体"/>
                <w:sz w:val="18"/>
              </w:rPr>
              <w:t>92,805,590.08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5.09%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200,655,286.23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10.94%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-5.85%</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sz w:val="18"/>
              </w:rPr>
              <w:t>515,144,895.26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28.25%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589,216,788.68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32.13%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-3.88%</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存货</w:t>
            </w:r>
          </w:p>
        </w:tc>
        <w:tc>
          <w:tcPr>
            <w:tcW w:w="13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sz w:val="18"/>
              </w:rPr>
              <w:t>113,873,231.28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6.24%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107,405,499.65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5.86%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0.38%</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3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22,841,423.85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4,595,302.30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3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357,176,593.26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19.58%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133,108,525.69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7.26%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12.32%</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3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360,590,903.02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19.77%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440,198,059.54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-4.23%</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33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sz w:val="18"/>
              </w:rPr>
              <w:t>103,327,810.58</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5.67%</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81,041,968.94</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4.42%</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1.25%</w:t>
            </w:r>
          </w:p>
        </w:tc>
        <w:tc>
          <w:tcPr>
            <w:tcW w:w="1913"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362"/>
        <w:gridCol w:w="1326"/>
        <w:gridCol w:w="1276"/>
        <w:gridCol w:w="1417"/>
        <w:gridCol w:w="1277"/>
        <w:gridCol w:w="992"/>
        <w:gridCol w:w="1913"/>
      </w:tblGrid>
      <w:tr>
        <w:trPr>
          <w:trHeight w:val="219" w:hRule="exact"/>
        </w:trPr>
        <w:tc>
          <w:tcPr>
            <w:tcW w:w="136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602"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694"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992" w:type="dxa"/>
            <w:tcBorders>
              <w:top w:val="single" w:sz="12" w:space="0" w:color="000000"/>
              <w:left w:val="single" w:sz="6" w:space="0" w:color="000000"/>
              <w:bottom w:val="nil" w:sz="6" w:space="0" w:color="auto"/>
              <w:right w:val="single" w:sz="6" w:space="0" w:color="000000"/>
            </w:tcBorders>
            <w:shd w:val="clear" w:color="auto" w:fill="D2D2D2"/>
          </w:tcPr>
          <w:p>
            <w:pPr/>
          </w:p>
        </w:tc>
        <w:tc>
          <w:tcPr>
            <w:tcW w:w="1913"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1362" w:type="dxa"/>
            <w:vMerge w:val="restart"/>
            <w:tcBorders>
              <w:top w:val="nil" w:sz="6" w:space="0" w:color="auto"/>
              <w:left w:val="single" w:sz="12" w:space="0" w:color="000000"/>
              <w:right w:val="single" w:sz="6" w:space="0" w:color="000000"/>
            </w:tcBorders>
            <w:shd w:val="clear" w:color="auto" w:fill="D2D2D2"/>
          </w:tcPr>
          <w:p>
            <w:pPr/>
          </w:p>
        </w:tc>
        <w:tc>
          <w:tcPr>
            <w:tcW w:w="2602" w:type="dxa"/>
            <w:gridSpan w:val="2"/>
            <w:vMerge/>
            <w:tcBorders>
              <w:left w:val="single" w:sz="6" w:space="0" w:color="000000"/>
              <w:bottom w:val="single" w:sz="6" w:space="0" w:color="000000"/>
              <w:right w:val="single" w:sz="6" w:space="0" w:color="000000"/>
            </w:tcBorders>
            <w:shd w:val="clear" w:color="auto" w:fill="D2D2D2"/>
          </w:tcPr>
          <w:p>
            <w:pPr/>
          </w:p>
        </w:tc>
        <w:tc>
          <w:tcPr>
            <w:tcW w:w="2694" w:type="dxa"/>
            <w:gridSpan w:val="2"/>
            <w:vMerge/>
            <w:tcBorders>
              <w:left w:val="single" w:sz="6" w:space="0" w:color="000000"/>
              <w:bottom w:val="single" w:sz="6" w:space="0" w:color="000000"/>
              <w:right w:val="single" w:sz="6" w:space="0" w:color="000000"/>
            </w:tcBorders>
            <w:shd w:val="clear" w:color="auto" w:fill="D2D2D2"/>
          </w:tcPr>
          <w:p>
            <w:pPr/>
          </w:p>
        </w:tc>
        <w:tc>
          <w:tcPr>
            <w:tcW w:w="9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13"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5" w:hRule="exact"/>
        </w:trPr>
        <w:tc>
          <w:tcPr>
            <w:tcW w:w="1362" w:type="dxa"/>
            <w:vMerge/>
            <w:tcBorders>
              <w:left w:val="single" w:sz="12" w:space="0" w:color="000000"/>
              <w:bottom w:val="nil" w:sz="6" w:space="0" w:color="auto"/>
              <w:right w:val="single" w:sz="6" w:space="0" w:color="000000"/>
            </w:tcBorders>
            <w:shd w:val="clear" w:color="auto" w:fill="D2D2D2"/>
          </w:tcPr>
          <w:p>
            <w:pPr/>
          </w:p>
        </w:tc>
        <w:tc>
          <w:tcPr>
            <w:tcW w:w="132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89"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2" w:type="dxa"/>
            <w:vMerge/>
            <w:tcBorders>
              <w:left w:val="single" w:sz="6" w:space="0" w:color="000000"/>
              <w:bottom w:val="nil" w:sz="6" w:space="0" w:color="auto"/>
              <w:right w:val="single" w:sz="6" w:space="0" w:color="000000"/>
            </w:tcBorders>
            <w:shd w:val="clear" w:color="auto" w:fill="D2D2D2"/>
          </w:tcPr>
          <w:p>
            <w:pPr/>
          </w:p>
        </w:tc>
        <w:tc>
          <w:tcPr>
            <w:tcW w:w="1913"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136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2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9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3"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7" w:hRule="exact"/>
        </w:trPr>
        <w:tc>
          <w:tcPr>
            <w:tcW w:w="136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4"/>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144,875,000.00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7.94%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120,003,850.00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6.54%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1.40%</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36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4"/>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78,860,000.00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4.32%</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100,407,029.20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5.47%</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-1.15%</w:t>
            </w:r>
          </w:p>
        </w:tc>
        <w:tc>
          <w:tcPr>
            <w:tcW w:w="1913"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1122"/>
        <w:jc w:val="left"/>
        <w:rPr>
          <w:b w:val="0"/>
          <w:bCs w:val="0"/>
        </w:rPr>
      </w:pPr>
      <w:bookmarkStart w:name="2、以公允价值计量的资产和负债" w:id="44"/>
      <w:bookmarkEnd w:id="44"/>
      <w:r>
        <w:rPr>
          <w:b w:val="0"/>
          <w:bCs w:val="0"/>
        </w:rPr>
      </w:r>
      <w:r>
        <w:rPr>
          <w:rFonts w:ascii="宋体" w:hAnsi="宋体" w:cs="宋体" w:eastAsia="宋体" w:hint="default"/>
        </w:rPr>
        <w:t>2</w:t>
      </w:r>
      <w:r>
        <w:rPr/>
        <w:t>、以公允价值计量的资产和负债</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27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截至报告期末的资产权利受限情况" w:id="45"/>
      <w:bookmarkEnd w:id="45"/>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pStyle w:val="BodyText"/>
        <w:spacing w:line="408" w:lineRule="auto"/>
        <w:ind w:right="1131" w:firstLine="420"/>
        <w:jc w:val="both"/>
      </w:pPr>
      <w:r>
        <w:rPr>
          <w:spacing w:val="-1"/>
        </w:rPr>
        <w:t>截止</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日，公司货币资金、应收账款、固定资产、无形资产、全资子公司索瑞电气股权存</w:t>
      </w:r>
      <w:r>
        <w:rPr/>
        <w:t> </w:t>
      </w:r>
      <w:r>
        <w:rPr>
          <w:spacing w:val="-1"/>
        </w:rPr>
        <w:t>在权利受限制的情况。其中，受限的货币资金为银行承兑汇票保证金和履约保函保证金及少量账户因长期</w:t>
      </w:r>
      <w:r>
        <w:rPr>
          <w:spacing w:val="-81"/>
        </w:rPr>
        <w:t> </w:t>
      </w:r>
      <w:r>
        <w:rPr>
          <w:spacing w:val="-81"/>
        </w:rPr>
      </w:r>
      <w:r>
        <w:rPr>
          <w:spacing w:val="-1"/>
        </w:rPr>
        <w:t>未使用，属于休眠账户，账户资金暂无法使用；受限的固定资产、无形资产为光一科技以将军大道房产和</w:t>
      </w:r>
      <w:r>
        <w:rPr>
          <w:spacing w:val="-86"/>
        </w:rPr>
        <w:t> </w:t>
      </w:r>
      <w:r>
        <w:rPr>
          <w:spacing w:val="-86"/>
        </w:rPr>
      </w:r>
      <w:r>
        <w:rPr>
          <w:spacing w:val="-1"/>
        </w:rPr>
        <w:t>土地使用权，索瑞电气以武汉睿博和荆州山源的土地使用权抵押给银行取得借款；受限的应收账款、索瑞</w:t>
      </w:r>
      <w:r>
        <w:rPr>
          <w:spacing w:val="-83"/>
        </w:rPr>
        <w:t> </w:t>
      </w:r>
      <w:r>
        <w:rPr>
          <w:spacing w:val="-83"/>
        </w:rPr>
      </w:r>
      <w:r>
        <w:rPr/>
        <w:t>电气股权为光一科技质押给民生银行以取得贷款。</w:t>
      </w:r>
    </w:p>
    <w:p>
      <w:pPr>
        <w:pStyle w:val="Heading2"/>
        <w:spacing w:line="240" w:lineRule="auto" w:before="23"/>
        <w:ind w:right="1122"/>
        <w:jc w:val="left"/>
        <w:rPr>
          <w:b w:val="0"/>
          <w:bCs w:val="0"/>
        </w:rPr>
      </w:pPr>
      <w:bookmarkStart w:name="五、投资状况分析" w:id="46"/>
      <w:bookmarkEnd w:id="46"/>
      <w:r>
        <w:rPr>
          <w:b w:val="0"/>
          <w:bCs w:val="0"/>
        </w:rPr>
      </w:r>
      <w:r>
        <w:rPr/>
        <w:t>五、投资状况分析</w:t>
      </w:r>
      <w:r>
        <w:rPr>
          <w:b w:val="0"/>
          <w:bCs w:val="0"/>
        </w:rPr>
      </w:r>
    </w:p>
    <w:p>
      <w:pPr>
        <w:pStyle w:val="Heading4"/>
        <w:spacing w:line="240" w:lineRule="auto" w:before="177"/>
        <w:ind w:right="1122"/>
        <w:jc w:val="left"/>
        <w:rPr>
          <w:b w:val="0"/>
          <w:bCs w:val="0"/>
        </w:rPr>
      </w:pPr>
      <w:bookmarkStart w:name="1、总体情况" w:id="47"/>
      <w:bookmarkEnd w:id="47"/>
      <w:r>
        <w:rPr>
          <w:b w:val="0"/>
          <w:bCs w:val="0"/>
        </w:rPr>
      </w:r>
      <w:r>
        <w:rPr>
          <w:rFonts w:ascii="宋体" w:hAnsi="宋体" w:cs="宋体" w:eastAsia="宋体" w:hint="default"/>
        </w:rPr>
        <w:t>1</w:t>
      </w:r>
      <w:r>
        <w:rPr/>
        <w:t>、总体情况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before="14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19"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039" w:right="0"/>
              <w:jc w:val="left"/>
              <w:rPr>
                <w:rFonts w:ascii="宋体" w:hAnsi="宋体" w:cs="宋体" w:eastAsia="宋体" w:hint="default"/>
                <w:sz w:val="18"/>
                <w:szCs w:val="18"/>
              </w:rPr>
            </w:pPr>
            <w:r>
              <w:rPr>
                <w:rFonts w:ascii="宋体" w:hAnsi="宋体" w:cs="宋体" w:eastAsia="宋体" w:hint="default"/>
                <w:sz w:val="18"/>
                <w:szCs w:val="18"/>
              </w:rPr>
              <w:t>报告期投资额</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957" w:right="0"/>
              <w:jc w:val="left"/>
              <w:rPr>
                <w:rFonts w:ascii="宋体" w:hAnsi="宋体" w:cs="宋体" w:eastAsia="宋体" w:hint="default"/>
                <w:sz w:val="18"/>
                <w:szCs w:val="18"/>
              </w:rPr>
            </w:pPr>
            <w:r>
              <w:rPr>
                <w:rFonts w:ascii="宋体" w:hAnsi="宋体" w:cs="宋体" w:eastAsia="宋体" w:hint="default"/>
                <w:sz w:val="18"/>
                <w:szCs w:val="18"/>
              </w:rPr>
              <w:t>上年同期投资额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19" w:hRule="exact"/>
        </w:trPr>
        <w:tc>
          <w:tcPr>
            <w:tcW w:w="3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left="1886" w:right="0"/>
              <w:jc w:val="left"/>
              <w:rPr>
                <w:rFonts w:ascii="宋体" w:hAnsi="宋体" w:cs="宋体" w:eastAsia="宋体" w:hint="default"/>
                <w:sz w:val="18"/>
                <w:szCs w:val="18"/>
              </w:rPr>
            </w:pPr>
            <w:r>
              <w:rPr>
                <w:rFonts w:ascii="宋体"/>
                <w:sz w:val="18"/>
              </w:rPr>
              <w:t>255,639,325.03</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1895" w:right="0"/>
              <w:jc w:val="left"/>
              <w:rPr>
                <w:rFonts w:ascii="宋体" w:hAnsi="宋体" w:cs="宋体" w:eastAsia="宋体" w:hint="default"/>
                <w:sz w:val="18"/>
                <w:szCs w:val="18"/>
              </w:rPr>
            </w:pPr>
            <w:r>
              <w:rPr>
                <w:rFonts w:ascii="宋体"/>
                <w:sz w:val="18"/>
              </w:rPr>
              <w:t>224,294,402.61</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13.97%</w:t>
            </w:r>
          </w:p>
        </w:tc>
      </w:tr>
    </w:tbl>
    <w:p>
      <w:pPr>
        <w:spacing w:line="240" w:lineRule="auto" w:before="1"/>
        <w:rPr>
          <w:rFonts w:ascii="宋体" w:hAnsi="宋体" w:cs="宋体" w:eastAsia="宋体" w:hint="default"/>
          <w:sz w:val="14"/>
          <w:szCs w:val="14"/>
        </w:rPr>
      </w:pPr>
    </w:p>
    <w:p>
      <w:pPr>
        <w:pStyle w:val="Heading4"/>
        <w:spacing w:line="240" w:lineRule="auto" w:before="35"/>
        <w:ind w:right="1122"/>
        <w:jc w:val="left"/>
        <w:rPr>
          <w:b w:val="0"/>
          <w:bCs w:val="0"/>
        </w:rPr>
      </w:pPr>
      <w:bookmarkStart w:name="2、报告期内获取的重大的股权投资情况" w:id="48"/>
      <w:bookmarkEnd w:id="48"/>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695"/>
        <w:gridCol w:w="582"/>
        <w:gridCol w:w="568"/>
        <w:gridCol w:w="1134"/>
        <w:gridCol w:w="709"/>
        <w:gridCol w:w="425"/>
        <w:gridCol w:w="709"/>
        <w:gridCol w:w="528"/>
        <w:gridCol w:w="463"/>
        <w:gridCol w:w="568"/>
        <w:gridCol w:w="1276"/>
        <w:gridCol w:w="454"/>
        <w:gridCol w:w="680"/>
        <w:gridCol w:w="776"/>
      </w:tblGrid>
      <w:tr>
        <w:trPr>
          <w:trHeight w:val="1039" w:hRule="exact"/>
        </w:trPr>
        <w:tc>
          <w:tcPr>
            <w:tcW w:w="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2" w:right="69"/>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58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4" w:right="101"/>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5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7" w:right="95"/>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5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4" w:right="42"/>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7" w:right="95"/>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0"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45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9" w:right="37"/>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8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52" w:right="151"/>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77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3" w:hRule="exact"/>
        </w:trPr>
        <w:tc>
          <w:tcPr>
            <w:tcW w:w="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2" w:right="69"/>
              <w:jc w:val="both"/>
              <w:rPr>
                <w:rFonts w:ascii="宋体" w:hAnsi="宋体" w:cs="宋体" w:eastAsia="宋体" w:hint="default"/>
                <w:sz w:val="18"/>
                <w:szCs w:val="18"/>
              </w:rPr>
            </w:pPr>
            <w:r>
              <w:rPr>
                <w:rFonts w:ascii="宋体" w:hAnsi="宋体" w:cs="宋体" w:eastAsia="宋体" w:hint="default"/>
                <w:sz w:val="18"/>
                <w:szCs w:val="18"/>
              </w:rPr>
              <w:t>北京海 誉动想 科技股 份有限 公司</w:t>
            </w:r>
          </w:p>
        </w:tc>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4" w:right="101"/>
              <w:jc w:val="left"/>
              <w:rPr>
                <w:rFonts w:ascii="宋体" w:hAnsi="宋体" w:cs="宋体" w:eastAsia="宋体" w:hint="default"/>
                <w:sz w:val="18"/>
                <w:szCs w:val="18"/>
              </w:rPr>
            </w:pPr>
            <w:r>
              <w:rPr>
                <w:rFonts w:ascii="宋体" w:hAnsi="宋体" w:cs="宋体" w:eastAsia="宋体" w:hint="default"/>
                <w:sz w:val="18"/>
                <w:szCs w:val="18"/>
              </w:rPr>
              <w:t>技术 服务</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86" w:right="0"/>
              <w:jc w:val="center"/>
              <w:rPr>
                <w:rFonts w:ascii="宋体" w:hAnsi="宋体" w:cs="宋体" w:eastAsia="宋体" w:hint="default"/>
                <w:sz w:val="18"/>
                <w:szCs w:val="18"/>
              </w:rPr>
            </w:pPr>
            <w:r>
              <w:rPr>
                <w:rFonts w:ascii="宋体"/>
                <w:sz w:val="18"/>
              </w:rPr>
              <w:t>200,000,000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33" w:right="0"/>
              <w:jc w:val="left"/>
              <w:rPr>
                <w:rFonts w:ascii="宋体" w:hAnsi="宋体" w:cs="宋体" w:eastAsia="宋体" w:hint="default"/>
                <w:sz w:val="18"/>
                <w:szCs w:val="18"/>
              </w:rPr>
            </w:pPr>
            <w:r>
              <w:rPr>
                <w:rFonts w:ascii="宋体"/>
                <w:sz w:val="18"/>
              </w:rPr>
              <w:t>16.00%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
              <w:jc w:val="center"/>
              <w:rPr>
                <w:rFonts w:ascii="宋体" w:hAnsi="宋体" w:cs="宋体" w:eastAsia="宋体" w:hint="default"/>
                <w:sz w:val="18"/>
                <w:szCs w:val="18"/>
              </w:rPr>
            </w:pPr>
            <w:r>
              <w:rPr>
                <w:rFonts w:ascii="宋体" w:hAnsi="宋体" w:cs="宋体" w:eastAsia="宋体" w:hint="default"/>
                <w:sz w:val="18"/>
                <w:szCs w:val="18"/>
              </w:rPr>
              <w:t>募集</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 w:right="19"/>
              <w:jc w:val="left"/>
              <w:rPr>
                <w:rFonts w:ascii="宋体" w:hAnsi="宋体" w:cs="宋体" w:eastAsia="宋体" w:hint="default"/>
                <w:sz w:val="18"/>
                <w:szCs w:val="18"/>
              </w:rPr>
            </w:pPr>
            <w:r>
              <w:rPr>
                <w:rFonts w:ascii="宋体" w:hAnsi="宋体" w:cs="宋体" w:eastAsia="宋体" w:hint="default"/>
                <w:sz w:val="18"/>
                <w:szCs w:val="18"/>
              </w:rPr>
              <w:t>无锡金 投领航 产业升 级并购 投资企 </w:t>
            </w:r>
            <w:r>
              <w:rPr>
                <w:rFonts w:ascii="宋体" w:hAnsi="宋体" w:cs="宋体" w:eastAsia="宋体" w:hint="default"/>
                <w:spacing w:val="-17"/>
                <w:sz w:val="18"/>
                <w:szCs w:val="18"/>
              </w:rPr>
              <w:t>业（有限</w:t>
            </w:r>
            <w:r>
              <w:rPr>
                <w:rFonts w:ascii="宋体" w:hAnsi="宋体" w:cs="宋体" w:eastAsia="宋体" w:hint="default"/>
                <w:sz w:val="18"/>
                <w:szCs w:val="18"/>
              </w:rPr>
              <w:t> 合伙）</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4" w:right="42"/>
              <w:jc w:val="left"/>
              <w:rPr>
                <w:rFonts w:ascii="宋体" w:hAnsi="宋体" w:cs="宋体" w:eastAsia="宋体" w:hint="default"/>
                <w:sz w:val="18"/>
                <w:szCs w:val="18"/>
              </w:rPr>
            </w:pPr>
            <w:r>
              <w:rPr>
                <w:rFonts w:ascii="宋体" w:hAnsi="宋体" w:cs="宋体" w:eastAsia="宋体" w:hint="default"/>
                <w:sz w:val="18"/>
                <w:szCs w:val="18"/>
              </w:rPr>
              <w:t>软件 技术</w:t>
            </w:r>
          </w:p>
        </w:tc>
        <w:tc>
          <w:tcPr>
            <w:tcW w:w="56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70" w:right="0"/>
              <w:jc w:val="left"/>
              <w:rPr>
                <w:rFonts w:ascii="宋体" w:hAnsi="宋体" w:cs="宋体" w:eastAsia="宋体" w:hint="default"/>
                <w:sz w:val="18"/>
                <w:szCs w:val="18"/>
              </w:rPr>
            </w:pPr>
            <w:r>
              <w:rPr>
                <w:rFonts w:ascii="宋体"/>
                <w:sz w:val="18"/>
              </w:rPr>
              <w:t>11,065,657.67</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76"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21" w:right="11"/>
              <w:jc w:val="both"/>
              <w:rPr>
                <w:rFonts w:ascii="宋体" w:hAnsi="宋体" w:cs="宋体" w:eastAsia="宋体" w:hint="default"/>
                <w:sz w:val="18"/>
                <w:szCs w:val="18"/>
              </w:rPr>
            </w:pPr>
            <w:hyperlink r:id="rId15">
              <w:r>
                <w:rPr>
                  <w:rFonts w:ascii="宋体"/>
                  <w:sz w:val="18"/>
                </w:rPr>
                <w:t>http://w</w:t>
              </w:r>
            </w:hyperlink>
            <w:r>
              <w:rPr>
                <w:rFonts w:ascii="宋体"/>
                <w:sz w:val="18"/>
              </w:rPr>
              <w:t> ww.cninf o.com.cn</w:t>
            </w:r>
          </w:p>
          <w:p>
            <w:pPr>
              <w:pStyle w:val="TableParagraph"/>
              <w:spacing w:line="319" w:lineRule="auto" w:before="19"/>
              <w:ind w:left="21" w:right="11"/>
              <w:jc w:val="both"/>
              <w:rPr>
                <w:rFonts w:ascii="宋体" w:hAnsi="宋体" w:cs="宋体" w:eastAsia="宋体" w:hint="default"/>
                <w:sz w:val="18"/>
                <w:szCs w:val="18"/>
              </w:rPr>
            </w:pPr>
            <w:r>
              <w:rPr>
                <w:rFonts w:ascii="宋体" w:hAnsi="宋体" w:cs="宋体" w:eastAsia="宋体" w:hint="default"/>
                <w:sz w:val="18"/>
                <w:szCs w:val="18"/>
              </w:rPr>
              <w:t>《关于全 资子公司 参与设立 产业投资 基金的公 告》</w:t>
            </w:r>
          </w:p>
        </w:tc>
      </w:tr>
      <w:tr>
        <w:trPr>
          <w:trHeight w:val="415" w:hRule="exact"/>
        </w:trPr>
        <w:tc>
          <w:tcPr>
            <w:tcW w:w="6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8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56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134"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2"/>
              <w:ind w:left="96" w:right="0"/>
              <w:jc w:val="center"/>
              <w:rPr>
                <w:rFonts w:ascii="宋体" w:hAnsi="宋体" w:cs="宋体" w:eastAsia="宋体" w:hint="default"/>
                <w:sz w:val="18"/>
                <w:szCs w:val="18"/>
              </w:rPr>
            </w:pPr>
            <w:r>
              <w:rPr>
                <w:rFonts w:ascii="宋体"/>
                <w:sz w:val="18"/>
              </w:rPr>
              <w:t>200,000,000</w:t>
            </w:r>
          </w:p>
        </w:tc>
        <w:tc>
          <w:tcPr>
            <w:tcW w:w="70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42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70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52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46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34" w:right="0"/>
              <w:jc w:val="left"/>
              <w:rPr>
                <w:rFonts w:ascii="宋体" w:hAnsi="宋体" w:cs="宋体" w:eastAsia="宋体" w:hint="default"/>
                <w:sz w:val="18"/>
                <w:szCs w:val="18"/>
              </w:rPr>
            </w:pPr>
            <w:r>
              <w:rPr>
                <w:rFonts w:ascii="宋体"/>
                <w:sz w:val="18"/>
              </w:rPr>
              <w:t>--</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72" w:right="0"/>
              <w:jc w:val="left"/>
              <w:rPr>
                <w:rFonts w:ascii="宋体" w:hAnsi="宋体" w:cs="宋体" w:eastAsia="宋体" w:hint="default"/>
                <w:sz w:val="18"/>
                <w:szCs w:val="18"/>
              </w:rPr>
            </w:pPr>
            <w:r>
              <w:rPr>
                <w:rFonts w:ascii="宋体"/>
                <w:sz w:val="18"/>
              </w:rPr>
              <w:t>0.00</w:t>
            </w:r>
          </w:p>
        </w:tc>
        <w:tc>
          <w:tcPr>
            <w:tcW w:w="1276"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2"/>
              <w:ind w:left="70" w:right="0"/>
              <w:jc w:val="left"/>
              <w:rPr>
                <w:rFonts w:ascii="宋体" w:hAnsi="宋体" w:cs="宋体" w:eastAsia="宋体" w:hint="default"/>
                <w:sz w:val="18"/>
                <w:szCs w:val="18"/>
              </w:rPr>
            </w:pPr>
            <w:r>
              <w:rPr>
                <w:rFonts w:ascii="宋体"/>
                <w:sz w:val="18"/>
              </w:rPr>
              <w:t>11,065,657.67</w:t>
            </w:r>
          </w:p>
        </w:tc>
        <w:tc>
          <w:tcPr>
            <w:tcW w:w="45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68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77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3、报告期内正在进行的重大的非股权投资情况" w:id="49"/>
      <w:bookmarkEnd w:id="49"/>
      <w:r>
        <w:rPr>
          <w:b w:val="0"/>
          <w:bCs w:val="0"/>
        </w:rPr>
      </w:r>
      <w:r>
        <w:rPr>
          <w:rFonts w:ascii="宋体" w:hAnsi="宋体" w:cs="宋体" w:eastAsia="宋体" w:hint="default"/>
        </w:rPr>
        <w:t>3</w:t>
      </w:r>
      <w:r>
        <w:rPr/>
        <w:t>、报告期内正在进行的重大的非股权投资情况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90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以公允价值计量的金融资产" w:id="50"/>
      <w:bookmarkEnd w:id="50"/>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408" w:lineRule="auto" w:before="46"/>
        <w:ind w:left="154" w:right="874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pStyle w:val="BodyText"/>
        <w:spacing w:line="240" w:lineRule="auto"/>
        <w:ind w:right="1122"/>
        <w:jc w:val="left"/>
      </w:pPr>
      <w:r>
        <w:rPr/>
        <w:t>√ 适用 □</w:t>
      </w:r>
      <w:r>
        <w:rPr>
          <w:spacing w:val="-1"/>
        </w:rPr>
        <w:t> </w:t>
      </w:r>
      <w:r>
        <w:rPr/>
        <w:t>不适用</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77" w:footer="1000" w:top="1100" w:bottom="1180" w:left="980" w:right="0"/>
        </w:sectPr>
      </w:pPr>
    </w:p>
    <w:p>
      <w:pPr>
        <w:pStyle w:val="Heading4"/>
        <w:spacing w:line="240" w:lineRule="auto" w:before="35"/>
        <w:ind w:right="0"/>
        <w:jc w:val="left"/>
        <w:rPr>
          <w:b w:val="0"/>
          <w:bCs w:val="0"/>
        </w:rPr>
      </w:pPr>
      <w:bookmarkStart w:name="（1）募集资金总体使用情况" w:id="51"/>
      <w:bookmarkEnd w:id="51"/>
      <w:r>
        <w:rPr>
          <w:b w:val="0"/>
          <w:bCs w:val="0"/>
        </w:rPr>
      </w:r>
      <w:r>
        <w:rPr>
          <w:w w:val="95"/>
        </w:rPr>
        <w:t>（</w:t>
      </w:r>
      <w:r>
        <w:rPr>
          <w:rFonts w:ascii="Times New Roman" w:hAnsi="Times New Roman" w:cs="Times New Roman" w:eastAsia="Times New Roman" w:hint="default"/>
          <w:w w:val="95"/>
        </w:rPr>
        <w:t>1</w:t>
      </w:r>
      <w:r>
        <w:rPr>
          <w:w w:val="95"/>
        </w:rPr>
        <w:t>）募集资金总体使用情况</w:t>
      </w:r>
      <w:r>
        <w:rPr>
          <w:b w:val="0"/>
          <w:bCs w:val="0"/>
        </w:rPr>
      </w:r>
    </w:p>
    <w:p>
      <w:pPr>
        <w:pStyle w:val="BodyText"/>
        <w:spacing w:line="240" w:lineRule="auto" w:before="14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7"/>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2788" w:space="5952"/>
            <w:col w:w="2190"/>
          </w:cols>
        </w:sectPr>
      </w:pP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135"/>
        <w:gridCol w:w="709"/>
        <w:gridCol w:w="974"/>
        <w:gridCol w:w="658"/>
        <w:gridCol w:w="870"/>
        <w:gridCol w:w="869"/>
        <w:gridCol w:w="870"/>
        <w:gridCol w:w="870"/>
        <w:gridCol w:w="984"/>
        <w:gridCol w:w="756"/>
        <w:gridCol w:w="868"/>
      </w:tblGrid>
      <w:tr>
        <w:trPr>
          <w:trHeight w:val="1663" w:hRule="exact"/>
        </w:trPr>
        <w:tc>
          <w:tcPr>
            <w:tcW w:w="113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60" w:lineRule="auto"/>
              <w:ind w:left="166" w:right="167"/>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9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90" w:right="29" w:hanging="360"/>
              <w:jc w:val="left"/>
              <w:rPr>
                <w:rFonts w:ascii="宋体" w:hAnsi="宋体" w:cs="宋体" w:eastAsia="宋体" w:hint="default"/>
                <w:sz w:val="18"/>
                <w:szCs w:val="18"/>
              </w:rPr>
            </w:pPr>
            <w:r>
              <w:rPr>
                <w:rFonts w:ascii="宋体" w:hAnsi="宋体" w:cs="宋体" w:eastAsia="宋体" w:hint="default"/>
                <w:sz w:val="18"/>
                <w:szCs w:val="18"/>
              </w:rPr>
              <w:t>募集资金总 额</w:t>
            </w:r>
          </w:p>
        </w:tc>
        <w:tc>
          <w:tcPr>
            <w:tcW w:w="6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 w:right="49"/>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7" w:right="66"/>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6"/>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6"/>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9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尚未使用募 集资金总额</w:t>
            </w:r>
          </w:p>
        </w:tc>
        <w:tc>
          <w:tcPr>
            <w:tcW w:w="7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99" w:right="101"/>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5" w:right="5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31"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0" w:right="132"/>
              <w:jc w:val="both"/>
              <w:rPr>
                <w:rFonts w:ascii="宋体" w:hAnsi="宋体" w:cs="宋体" w:eastAsia="宋体" w:hint="default"/>
                <w:sz w:val="18"/>
                <w:szCs w:val="18"/>
              </w:rPr>
            </w:pPr>
            <w:r>
              <w:rPr>
                <w:rFonts w:ascii="宋体" w:hAnsi="宋体" w:cs="宋体" w:eastAsia="宋体" w:hint="default"/>
                <w:sz w:val="18"/>
                <w:szCs w:val="18"/>
              </w:rPr>
              <w:t>首次公 开发行 股票</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35,429.12</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2,172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35,404.62</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24.5</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99" w:right="101"/>
              <w:jc w:val="center"/>
              <w:rPr>
                <w:rFonts w:ascii="宋体" w:hAnsi="宋体" w:cs="宋体" w:eastAsia="宋体" w:hint="default"/>
                <w:sz w:val="18"/>
                <w:szCs w:val="18"/>
              </w:rPr>
            </w:pPr>
            <w:r>
              <w:rPr>
                <w:rFonts w:ascii="宋体" w:hAnsi="宋体" w:cs="宋体" w:eastAsia="宋体" w:hint="default"/>
                <w:sz w:val="18"/>
                <w:szCs w:val="18"/>
              </w:rPr>
              <w:t>剩余存 放于专 户</w:t>
            </w:r>
          </w:p>
        </w:tc>
        <w:tc>
          <w:tcPr>
            <w:tcW w:w="8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z w:val="18"/>
              </w:rPr>
              <w:t>0</w:t>
            </w:r>
          </w:p>
        </w:tc>
      </w:tr>
      <w:tr>
        <w:trPr>
          <w:trHeight w:val="408" w:hRule="exact"/>
        </w:trPr>
        <w:tc>
          <w:tcPr>
            <w:tcW w:w="11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7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35,429.12</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2,172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35,404.62</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984" w:type="dxa"/>
            <w:tcBorders>
              <w:top w:val="single" w:sz="6" w:space="0" w:color="000000"/>
              <w:left w:val="single" w:sz="6" w:space="0" w:color="000000"/>
              <w:bottom w:val="single" w:sz="6" w:space="0" w:color="000000"/>
              <w:right w:val="single" w:sz="8" w:space="0" w:color="D2D2D2"/>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24.5</w:t>
            </w:r>
          </w:p>
        </w:tc>
        <w:tc>
          <w:tcPr>
            <w:tcW w:w="7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6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r>
        <w:trPr>
          <w:trHeight w:val="406" w:hRule="exact"/>
        </w:trPr>
        <w:tc>
          <w:tcPr>
            <w:tcW w:w="9564"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31" w:hRule="exact"/>
        </w:trPr>
        <w:tc>
          <w:tcPr>
            <w:tcW w:w="9564" w:type="dxa"/>
            <w:gridSpan w:val="11"/>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本报告期，公司共使用募集资金</w:t>
            </w:r>
            <w:r>
              <w:rPr>
                <w:rFonts w:ascii="宋体" w:hAnsi="宋体" w:cs="宋体" w:eastAsia="宋体" w:hint="default"/>
                <w:spacing w:val="-73"/>
                <w:sz w:val="18"/>
                <w:szCs w:val="18"/>
              </w:rPr>
              <w:t> </w:t>
            </w:r>
            <w:r>
              <w:rPr>
                <w:rFonts w:ascii="宋体" w:hAnsi="宋体" w:cs="宋体" w:eastAsia="宋体" w:hint="default"/>
                <w:sz w:val="18"/>
                <w:szCs w:val="18"/>
              </w:rPr>
              <w:t>2,172.00</w:t>
            </w:r>
            <w:r>
              <w:rPr>
                <w:rFonts w:ascii="宋体" w:hAnsi="宋体" w:cs="宋体" w:eastAsia="宋体" w:hint="default"/>
                <w:spacing w:val="-72"/>
                <w:sz w:val="18"/>
                <w:szCs w:val="18"/>
              </w:rPr>
              <w:t> </w:t>
            </w:r>
            <w:r>
              <w:rPr>
                <w:rFonts w:ascii="宋体" w:hAnsi="宋体" w:cs="宋体" w:eastAsia="宋体" w:hint="default"/>
                <w:sz w:val="18"/>
                <w:szCs w:val="18"/>
              </w:rPr>
              <w:t>万元，其中：“电力用户用电信息采集系统产能扩大建设项目”投入</w:t>
            </w:r>
            <w:r>
              <w:rPr>
                <w:rFonts w:ascii="宋体" w:hAnsi="宋体" w:cs="宋体" w:eastAsia="宋体" w:hint="default"/>
                <w:spacing w:val="-73"/>
                <w:sz w:val="18"/>
                <w:szCs w:val="18"/>
              </w:rPr>
              <w:t> </w:t>
            </w:r>
            <w:r>
              <w:rPr>
                <w:rFonts w:ascii="宋体" w:hAnsi="宋体" w:cs="宋体" w:eastAsia="宋体" w:hint="default"/>
                <w:sz w:val="18"/>
                <w:szCs w:val="18"/>
              </w:rPr>
              <w:t>46.82</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万元，“研发中心建设项目”投</w:t>
            </w:r>
            <w:r>
              <w:rPr>
                <w:rFonts w:ascii="宋体" w:hAnsi="宋体" w:cs="宋体" w:eastAsia="宋体" w:hint="default"/>
                <w:spacing w:val="-54"/>
                <w:sz w:val="18"/>
                <w:szCs w:val="18"/>
              </w:rPr>
              <w:t> </w:t>
            </w:r>
            <w:r>
              <w:rPr>
                <w:rFonts w:ascii="宋体" w:hAnsi="宋体" w:cs="宋体" w:eastAsia="宋体" w:hint="default"/>
                <w:sz w:val="18"/>
                <w:szCs w:val="18"/>
              </w:rPr>
              <w:t>695.86</w:t>
            </w:r>
            <w:r>
              <w:rPr>
                <w:rFonts w:ascii="宋体" w:hAnsi="宋体" w:cs="宋体" w:eastAsia="宋体" w:hint="default"/>
                <w:spacing w:val="-54"/>
                <w:sz w:val="18"/>
                <w:szCs w:val="18"/>
              </w:rPr>
              <w:t> </w:t>
            </w:r>
            <w:r>
              <w:rPr>
                <w:rFonts w:ascii="宋体" w:hAnsi="宋体" w:cs="宋体" w:eastAsia="宋体" w:hint="default"/>
                <w:sz w:val="18"/>
                <w:szCs w:val="18"/>
              </w:rPr>
              <w:t>万元，研发中心建设项目结项永久补充流动资金</w:t>
            </w:r>
            <w:r>
              <w:rPr>
                <w:rFonts w:ascii="宋体" w:hAnsi="宋体" w:cs="宋体" w:eastAsia="宋体" w:hint="default"/>
                <w:spacing w:val="-54"/>
                <w:sz w:val="18"/>
                <w:szCs w:val="18"/>
              </w:rPr>
              <w:t> </w:t>
            </w:r>
            <w:r>
              <w:rPr>
                <w:rFonts w:ascii="宋体" w:hAnsi="宋体" w:cs="宋体" w:eastAsia="宋体" w:hint="default"/>
                <w:sz w:val="18"/>
                <w:szCs w:val="18"/>
              </w:rPr>
              <w:t>1,428.95</w:t>
            </w:r>
            <w:r>
              <w:rPr>
                <w:rFonts w:ascii="宋体" w:hAnsi="宋体" w:cs="宋体" w:eastAsia="宋体" w:hint="default"/>
                <w:spacing w:val="-53"/>
                <w:sz w:val="18"/>
                <w:szCs w:val="18"/>
              </w:rPr>
              <w:t> </w:t>
            </w:r>
            <w:r>
              <w:rPr>
                <w:rFonts w:ascii="宋体" w:hAnsi="宋体" w:cs="宋体" w:eastAsia="宋体" w:hint="default"/>
                <w:sz w:val="18"/>
                <w:szCs w:val="18"/>
              </w:rPr>
              <w:t>万元；结余超募资金因</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销户永久性补充流动资金</w:t>
            </w:r>
            <w:r>
              <w:rPr>
                <w:rFonts w:ascii="宋体" w:hAnsi="宋体" w:cs="宋体" w:eastAsia="宋体" w:hint="default"/>
                <w:spacing w:val="-46"/>
                <w:sz w:val="18"/>
                <w:szCs w:val="18"/>
              </w:rPr>
              <w:t> </w:t>
            </w:r>
            <w:r>
              <w:rPr>
                <w:rFonts w:ascii="宋体" w:hAnsi="宋体" w:cs="宋体" w:eastAsia="宋体" w:hint="default"/>
                <w:sz w:val="18"/>
                <w:szCs w:val="18"/>
              </w:rPr>
              <w:t>0.37</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76"/>
              <w:ind w:left="37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pacing w:val="1"/>
                <w:sz w:val="18"/>
                <w:szCs w:val="18"/>
              </w:rPr>
              <w:t>日</w:t>
            </w:r>
            <w:r>
              <w:rPr>
                <w:rFonts w:ascii="宋体" w:hAnsi="宋体" w:cs="宋体" w:eastAsia="宋体" w:hint="default"/>
                <w:spacing w:val="-9"/>
                <w:sz w:val="18"/>
                <w:szCs w:val="18"/>
              </w:rPr>
              <w:t>，</w:t>
            </w:r>
            <w:r>
              <w:rPr>
                <w:rFonts w:ascii="宋体" w:hAnsi="宋体" w:cs="宋体" w:eastAsia="宋体" w:hint="default"/>
                <w:spacing w:val="1"/>
                <w:sz w:val="18"/>
                <w:szCs w:val="18"/>
              </w:rPr>
              <w:t>公</w:t>
            </w:r>
            <w:r>
              <w:rPr>
                <w:rFonts w:ascii="宋体" w:hAnsi="宋体" w:cs="宋体" w:eastAsia="宋体" w:hint="default"/>
                <w:sz w:val="18"/>
                <w:szCs w:val="18"/>
              </w:rPr>
              <w:t>司累计共使用募集资金</w:t>
            </w:r>
            <w:r>
              <w:rPr>
                <w:rFonts w:ascii="宋体" w:hAnsi="宋体" w:cs="宋体" w:eastAsia="宋体" w:hint="default"/>
                <w:spacing w:val="-45"/>
                <w:sz w:val="18"/>
                <w:szCs w:val="18"/>
              </w:rPr>
              <w:t> </w:t>
            </w:r>
            <w:r>
              <w:rPr>
                <w:rFonts w:ascii="宋体" w:hAnsi="宋体" w:cs="宋体" w:eastAsia="宋体" w:hint="default"/>
                <w:sz w:val="18"/>
                <w:szCs w:val="18"/>
              </w:rPr>
              <w:t>36,982.87</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pacing w:val="-9"/>
                <w:sz w:val="18"/>
                <w:szCs w:val="18"/>
              </w:rPr>
              <w:t>元</w:t>
            </w:r>
            <w:r>
              <w:rPr>
                <w:rFonts w:ascii="宋体" w:hAnsi="宋体" w:cs="宋体" w:eastAsia="宋体" w:hint="default"/>
                <w:sz w:val="18"/>
                <w:szCs w:val="18"/>
              </w:rPr>
              <w:t>（</w:t>
            </w:r>
            <w:r>
              <w:rPr>
                <w:rFonts w:ascii="宋体" w:hAnsi="宋体" w:cs="宋体" w:eastAsia="宋体" w:hint="default"/>
                <w:spacing w:val="1"/>
                <w:sz w:val="18"/>
                <w:szCs w:val="18"/>
              </w:rPr>
              <w:t>含</w:t>
            </w:r>
            <w:r>
              <w:rPr>
                <w:rFonts w:ascii="宋体" w:hAnsi="宋体" w:cs="宋体" w:eastAsia="宋体" w:hint="default"/>
                <w:sz w:val="18"/>
                <w:szCs w:val="18"/>
              </w:rPr>
              <w:t>利息</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其中</w:t>
            </w:r>
            <w:r>
              <w:rPr>
                <w:rFonts w:ascii="宋体" w:hAnsi="宋体" w:cs="宋体" w:eastAsia="宋体" w:hint="default"/>
                <w:spacing w:val="-8"/>
                <w:sz w:val="18"/>
                <w:szCs w:val="18"/>
              </w:rPr>
              <w:t>：</w:t>
            </w:r>
            <w:r>
              <w:rPr>
                <w:rFonts w:ascii="宋体" w:hAnsi="宋体" w:cs="宋体" w:eastAsia="宋体" w:hint="default"/>
                <w:sz w:val="18"/>
                <w:szCs w:val="18"/>
              </w:rPr>
              <w:t>“电力用户用电信息采集系统</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产能扩大建设项目”累计投入</w:t>
            </w:r>
            <w:r>
              <w:rPr>
                <w:rFonts w:ascii="宋体" w:hAnsi="宋体" w:cs="宋体" w:eastAsia="宋体" w:hint="default"/>
                <w:spacing w:val="-45"/>
                <w:sz w:val="18"/>
                <w:szCs w:val="18"/>
              </w:rPr>
              <w:t> </w:t>
            </w:r>
            <w:r>
              <w:rPr>
                <w:rFonts w:ascii="宋体" w:hAnsi="宋体" w:cs="宋体" w:eastAsia="宋体" w:hint="default"/>
                <w:sz w:val="18"/>
                <w:szCs w:val="18"/>
              </w:rPr>
              <w:t>12,205.73</w:t>
            </w:r>
            <w:r>
              <w:rPr>
                <w:rFonts w:ascii="宋体" w:hAnsi="宋体" w:cs="宋体" w:eastAsia="宋体" w:hint="default"/>
                <w:spacing w:val="-43"/>
                <w:sz w:val="18"/>
                <w:szCs w:val="18"/>
              </w:rPr>
              <w:t> </w:t>
            </w:r>
            <w:r>
              <w:rPr>
                <w:rFonts w:ascii="宋体" w:hAnsi="宋体" w:cs="宋体" w:eastAsia="宋体" w:hint="default"/>
                <w:sz w:val="18"/>
                <w:szCs w:val="18"/>
              </w:rPr>
              <w:t>万元，结余募集资金永久性补充流动资金</w:t>
            </w:r>
            <w:r>
              <w:rPr>
                <w:rFonts w:ascii="宋体" w:hAnsi="宋体" w:cs="宋体" w:eastAsia="宋体" w:hint="default"/>
                <w:spacing w:val="-43"/>
                <w:sz w:val="18"/>
                <w:szCs w:val="18"/>
              </w:rPr>
              <w:t> </w:t>
            </w:r>
            <w:r>
              <w:rPr>
                <w:rFonts w:ascii="宋体" w:hAnsi="宋体" w:cs="宋体" w:eastAsia="宋体" w:hint="default"/>
                <w:sz w:val="18"/>
                <w:szCs w:val="18"/>
              </w:rPr>
              <w:t>3,898.63</w:t>
            </w:r>
            <w:r>
              <w:rPr>
                <w:rFonts w:ascii="宋体" w:hAnsi="宋体" w:cs="宋体" w:eastAsia="宋体" w:hint="default"/>
                <w:spacing w:val="-43"/>
                <w:sz w:val="18"/>
                <w:szCs w:val="18"/>
              </w:rPr>
              <w:t> </w:t>
            </w:r>
            <w:r>
              <w:rPr>
                <w:rFonts w:ascii="宋体" w:hAnsi="宋体" w:cs="宋体" w:eastAsia="宋体" w:hint="default"/>
                <w:sz w:val="18"/>
                <w:szCs w:val="18"/>
              </w:rPr>
              <w:t>万元（其中：本金</w:t>
            </w:r>
            <w:r>
              <w:rPr>
                <w:rFonts w:ascii="宋体" w:hAnsi="宋体" w:cs="宋体" w:eastAsia="宋体" w:hint="default"/>
                <w:spacing w:val="-43"/>
                <w:sz w:val="18"/>
                <w:szCs w:val="18"/>
              </w:rPr>
              <w:t> </w:t>
            </w:r>
            <w:r>
              <w:rPr>
                <w:rFonts w:ascii="宋体" w:hAnsi="宋体" w:cs="宋体" w:eastAsia="宋体" w:hint="default"/>
                <w:sz w:val="18"/>
                <w:szCs w:val="18"/>
              </w:rPr>
              <w:t>3,069.78</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万元、利息</w:t>
            </w:r>
            <w:r>
              <w:rPr>
                <w:rFonts w:ascii="宋体" w:hAnsi="宋体" w:cs="宋体" w:eastAsia="宋体" w:hint="default"/>
                <w:spacing w:val="-43"/>
                <w:sz w:val="18"/>
                <w:szCs w:val="18"/>
              </w:rPr>
              <w:t> </w:t>
            </w:r>
            <w:r>
              <w:rPr>
                <w:rFonts w:ascii="宋体" w:hAnsi="宋体" w:cs="宋体" w:eastAsia="宋体" w:hint="default"/>
                <w:sz w:val="18"/>
                <w:szCs w:val="18"/>
              </w:rPr>
              <w:t>828.85</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；“研发中心建设项目”累计投入</w:t>
            </w:r>
            <w:r>
              <w:rPr>
                <w:rFonts w:ascii="宋体" w:hAnsi="宋体" w:cs="宋体" w:eastAsia="宋体" w:hint="default"/>
                <w:spacing w:val="-42"/>
                <w:sz w:val="18"/>
                <w:szCs w:val="18"/>
              </w:rPr>
              <w:t> </w:t>
            </w:r>
            <w:r>
              <w:rPr>
                <w:rFonts w:ascii="宋体" w:hAnsi="宋体" w:cs="宋体" w:eastAsia="宋体" w:hint="default"/>
                <w:sz w:val="18"/>
                <w:szCs w:val="18"/>
              </w:rPr>
              <w:t>3,902.94</w:t>
            </w:r>
            <w:r>
              <w:rPr>
                <w:rFonts w:ascii="宋体" w:hAnsi="宋体" w:cs="宋体" w:eastAsia="宋体" w:hint="default"/>
                <w:spacing w:val="-42"/>
                <w:sz w:val="18"/>
                <w:szCs w:val="18"/>
              </w:rPr>
              <w:t> </w:t>
            </w:r>
            <w:r>
              <w:rPr>
                <w:rFonts w:ascii="宋体" w:hAnsi="宋体" w:cs="宋体" w:eastAsia="宋体" w:hint="default"/>
                <w:spacing w:val="-2"/>
                <w:sz w:val="18"/>
                <w:szCs w:val="18"/>
              </w:rPr>
              <w:t>万</w:t>
            </w:r>
            <w:r>
              <w:rPr>
                <w:rFonts w:ascii="宋体" w:hAnsi="宋体" w:cs="宋体" w:eastAsia="宋体" w:hint="default"/>
                <w:sz w:val="18"/>
                <w:szCs w:val="18"/>
              </w:rPr>
              <w:t>元，结余募集资金永久性补充流动资金</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pacing w:val="-2"/>
                <w:sz w:val="18"/>
                <w:szCs w:val="18"/>
              </w:rPr>
              <w:t>4</w:t>
            </w:r>
            <w:r>
              <w:rPr>
                <w:rFonts w:ascii="宋体" w:hAnsi="宋体" w:cs="宋体" w:eastAsia="宋体" w:hint="default"/>
                <w:sz w:val="18"/>
                <w:szCs w:val="18"/>
              </w:rPr>
              <w:t>28.</w:t>
            </w:r>
            <w:r>
              <w:rPr>
                <w:rFonts w:ascii="宋体" w:hAnsi="宋体" w:cs="宋体" w:eastAsia="宋体" w:hint="default"/>
                <w:spacing w:val="1"/>
                <w:sz w:val="18"/>
                <w:szCs w:val="18"/>
              </w:rPr>
              <w:t>9</w:t>
            </w:r>
            <w:r>
              <w:rPr>
                <w:rFonts w:ascii="宋体" w:hAnsi="宋体" w:cs="宋体" w:eastAsia="宋体" w:hint="default"/>
                <w:sz w:val="18"/>
                <w:szCs w:val="18"/>
              </w:rPr>
              <w:t>5</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万元；超募资金使用</w:t>
            </w:r>
            <w:r>
              <w:rPr>
                <w:rFonts w:ascii="宋体" w:hAnsi="宋体" w:cs="宋体" w:eastAsia="宋体" w:hint="default"/>
                <w:spacing w:val="-46"/>
                <w:sz w:val="18"/>
                <w:szCs w:val="18"/>
              </w:rPr>
              <w:t> </w:t>
            </w:r>
            <w:r>
              <w:rPr>
                <w:rFonts w:ascii="宋体" w:hAnsi="宋体" w:cs="宋体" w:eastAsia="宋体" w:hint="default"/>
                <w:sz w:val="18"/>
                <w:szCs w:val="18"/>
              </w:rPr>
              <w:t>15,546.62</w:t>
            </w:r>
            <w:r>
              <w:rPr>
                <w:rFonts w:ascii="宋体" w:hAnsi="宋体" w:cs="宋体" w:eastAsia="宋体" w:hint="default"/>
                <w:spacing w:val="-46"/>
                <w:sz w:val="18"/>
                <w:szCs w:val="18"/>
              </w:rPr>
              <w:t> </w:t>
            </w:r>
            <w:r>
              <w:rPr>
                <w:rFonts w:ascii="宋体" w:hAnsi="宋体" w:cs="宋体" w:eastAsia="宋体" w:hint="default"/>
                <w:sz w:val="18"/>
                <w:szCs w:val="18"/>
              </w:rPr>
              <w:t>万元（其中：永久补充流动资金</w:t>
            </w:r>
            <w:r>
              <w:rPr>
                <w:rFonts w:ascii="宋体" w:hAnsi="宋体" w:cs="宋体" w:eastAsia="宋体" w:hint="default"/>
                <w:spacing w:val="-46"/>
                <w:sz w:val="18"/>
                <w:szCs w:val="18"/>
              </w:rPr>
              <w:t> </w:t>
            </w:r>
            <w:r>
              <w:rPr>
                <w:rFonts w:ascii="宋体" w:hAnsi="宋体" w:cs="宋体" w:eastAsia="宋体" w:hint="default"/>
                <w:sz w:val="18"/>
                <w:szCs w:val="18"/>
              </w:rPr>
              <w:t>8,250.37</w:t>
            </w:r>
            <w:r>
              <w:rPr>
                <w:rFonts w:ascii="宋体" w:hAnsi="宋体" w:cs="宋体" w:eastAsia="宋体" w:hint="default"/>
                <w:spacing w:val="-46"/>
                <w:sz w:val="18"/>
                <w:szCs w:val="18"/>
              </w:rPr>
              <w:t> </w:t>
            </w:r>
            <w:r>
              <w:rPr>
                <w:rFonts w:ascii="宋体" w:hAnsi="宋体" w:cs="宋体" w:eastAsia="宋体" w:hint="default"/>
                <w:sz w:val="18"/>
                <w:szCs w:val="18"/>
              </w:rPr>
              <w:t>万元；收购索瑞电气股权</w:t>
            </w:r>
            <w:r>
              <w:rPr>
                <w:rFonts w:ascii="宋体" w:hAnsi="宋体" w:cs="宋体" w:eastAsia="宋体" w:hint="default"/>
                <w:spacing w:val="-46"/>
                <w:sz w:val="18"/>
                <w:szCs w:val="18"/>
              </w:rPr>
              <w:t> </w:t>
            </w:r>
            <w:r>
              <w:rPr>
                <w:rFonts w:ascii="宋体" w:hAnsi="宋体" w:cs="宋体" w:eastAsia="宋体" w:hint="default"/>
                <w:sz w:val="18"/>
                <w:szCs w:val="18"/>
              </w:rPr>
              <w:t>7,296.25</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6"/>
              <w:ind w:left="37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0"/>
                <w:sz w:val="18"/>
                <w:szCs w:val="18"/>
              </w:rPr>
              <w:t> </w:t>
            </w: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31</w:t>
            </w:r>
            <w:r>
              <w:rPr>
                <w:rFonts w:ascii="宋体" w:hAnsi="宋体" w:cs="宋体" w:eastAsia="宋体" w:hint="default"/>
                <w:spacing w:val="-40"/>
                <w:sz w:val="18"/>
                <w:szCs w:val="18"/>
              </w:rPr>
              <w:t> </w:t>
            </w:r>
            <w:r>
              <w:rPr>
                <w:rFonts w:ascii="宋体" w:hAnsi="宋体" w:cs="宋体" w:eastAsia="宋体" w:hint="default"/>
                <w:sz w:val="18"/>
                <w:szCs w:val="18"/>
              </w:rPr>
              <w:t>日，公司募集资金专户实际余额为</w:t>
            </w:r>
            <w:r>
              <w:rPr>
                <w:rFonts w:ascii="宋体" w:hAnsi="宋体" w:cs="宋体" w:eastAsia="宋体" w:hint="default"/>
                <w:spacing w:val="-40"/>
                <w:sz w:val="18"/>
                <w:szCs w:val="18"/>
              </w:rPr>
              <w:t> </w:t>
            </w:r>
            <w:r>
              <w:rPr>
                <w:rFonts w:ascii="宋体" w:hAnsi="宋体" w:cs="宋体" w:eastAsia="宋体" w:hint="default"/>
                <w:sz w:val="18"/>
                <w:szCs w:val="18"/>
              </w:rPr>
              <w:t>94.52</w:t>
            </w:r>
            <w:r>
              <w:rPr>
                <w:rFonts w:ascii="宋体" w:hAnsi="宋体" w:cs="宋体" w:eastAsia="宋体" w:hint="default"/>
                <w:spacing w:val="-40"/>
                <w:sz w:val="18"/>
                <w:szCs w:val="18"/>
              </w:rPr>
              <w:t> </w:t>
            </w:r>
            <w:r>
              <w:rPr>
                <w:rFonts w:ascii="宋体" w:hAnsi="宋体" w:cs="宋体" w:eastAsia="宋体" w:hint="default"/>
                <w:sz w:val="18"/>
                <w:szCs w:val="18"/>
              </w:rPr>
              <w:t>万元，其中：募集资金实际余额为</w:t>
            </w:r>
            <w:r>
              <w:rPr>
                <w:rFonts w:ascii="宋体" w:hAnsi="宋体" w:cs="宋体" w:eastAsia="宋体" w:hint="default"/>
                <w:spacing w:val="-40"/>
                <w:sz w:val="18"/>
                <w:szCs w:val="18"/>
              </w:rPr>
              <w:t> </w:t>
            </w:r>
            <w:r>
              <w:rPr>
                <w:rFonts w:ascii="宋体" w:hAnsi="宋体" w:cs="宋体" w:eastAsia="宋体" w:hint="default"/>
                <w:sz w:val="18"/>
                <w:szCs w:val="18"/>
              </w:rPr>
              <w:t>24.50</w:t>
            </w:r>
            <w:r>
              <w:rPr>
                <w:rFonts w:ascii="宋体" w:hAnsi="宋体" w:cs="宋体" w:eastAsia="宋体" w:hint="default"/>
                <w:spacing w:val="-40"/>
                <w:sz w:val="18"/>
                <w:szCs w:val="18"/>
              </w:rPr>
              <w:t> </w:t>
            </w:r>
            <w:r>
              <w:rPr>
                <w:rFonts w:ascii="宋体" w:hAnsi="宋体" w:cs="宋体" w:eastAsia="宋体" w:hint="default"/>
                <w:sz w:val="18"/>
                <w:szCs w:val="18"/>
              </w:rPr>
              <w:t>万元、累计</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存款利息收入</w:t>
            </w:r>
            <w:r>
              <w:rPr>
                <w:rFonts w:ascii="宋体" w:hAnsi="宋体" w:cs="宋体" w:eastAsia="宋体" w:hint="default"/>
                <w:spacing w:val="-46"/>
                <w:sz w:val="18"/>
                <w:szCs w:val="18"/>
              </w:rPr>
              <w:t> </w:t>
            </w:r>
            <w:r>
              <w:rPr>
                <w:rFonts w:ascii="宋体" w:hAnsi="宋体" w:cs="宋体" w:eastAsia="宋体" w:hint="default"/>
                <w:sz w:val="18"/>
                <w:szCs w:val="18"/>
              </w:rPr>
              <w:t>70.02</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4"/>
        <w:spacing w:line="240" w:lineRule="auto" w:before="35"/>
        <w:ind w:right="1122"/>
        <w:jc w:val="left"/>
        <w:rPr>
          <w:b w:val="0"/>
          <w:bCs w:val="0"/>
        </w:rPr>
      </w:pPr>
      <w:bookmarkStart w:name="（2）募集资金承诺项目情况" w:id="52"/>
      <w:bookmarkEnd w:id="52"/>
      <w:r>
        <w:rPr>
          <w:b w:val="0"/>
          <w:bCs w:val="0"/>
        </w:rPr>
      </w:r>
      <w:r>
        <w:rPr/>
        <w:t>（</w:t>
      </w:r>
      <w:r>
        <w:rPr>
          <w:rFonts w:ascii="宋体" w:hAnsi="宋体" w:cs="宋体" w:eastAsia="宋体"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580" w:bottom="700" w:left="980" w:right="0"/>
        </w:sectPr>
      </w:pPr>
    </w:p>
    <w:p>
      <w:pPr>
        <w:pStyle w:val="BodyText"/>
        <w:spacing w:line="240" w:lineRule="auto" w:before="35"/>
        <w:ind w:right="-2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939" w:space="6800"/>
            <w:col w:w="2191"/>
          </w:cols>
        </w:sectPr>
      </w:pPr>
    </w:p>
    <w:p>
      <w:pPr>
        <w:spacing w:line="240" w:lineRule="auto" w:before="0"/>
        <w:rPr>
          <w:rFonts w:ascii="宋体" w:hAnsi="宋体" w:cs="宋体" w:eastAsia="宋体" w:hint="default"/>
          <w:sz w:val="20"/>
          <w:szCs w:val="20"/>
        </w:rPr>
      </w:pPr>
      <w:r>
        <w:rPr/>
        <w:pict>
          <v:shape style="position:absolute;margin-left:24.42pt;margin-top:71.999985pt;width:543.4pt;height:684.1pt;mso-position-horizontal-relative:page;mso-position-vertical-relative:page;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5"/>
                    <w:gridCol w:w="648"/>
                    <w:gridCol w:w="643"/>
                    <w:gridCol w:w="644"/>
                    <w:gridCol w:w="884"/>
                    <w:gridCol w:w="934"/>
                    <w:gridCol w:w="718"/>
                    <w:gridCol w:w="968"/>
                    <w:gridCol w:w="851"/>
                    <w:gridCol w:w="938"/>
                    <w:gridCol w:w="567"/>
                    <w:gridCol w:w="763"/>
                  </w:tblGrid>
                  <w:tr>
                    <w:trPr>
                      <w:trHeight w:val="1663" w:hRule="exact"/>
                    </w:trPr>
                    <w:tc>
                      <w:tcPr>
                        <w:tcW w:w="226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60" w:lineRule="auto"/>
                          <w:ind w:left="577" w:right="495" w:hanging="90"/>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64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45" w:right="47"/>
                          <w:jc w:val="center"/>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 部分变 更</w:t>
                        </w:r>
                        <w:r>
                          <w:rPr>
                            <w:rFonts w:ascii="宋体" w:hAnsi="宋体" w:cs="宋体" w:eastAsia="宋体" w:hint="default"/>
                            <w:sz w:val="18"/>
                            <w:szCs w:val="18"/>
                          </w:rPr>
                          <w:t>)</w:t>
                        </w:r>
                      </w:p>
                    </w:tc>
                    <w:tc>
                      <w:tcPr>
                        <w:tcW w:w="64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4" w:right="4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6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 w:right="42"/>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(1)</w:t>
                        </w:r>
                      </w:p>
                    </w:tc>
                    <w:tc>
                      <w:tcPr>
                        <w:tcW w:w="8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3" w:right="75"/>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9" w:right="97"/>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7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4" w:right="36"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34" w:right="36"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9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7"/>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8" w:right="5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1"/>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5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7" w:right="93"/>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51"/>
                          <w:ind w:left="104" w:right="9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7" w:hRule="exact"/>
                    </w:trPr>
                    <w:tc>
                      <w:tcPr>
                        <w:tcW w:w="10823"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9"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69"/>
                          <w:jc w:val="left"/>
                          <w:rPr>
                            <w:rFonts w:ascii="宋体" w:hAnsi="宋体" w:cs="宋体" w:eastAsia="宋体" w:hint="default"/>
                            <w:sz w:val="18"/>
                            <w:szCs w:val="18"/>
                          </w:rPr>
                        </w:pPr>
                        <w:r>
                          <w:rPr>
                            <w:rFonts w:ascii="宋体" w:hAnsi="宋体" w:cs="宋体" w:eastAsia="宋体" w:hint="default"/>
                            <w:sz w:val="18"/>
                            <w:szCs w:val="18"/>
                          </w:rPr>
                          <w:t>电力用户用电信息采集系统 产能扩大建设项目</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8"/>
                            <w:szCs w:val="18"/>
                          </w:rPr>
                        </w:pPr>
                        <w:r>
                          <w:rPr>
                            <w:rFonts w:ascii="宋体"/>
                            <w:sz w:val="18"/>
                          </w:rPr>
                          <w:t>15,300</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15,300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46.82</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center"/>
                          <w:rPr>
                            <w:rFonts w:ascii="宋体" w:hAnsi="宋体" w:cs="宋体" w:eastAsia="宋体" w:hint="default"/>
                            <w:sz w:val="18"/>
                            <w:szCs w:val="18"/>
                          </w:rPr>
                        </w:pPr>
                        <w:r>
                          <w:rPr>
                            <w:rFonts w:ascii="宋体"/>
                            <w:sz w:val="18"/>
                          </w:rPr>
                          <w:t>12,205.73</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center"/>
                          <w:rPr>
                            <w:rFonts w:ascii="宋体" w:hAnsi="宋体" w:cs="宋体" w:eastAsia="宋体" w:hint="default"/>
                            <w:sz w:val="18"/>
                            <w:szCs w:val="18"/>
                          </w:rPr>
                        </w:pPr>
                        <w:r>
                          <w:rPr>
                            <w:rFonts w:ascii="宋体"/>
                            <w:sz w:val="18"/>
                          </w:rPr>
                          <w:t>79.78%</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2,863.18</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3,304.67</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center"/>
                          <w:rPr>
                            <w:rFonts w:ascii="宋体" w:hAnsi="宋体" w:cs="宋体" w:eastAsia="宋体" w:hint="default"/>
                            <w:sz w:val="18"/>
                            <w:szCs w:val="18"/>
                          </w:rPr>
                        </w:pPr>
                        <w:r>
                          <w:rPr>
                            <w:rFonts w:ascii="宋体"/>
                            <w:sz w:val="18"/>
                          </w:rPr>
                          <w:t>5,100</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8"/>
                            <w:szCs w:val="18"/>
                          </w:rPr>
                        </w:pPr>
                        <w:r>
                          <w:rPr>
                            <w:rFonts w:ascii="宋体"/>
                            <w:sz w:val="18"/>
                          </w:rPr>
                          <w:t>5,100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695.86</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center"/>
                          <w:rPr>
                            <w:rFonts w:ascii="宋体" w:hAnsi="宋体" w:cs="宋体" w:eastAsia="宋体" w:hint="default"/>
                            <w:sz w:val="18"/>
                            <w:szCs w:val="18"/>
                          </w:rPr>
                        </w:pPr>
                        <w:r>
                          <w:rPr>
                            <w:rFonts w:ascii="宋体"/>
                            <w:sz w:val="18"/>
                          </w:rPr>
                          <w:t>3,902.94</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center"/>
                          <w:rPr>
                            <w:rFonts w:ascii="宋体" w:hAnsi="宋体" w:cs="宋体" w:eastAsia="宋体" w:hint="default"/>
                            <w:sz w:val="18"/>
                            <w:szCs w:val="18"/>
                          </w:rPr>
                        </w:pPr>
                        <w:r>
                          <w:rPr>
                            <w:rFonts w:ascii="宋体"/>
                            <w:sz w:val="18"/>
                          </w:rPr>
                          <w:t>76.53%</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157.06</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157.06</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69"/>
                          <w:jc w:val="left"/>
                          <w:rPr>
                            <w:rFonts w:ascii="宋体" w:hAnsi="宋体" w:cs="宋体" w:eastAsia="宋体" w:hint="default"/>
                            <w:sz w:val="18"/>
                            <w:szCs w:val="18"/>
                          </w:rPr>
                        </w:pPr>
                        <w:r>
                          <w:rPr>
                            <w:rFonts w:ascii="宋体" w:hAnsi="宋体" w:cs="宋体" w:eastAsia="宋体" w:hint="default"/>
                            <w:sz w:val="18"/>
                            <w:szCs w:val="18"/>
                          </w:rPr>
                          <w:t>项目结余募集资金永久补充 流动资金</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1,428.95</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8" w:right="0"/>
                          <w:jc w:val="center"/>
                          <w:rPr>
                            <w:rFonts w:ascii="宋体" w:hAnsi="宋体" w:cs="宋体" w:eastAsia="宋体" w:hint="default"/>
                            <w:sz w:val="18"/>
                            <w:szCs w:val="18"/>
                          </w:rPr>
                        </w:pPr>
                        <w:r>
                          <w:rPr>
                            <w:rFonts w:ascii="宋体"/>
                            <w:sz w:val="18"/>
                          </w:rPr>
                          <w:t>5,327.58</w:t>
                        </w:r>
                      </w:p>
                    </w:tc>
                    <w:tc>
                      <w:tcPr>
                        <w:tcW w:w="718"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69"/>
                          <w:jc w:val="left"/>
                          <w:rPr>
                            <w:rFonts w:ascii="宋体" w:hAnsi="宋体" w:cs="宋体" w:eastAsia="宋体" w:hint="default"/>
                            <w:sz w:val="18"/>
                            <w:szCs w:val="18"/>
                          </w:rPr>
                        </w:pPr>
                        <w:r>
                          <w:rPr>
                            <w:rFonts w:ascii="宋体" w:hAnsi="宋体" w:cs="宋体" w:eastAsia="宋体" w:hint="default"/>
                            <w:sz w:val="18"/>
                            <w:szCs w:val="18"/>
                          </w:rPr>
                          <w:t>不适 用</w:t>
                        </w:r>
                      </w:p>
                    </w:tc>
                    <w:tc>
                      <w:tcPr>
                        <w:tcW w:w="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2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227"/>
                          <w:jc w:val="right"/>
                          <w:rPr>
                            <w:rFonts w:ascii="宋体" w:hAnsi="宋体" w:cs="宋体" w:eastAsia="宋体" w:hint="default"/>
                            <w:sz w:val="18"/>
                            <w:szCs w:val="18"/>
                          </w:rPr>
                        </w:pPr>
                        <w:r>
                          <w:rPr>
                            <w:rFonts w:ascii="宋体"/>
                            <w:sz w:val="18"/>
                          </w:rPr>
                          <w:t>--</w:t>
                        </w:r>
                      </w:p>
                    </w:tc>
                    <w:tc>
                      <w:tcPr>
                        <w:tcW w:w="64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44" w:right="0"/>
                          <w:jc w:val="center"/>
                          <w:rPr>
                            <w:rFonts w:ascii="宋体" w:hAnsi="宋体" w:cs="宋体" w:eastAsia="宋体" w:hint="default"/>
                            <w:sz w:val="18"/>
                            <w:szCs w:val="18"/>
                          </w:rPr>
                        </w:pPr>
                        <w:r>
                          <w:rPr>
                            <w:rFonts w:ascii="宋体"/>
                            <w:sz w:val="18"/>
                          </w:rPr>
                          <w:t>20,400</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20,400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2,171.63</w:t>
                        </w:r>
                      </w:p>
                    </w:tc>
                    <w:tc>
                      <w:tcPr>
                        <w:tcW w:w="934"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2"/>
                          <w:ind w:left="79" w:right="0"/>
                          <w:jc w:val="center"/>
                          <w:rPr>
                            <w:rFonts w:ascii="宋体" w:hAnsi="宋体" w:cs="宋体" w:eastAsia="宋体" w:hint="default"/>
                            <w:sz w:val="18"/>
                            <w:szCs w:val="18"/>
                          </w:rPr>
                        </w:pPr>
                        <w:r>
                          <w:rPr>
                            <w:rFonts w:ascii="宋体"/>
                            <w:sz w:val="18"/>
                          </w:rPr>
                          <w:t>21,436.25</w:t>
                        </w:r>
                      </w:p>
                    </w:tc>
                    <w:tc>
                      <w:tcPr>
                        <w:tcW w:w="7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5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3,020.24</w:t>
                        </w:r>
                      </w:p>
                    </w:tc>
                    <w:tc>
                      <w:tcPr>
                        <w:tcW w:w="938"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2"/>
                          <w:ind w:right="7"/>
                          <w:jc w:val="right"/>
                          <w:rPr>
                            <w:rFonts w:ascii="宋体" w:hAnsi="宋体" w:cs="宋体" w:eastAsia="宋体" w:hint="default"/>
                            <w:sz w:val="18"/>
                            <w:szCs w:val="18"/>
                          </w:rPr>
                        </w:pPr>
                        <w:r>
                          <w:rPr>
                            <w:rFonts w:ascii="宋体"/>
                            <w:sz w:val="18"/>
                          </w:rPr>
                          <w:t>3,461.73</w:t>
                        </w:r>
                      </w:p>
                    </w:tc>
                    <w:tc>
                      <w:tcPr>
                        <w:tcW w:w="5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83"/>
                          <w:jc w:val="right"/>
                          <w:rPr>
                            <w:rFonts w:ascii="宋体" w:hAnsi="宋体" w:cs="宋体" w:eastAsia="宋体" w:hint="default"/>
                            <w:sz w:val="18"/>
                            <w:szCs w:val="18"/>
                          </w:rPr>
                        </w:pPr>
                        <w:r>
                          <w:rPr>
                            <w:rFonts w:ascii="宋体"/>
                            <w:sz w:val="18"/>
                          </w:rPr>
                          <w:t>--</w:t>
                        </w:r>
                      </w:p>
                    </w:tc>
                    <w:tc>
                      <w:tcPr>
                        <w:tcW w:w="76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right="275"/>
                          <w:jc w:val="right"/>
                          <w:rPr>
                            <w:rFonts w:ascii="宋体" w:hAnsi="宋体" w:cs="宋体" w:eastAsia="宋体" w:hint="default"/>
                            <w:sz w:val="18"/>
                            <w:szCs w:val="18"/>
                          </w:rPr>
                        </w:pPr>
                        <w:r>
                          <w:rPr>
                            <w:rFonts w:ascii="宋体"/>
                            <w:sz w:val="18"/>
                          </w:rPr>
                          <w:t>--</w:t>
                        </w:r>
                      </w:p>
                    </w:tc>
                  </w:tr>
                  <w:tr>
                    <w:trPr>
                      <w:trHeight w:val="407" w:hRule="exact"/>
                    </w:trPr>
                    <w:tc>
                      <w:tcPr>
                        <w:tcW w:w="10823"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收购索瑞电气股权</w:t>
                        </w:r>
                      </w:p>
                    </w:tc>
                    <w:tc>
                      <w:tcPr>
                        <w:tcW w:w="648"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8" w:right="0"/>
                          <w:jc w:val="center"/>
                          <w:rPr>
                            <w:rFonts w:ascii="宋体" w:hAnsi="宋体" w:cs="宋体" w:eastAsia="宋体" w:hint="default"/>
                            <w:sz w:val="18"/>
                            <w:szCs w:val="18"/>
                          </w:rPr>
                        </w:pPr>
                        <w:r>
                          <w:rPr>
                            <w:rFonts w:ascii="宋体"/>
                            <w:sz w:val="18"/>
                          </w:rPr>
                          <w:t>7,296.25</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 w:right="0"/>
                          <w:jc w:val="center"/>
                          <w:rPr>
                            <w:rFonts w:ascii="宋体" w:hAnsi="宋体" w:cs="宋体" w:eastAsia="宋体" w:hint="default"/>
                            <w:sz w:val="18"/>
                            <w:szCs w:val="18"/>
                          </w:rPr>
                        </w:pPr>
                        <w:r>
                          <w:rPr>
                            <w:rFonts w:ascii="宋体"/>
                            <w:sz w:val="18"/>
                          </w:rPr>
                          <w:t>100.00%</w:t>
                        </w:r>
                      </w:p>
                    </w:tc>
                    <w:tc>
                      <w:tcPr>
                        <w:tcW w:w="9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129.91</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17,900.32</w:t>
                        </w:r>
                      </w:p>
                    </w:tc>
                    <w:tc>
                      <w:tcPr>
                        <w:tcW w:w="567" w:type="dxa"/>
                        <w:tcBorders>
                          <w:top w:val="single" w:sz="6" w:space="0" w:color="000000"/>
                          <w:left w:val="single" w:sz="6" w:space="0" w:color="000000"/>
                          <w:bottom w:val="single" w:sz="6" w:space="0" w:color="000000"/>
                          <w:right w:val="single" w:sz="6" w:space="0" w:color="000000"/>
                        </w:tcBorders>
                      </w:tcPr>
                      <w:p>
                        <w:pPr/>
                      </w:p>
                    </w:tc>
                    <w:tc>
                      <w:tcPr>
                        <w:tcW w:w="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2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6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227"/>
                          <w:jc w:val="right"/>
                          <w:rPr>
                            <w:rFonts w:ascii="宋体" w:hAnsi="宋体" w:cs="宋体" w:eastAsia="宋体" w:hint="default"/>
                            <w:sz w:val="18"/>
                            <w:szCs w:val="18"/>
                          </w:rPr>
                        </w:pPr>
                        <w:r>
                          <w:rPr>
                            <w:rFonts w:ascii="宋体"/>
                            <w:sz w:val="18"/>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9" w:space="0" w:color="D2D2D2"/>
                        </w:tcBorders>
                      </w:tcPr>
                      <w:p>
                        <w:pPr/>
                      </w:p>
                    </w:tc>
                    <w:tc>
                      <w:tcPr>
                        <w:tcW w:w="9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83"/>
                          <w:jc w:val="right"/>
                          <w:rPr>
                            <w:rFonts w:ascii="宋体" w:hAnsi="宋体" w:cs="宋体" w:eastAsia="宋体" w:hint="default"/>
                            <w:sz w:val="18"/>
                            <w:szCs w:val="18"/>
                          </w:rPr>
                        </w:pPr>
                        <w:r>
                          <w:rPr>
                            <w:rFonts w:ascii="宋体"/>
                            <w:sz w:val="18"/>
                          </w:rPr>
                          <w:t>--</w:t>
                        </w:r>
                      </w:p>
                    </w:tc>
                    <w:tc>
                      <w:tcPr>
                        <w:tcW w:w="76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right="275"/>
                          <w:jc w:val="right"/>
                          <w:rPr>
                            <w:rFonts w:ascii="宋体" w:hAnsi="宋体" w:cs="宋体" w:eastAsia="宋体" w:hint="default"/>
                            <w:sz w:val="18"/>
                            <w:szCs w:val="18"/>
                          </w:rPr>
                        </w:pPr>
                        <w:r>
                          <w:rPr>
                            <w:rFonts w:ascii="宋体"/>
                            <w:sz w:val="18"/>
                          </w:rPr>
                          <w:t>--</w:t>
                        </w:r>
                      </w:p>
                    </w:tc>
                  </w:tr>
                  <w:tr>
                    <w:trPr>
                      <w:trHeight w:val="407" w:hRule="exact"/>
                    </w:trPr>
                    <w:tc>
                      <w:tcPr>
                        <w:tcW w:w="22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6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227"/>
                          <w:jc w:val="right"/>
                          <w:rPr>
                            <w:rFonts w:ascii="宋体" w:hAnsi="宋体" w:cs="宋体" w:eastAsia="宋体" w:hint="default"/>
                            <w:sz w:val="18"/>
                            <w:szCs w:val="18"/>
                          </w:rPr>
                        </w:pPr>
                        <w:r>
                          <w:rPr>
                            <w:rFonts w:ascii="宋体"/>
                            <w:sz w:val="18"/>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0.37</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8" w:right="0"/>
                          <w:jc w:val="center"/>
                          <w:rPr>
                            <w:rFonts w:ascii="宋体" w:hAnsi="宋体" w:cs="宋体" w:eastAsia="宋体" w:hint="default"/>
                            <w:sz w:val="18"/>
                            <w:szCs w:val="18"/>
                          </w:rPr>
                        </w:pPr>
                        <w:r>
                          <w:rPr>
                            <w:rFonts w:ascii="宋体"/>
                            <w:sz w:val="18"/>
                          </w:rPr>
                          <w:t>8,250.37</w:t>
                        </w:r>
                      </w:p>
                    </w:tc>
                    <w:tc>
                      <w:tcPr>
                        <w:tcW w:w="718" w:type="dxa"/>
                        <w:tcBorders>
                          <w:top w:val="single" w:sz="6" w:space="0" w:color="000000"/>
                          <w:left w:val="single" w:sz="6" w:space="0" w:color="000000"/>
                          <w:bottom w:val="single" w:sz="6" w:space="0" w:color="000000"/>
                          <w:right w:val="single" w:sz="9" w:space="0" w:color="D2D2D2"/>
                        </w:tcBorders>
                      </w:tcPr>
                      <w:p>
                        <w:pPr/>
                      </w:p>
                    </w:tc>
                    <w:tc>
                      <w:tcPr>
                        <w:tcW w:w="9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9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83"/>
                          <w:jc w:val="right"/>
                          <w:rPr>
                            <w:rFonts w:ascii="宋体" w:hAnsi="宋体" w:cs="宋体" w:eastAsia="宋体" w:hint="default"/>
                            <w:sz w:val="18"/>
                            <w:szCs w:val="18"/>
                          </w:rPr>
                        </w:pPr>
                        <w:r>
                          <w:rPr>
                            <w:rFonts w:ascii="宋体"/>
                            <w:sz w:val="18"/>
                          </w:rPr>
                          <w:t>--</w:t>
                        </w:r>
                      </w:p>
                    </w:tc>
                    <w:tc>
                      <w:tcPr>
                        <w:tcW w:w="76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right="275"/>
                          <w:jc w:val="right"/>
                          <w:rPr>
                            <w:rFonts w:ascii="宋体" w:hAnsi="宋体" w:cs="宋体" w:eastAsia="宋体" w:hint="default"/>
                            <w:sz w:val="18"/>
                            <w:szCs w:val="18"/>
                          </w:rPr>
                        </w:pPr>
                        <w:r>
                          <w:rPr>
                            <w:rFonts w:ascii="宋体"/>
                            <w:sz w:val="18"/>
                          </w:rPr>
                          <w:t>--</w:t>
                        </w:r>
                      </w:p>
                    </w:tc>
                  </w:tr>
                  <w:tr>
                    <w:trPr>
                      <w:trHeight w:val="407" w:hRule="exact"/>
                    </w:trPr>
                    <w:tc>
                      <w:tcPr>
                        <w:tcW w:w="22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227"/>
                          <w:jc w:val="right"/>
                          <w:rPr>
                            <w:rFonts w:ascii="宋体" w:hAnsi="宋体" w:cs="宋体" w:eastAsia="宋体" w:hint="default"/>
                            <w:sz w:val="18"/>
                            <w:szCs w:val="18"/>
                          </w:rPr>
                        </w:pPr>
                        <w:r>
                          <w:rPr>
                            <w:rFonts w:ascii="宋体"/>
                            <w:sz w:val="18"/>
                          </w:rPr>
                          <w:t>--</w:t>
                        </w:r>
                      </w:p>
                    </w:tc>
                    <w:tc>
                      <w:tcPr>
                        <w:tcW w:w="643"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0.37</w:t>
                        </w:r>
                      </w:p>
                    </w:tc>
                    <w:tc>
                      <w:tcPr>
                        <w:tcW w:w="934"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2"/>
                          <w:ind w:left="79" w:right="0"/>
                          <w:jc w:val="center"/>
                          <w:rPr>
                            <w:rFonts w:ascii="宋体" w:hAnsi="宋体" w:cs="宋体" w:eastAsia="宋体" w:hint="default"/>
                            <w:sz w:val="18"/>
                            <w:szCs w:val="18"/>
                          </w:rPr>
                        </w:pPr>
                        <w:r>
                          <w:rPr>
                            <w:rFonts w:ascii="宋体"/>
                            <w:sz w:val="18"/>
                          </w:rPr>
                          <w:t>15,546.62</w:t>
                        </w:r>
                      </w:p>
                    </w:tc>
                    <w:tc>
                      <w:tcPr>
                        <w:tcW w:w="7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5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129.91</w:t>
                        </w:r>
                      </w:p>
                    </w:tc>
                    <w:tc>
                      <w:tcPr>
                        <w:tcW w:w="938"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2"/>
                          <w:ind w:right="7"/>
                          <w:jc w:val="right"/>
                          <w:rPr>
                            <w:rFonts w:ascii="宋体" w:hAnsi="宋体" w:cs="宋体" w:eastAsia="宋体" w:hint="default"/>
                            <w:sz w:val="18"/>
                            <w:szCs w:val="18"/>
                          </w:rPr>
                        </w:pPr>
                        <w:r>
                          <w:rPr>
                            <w:rFonts w:ascii="宋体"/>
                            <w:sz w:val="18"/>
                          </w:rPr>
                          <w:t>17,900.32</w:t>
                        </w:r>
                      </w:p>
                    </w:tc>
                    <w:tc>
                      <w:tcPr>
                        <w:tcW w:w="5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83"/>
                          <w:jc w:val="right"/>
                          <w:rPr>
                            <w:rFonts w:ascii="宋体" w:hAnsi="宋体" w:cs="宋体" w:eastAsia="宋体" w:hint="default"/>
                            <w:sz w:val="18"/>
                            <w:szCs w:val="18"/>
                          </w:rPr>
                        </w:pPr>
                        <w:r>
                          <w:rPr>
                            <w:rFonts w:ascii="宋体"/>
                            <w:sz w:val="18"/>
                          </w:rPr>
                          <w:t>--</w:t>
                        </w:r>
                      </w:p>
                    </w:tc>
                    <w:tc>
                      <w:tcPr>
                        <w:tcW w:w="76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right="275"/>
                          <w:jc w:val="right"/>
                          <w:rPr>
                            <w:rFonts w:ascii="宋体" w:hAnsi="宋体" w:cs="宋体" w:eastAsia="宋体" w:hint="default"/>
                            <w:sz w:val="18"/>
                            <w:szCs w:val="18"/>
                          </w:rPr>
                        </w:pPr>
                        <w:r>
                          <w:rPr>
                            <w:rFonts w:ascii="宋体"/>
                            <w:sz w:val="18"/>
                          </w:rPr>
                          <w:t>--</w:t>
                        </w:r>
                      </w:p>
                    </w:tc>
                  </w:tr>
                  <w:tr>
                    <w:trPr>
                      <w:trHeight w:val="407" w:hRule="exact"/>
                    </w:trPr>
                    <w:tc>
                      <w:tcPr>
                        <w:tcW w:w="22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227"/>
                          <w:jc w:val="right"/>
                          <w:rPr>
                            <w:rFonts w:ascii="宋体" w:hAnsi="宋体" w:cs="宋体" w:eastAsia="宋体" w:hint="default"/>
                            <w:sz w:val="18"/>
                            <w:szCs w:val="18"/>
                          </w:rPr>
                        </w:pPr>
                        <w:r>
                          <w:rPr>
                            <w:rFonts w:ascii="宋体"/>
                            <w:sz w:val="18"/>
                          </w:rPr>
                          <w:t>--</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center"/>
                          <w:rPr>
                            <w:rFonts w:ascii="宋体" w:hAnsi="宋体" w:cs="宋体" w:eastAsia="宋体" w:hint="default"/>
                            <w:sz w:val="18"/>
                            <w:szCs w:val="18"/>
                          </w:rPr>
                        </w:pPr>
                        <w:r>
                          <w:rPr>
                            <w:rFonts w:ascii="宋体"/>
                            <w:sz w:val="18"/>
                          </w:rPr>
                          <w:t>20,400</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20,400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2,172</w:t>
                        </w:r>
                      </w:p>
                    </w:tc>
                    <w:tc>
                      <w:tcPr>
                        <w:tcW w:w="934"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2"/>
                          <w:ind w:left="79" w:right="0"/>
                          <w:jc w:val="center"/>
                          <w:rPr>
                            <w:rFonts w:ascii="宋体" w:hAnsi="宋体" w:cs="宋体" w:eastAsia="宋体" w:hint="default"/>
                            <w:sz w:val="18"/>
                            <w:szCs w:val="18"/>
                          </w:rPr>
                        </w:pPr>
                        <w:r>
                          <w:rPr>
                            <w:rFonts w:ascii="宋体"/>
                            <w:sz w:val="18"/>
                          </w:rPr>
                          <w:t>36,982.87</w:t>
                        </w:r>
                      </w:p>
                    </w:tc>
                    <w:tc>
                      <w:tcPr>
                        <w:tcW w:w="7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9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5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3,150.15</w:t>
                        </w:r>
                      </w:p>
                    </w:tc>
                    <w:tc>
                      <w:tcPr>
                        <w:tcW w:w="938"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2"/>
                          <w:ind w:right="7"/>
                          <w:jc w:val="right"/>
                          <w:rPr>
                            <w:rFonts w:ascii="宋体" w:hAnsi="宋体" w:cs="宋体" w:eastAsia="宋体" w:hint="default"/>
                            <w:sz w:val="18"/>
                            <w:szCs w:val="18"/>
                          </w:rPr>
                        </w:pPr>
                        <w:r>
                          <w:rPr>
                            <w:rFonts w:ascii="宋体"/>
                            <w:sz w:val="18"/>
                          </w:rPr>
                          <w:t>21,362.05</w:t>
                        </w:r>
                      </w:p>
                    </w:tc>
                    <w:tc>
                      <w:tcPr>
                        <w:tcW w:w="5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83"/>
                          <w:jc w:val="right"/>
                          <w:rPr>
                            <w:rFonts w:ascii="宋体" w:hAnsi="宋体" w:cs="宋体" w:eastAsia="宋体" w:hint="default"/>
                            <w:sz w:val="18"/>
                            <w:szCs w:val="18"/>
                          </w:rPr>
                        </w:pPr>
                        <w:r>
                          <w:rPr>
                            <w:rFonts w:ascii="宋体"/>
                            <w:sz w:val="18"/>
                          </w:rPr>
                          <w:t>--</w:t>
                        </w:r>
                      </w:p>
                    </w:tc>
                    <w:tc>
                      <w:tcPr>
                        <w:tcW w:w="76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right="275"/>
                          <w:jc w:val="right"/>
                          <w:rPr>
                            <w:rFonts w:ascii="宋体" w:hAnsi="宋体" w:cs="宋体" w:eastAsia="宋体" w:hint="default"/>
                            <w:sz w:val="18"/>
                            <w:szCs w:val="18"/>
                          </w:rPr>
                        </w:pPr>
                        <w:r>
                          <w:rPr>
                            <w:rFonts w:ascii="宋体"/>
                            <w:sz w:val="18"/>
                          </w:rPr>
                          <w:t>--</w:t>
                        </w:r>
                      </w:p>
                    </w:tc>
                  </w:tr>
                  <w:tr>
                    <w:trPr>
                      <w:trHeight w:val="6576" w:hRule="exact"/>
                    </w:trPr>
                    <w:tc>
                      <w:tcPr>
                        <w:tcW w:w="2913" w:type="dxa"/>
                        <w:gridSpan w:val="2"/>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0"/>
                          <w:ind w:left="13" w:right="177"/>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 和原因（分具体项目）</w:t>
                        </w:r>
                      </w:p>
                    </w:tc>
                    <w:tc>
                      <w:tcPr>
                        <w:tcW w:w="7909" w:type="dxa"/>
                        <w:gridSpan w:val="10"/>
                        <w:tcBorders>
                          <w:top w:val="single" w:sz="6" w:space="0" w:color="000000"/>
                          <w:left w:val="single" w:sz="6" w:space="0" w:color="000000"/>
                          <w:bottom w:val="single" w:sz="12" w:space="0" w:color="000000"/>
                          <w:right w:val="single" w:sz="12" w:space="0" w:color="000000"/>
                        </w:tcBorders>
                      </w:tcPr>
                      <w:p>
                        <w:pPr>
                          <w:pStyle w:val="TableParagraph"/>
                          <w:spacing w:line="316" w:lineRule="auto" w:before="11"/>
                          <w:ind w:left="20" w:right="-54" w:firstLine="360"/>
                          <w:jc w:val="left"/>
                          <w:rPr>
                            <w:rFonts w:ascii="宋体" w:hAnsi="宋体" w:cs="宋体" w:eastAsia="宋体" w:hint="default"/>
                            <w:sz w:val="18"/>
                            <w:szCs w:val="18"/>
                          </w:rPr>
                        </w:pPr>
                        <w:r>
                          <w:rPr>
                            <w:rFonts w:ascii="宋体" w:hAnsi="宋体" w:cs="宋体" w:eastAsia="宋体" w:hint="default"/>
                            <w:sz w:val="18"/>
                            <w:szCs w:val="18"/>
                          </w:rPr>
                          <w:t>①电力用户用电信息采集系统产能扩大建设项目：由于公司变更了募集资金投资项目实施地点， 详见公司 </w:t>
                        </w: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 </w:t>
                        </w:r>
                        <w:r>
                          <w:rPr>
                            <w:rFonts w:ascii="宋体" w:hAnsi="宋体" w:cs="宋体" w:eastAsia="宋体" w:hint="default"/>
                            <w:sz w:val="18"/>
                            <w:szCs w:val="18"/>
                          </w:rPr>
                          <w:t>15</w:t>
                        </w:r>
                        <w:r>
                          <w:rPr>
                            <w:rFonts w:ascii="宋体" w:hAnsi="宋体" w:cs="宋体" w:eastAsia="宋体" w:hint="default"/>
                            <w:spacing w:val="-63"/>
                            <w:sz w:val="18"/>
                            <w:szCs w:val="18"/>
                          </w:rPr>
                          <w:t> </w:t>
                        </w:r>
                        <w:r>
                          <w:rPr>
                            <w:rFonts w:ascii="宋体" w:hAnsi="宋体" w:cs="宋体" w:eastAsia="宋体" w:hint="default"/>
                            <w:spacing w:val="-3"/>
                            <w:sz w:val="18"/>
                            <w:szCs w:val="18"/>
                          </w:rPr>
                          <w:t>日披露的《关于变更部分募集资金投资项目实施地点的公告》（公告编码</w:t>
                        </w:r>
                      </w:p>
                      <w:p>
                        <w:pPr>
                          <w:pStyle w:val="TableParagraph"/>
                          <w:spacing w:line="316" w:lineRule="auto" w:before="19"/>
                          <w:ind w:left="20" w:right="1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0111-</w:t>
                        </w:r>
                        <w:r>
                          <w:rPr>
                            <w:rFonts w:ascii="宋体" w:hAnsi="宋体" w:cs="宋体" w:eastAsia="宋体" w:hint="default"/>
                            <w:spacing w:val="14"/>
                            <w:sz w:val="18"/>
                            <w:szCs w:val="18"/>
                          </w:rPr>
                          <w:t> </w:t>
                        </w:r>
                        <w:r>
                          <w:rPr>
                            <w:rFonts w:ascii="宋体" w:hAnsi="宋体" w:cs="宋体" w:eastAsia="宋体" w:hint="default"/>
                            <w:sz w:val="18"/>
                            <w:szCs w:val="18"/>
                          </w:rPr>
                          <w:t>003</w:t>
                        </w:r>
                        <w:r>
                          <w:rPr>
                            <w:rFonts w:ascii="宋体" w:hAnsi="宋体" w:cs="宋体" w:eastAsia="宋体" w:hint="default"/>
                            <w:spacing w:val="15"/>
                            <w:sz w:val="18"/>
                            <w:szCs w:val="18"/>
                          </w:rPr>
                          <w:t> </w:t>
                        </w:r>
                        <w:r>
                          <w:rPr>
                            <w:rFonts w:ascii="宋体" w:hAnsi="宋体" w:cs="宋体" w:eastAsia="宋体" w:hint="default"/>
                            <w:spacing w:val="-3"/>
                            <w:sz w:val="18"/>
                            <w:szCs w:val="18"/>
                          </w:rPr>
                          <w:t>号），与之相关的规划许可审批、施工图审批、消防审批及项目施工许可审批等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环节都相应调整并重新办理，需时较长。另外，公司所在城市于</w:t>
                        </w:r>
                        <w:r>
                          <w:rPr>
                            <w:rFonts w:ascii="宋体" w:hAnsi="宋体" w:cs="宋体" w:eastAsia="宋体" w:hint="default"/>
                            <w:spacing w:val="-51"/>
                            <w:sz w:val="18"/>
                            <w:szCs w:val="18"/>
                          </w:rPr>
                          <w:t> </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年承办亚青会，</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年承办青 </w:t>
                        </w:r>
                        <w:r>
                          <w:rPr>
                            <w:rFonts w:ascii="宋体" w:hAnsi="宋体" w:cs="宋体" w:eastAsia="宋体" w:hint="default"/>
                            <w:spacing w:val="-2"/>
                            <w:sz w:val="18"/>
                            <w:szCs w:val="18"/>
                          </w:rPr>
                          <w:t>奥会，服从政府部门在此期间对基建项目的管理要求也对项目的基建工期有一定影响，公司考虑到上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述因素，公司在《</w:t>
                        </w:r>
                        <w:r>
                          <w:rPr>
                            <w:rFonts w:ascii="宋体" w:hAnsi="宋体" w:cs="宋体" w:eastAsia="宋体" w:hint="default"/>
                            <w:sz w:val="18"/>
                            <w:szCs w:val="18"/>
                          </w:rPr>
                          <w:t>2013</w:t>
                        </w:r>
                        <w:r>
                          <w:rPr>
                            <w:rFonts w:ascii="宋体" w:hAnsi="宋体" w:cs="宋体" w:eastAsia="宋体" w:hint="default"/>
                            <w:spacing w:val="16"/>
                            <w:sz w:val="18"/>
                            <w:szCs w:val="18"/>
                          </w:rPr>
                          <w:t> </w:t>
                        </w:r>
                        <w:r>
                          <w:rPr>
                            <w:rFonts w:ascii="宋体" w:hAnsi="宋体" w:cs="宋体" w:eastAsia="宋体" w:hint="default"/>
                            <w:sz w:val="18"/>
                            <w:szCs w:val="18"/>
                          </w:rPr>
                          <w:t>年度半年度报告》中将“电力用户用电信息采集系统产能扩大建设项目”达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到预定可使用状态日期由</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19"/>
                          <w:ind w:left="20" w:right="8" w:firstLine="360"/>
                          <w:jc w:val="both"/>
                          <w:rPr>
                            <w:rFonts w:ascii="宋体" w:hAnsi="宋体" w:cs="宋体" w:eastAsia="宋体" w:hint="default"/>
                            <w:sz w:val="18"/>
                            <w:szCs w:val="18"/>
                          </w:rPr>
                        </w:pPr>
                        <w:r>
                          <w:rPr>
                            <w:rFonts w:ascii="宋体" w:hAnsi="宋体" w:cs="宋体" w:eastAsia="宋体" w:hint="default"/>
                            <w:sz w:val="18"/>
                            <w:szCs w:val="18"/>
                          </w:rPr>
                          <w:t>由于亚青会的召开及青奥会前期的市政工作，募投项目 </w:t>
                        </w:r>
                        <w:r>
                          <w:rPr>
                            <w:rFonts w:ascii="宋体" w:hAnsi="宋体" w:cs="宋体" w:eastAsia="宋体" w:hint="default"/>
                            <w:sz w:val="18"/>
                            <w:szCs w:val="18"/>
                          </w:rPr>
                          <w:t>2013</w:t>
                        </w:r>
                        <w:r>
                          <w:rPr>
                            <w:rFonts w:ascii="宋体" w:hAnsi="宋体" w:cs="宋体" w:eastAsia="宋体" w:hint="default"/>
                            <w:spacing w:val="-67"/>
                            <w:sz w:val="18"/>
                            <w:szCs w:val="18"/>
                          </w:rPr>
                          <w:t> </w:t>
                        </w:r>
                        <w:r>
                          <w:rPr>
                            <w:rFonts w:ascii="宋体" w:hAnsi="宋体" w:cs="宋体" w:eastAsia="宋体" w:hint="default"/>
                            <w:sz w:val="18"/>
                            <w:szCs w:val="18"/>
                          </w:rPr>
                          <w:t>年下半年的基建进度受到的影响比 </w:t>
                        </w:r>
                        <w:r>
                          <w:rPr>
                            <w:rFonts w:ascii="宋体" w:hAnsi="宋体" w:cs="宋体" w:eastAsia="宋体" w:hint="default"/>
                            <w:spacing w:val="-2"/>
                            <w:sz w:val="18"/>
                            <w:szCs w:val="18"/>
                          </w:rPr>
                          <w:t>预期要大，此外为响应党的十八大关于绿色、科技、节能、减排的号召，综合考虑募投项目未来运行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及管理的科学性和便利性，以及灵活利用生产设备，充分发挥生产效率的需要，公司对电力用户用电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信息采集系统产能扩大建设项目在厂房内部结构和布局上重新进行规划设计。为避免完工后二次改造</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产生额外成本，公司决定在厂房建设阶段即进行方案设计和实施，将其建设成节能减排、绿色科技厂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房。考虑到上述因素，公司将“电力用户用电信息采集系统产能扩大建设项目”达到预定可使用状态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日期由</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9" w:lineRule="auto" w:before="19"/>
                          <w:ind w:left="20" w:right="8" w:firstLine="360"/>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年度报告》中，电力用户用电信息采集系统产能扩大建设项目的厂房已建设完毕 </w:t>
                        </w:r>
                        <w:r>
                          <w:rPr>
                            <w:rFonts w:ascii="宋体" w:hAnsi="宋体" w:cs="宋体" w:eastAsia="宋体" w:hint="default"/>
                            <w:spacing w:val="-2"/>
                            <w:sz w:val="18"/>
                            <w:szCs w:val="18"/>
                          </w:rPr>
                          <w:t>按照柔性产能确定的生产设备合同已陆续签署。由于该项目厂房与公司综合楼在同一地块一起投入建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设，综合楼建设体量比厂房大，故在建设进度上慢于厂房，在规划供电、排水、交通、后勤保障等方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面综合楼与厂房需要同步考虑，从经济效益角度考虑，厂房与综合楼同时启用经济效益最优，运行成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本较低，综合楼预计 </w:t>
                        </w:r>
                        <w:r>
                          <w:rPr>
                            <w:rFonts w:ascii="宋体" w:hAnsi="宋体" w:cs="宋体" w:eastAsia="宋体" w:hint="default"/>
                            <w:sz w:val="18"/>
                            <w:szCs w:val="18"/>
                          </w:rPr>
                          <w:t>2016</w:t>
                        </w:r>
                        <w:r>
                          <w:rPr>
                            <w:rFonts w:ascii="宋体" w:hAnsi="宋体" w:cs="宋体" w:eastAsia="宋体" w:hint="default"/>
                            <w:spacing w:val="-67"/>
                            <w:sz w:val="18"/>
                            <w:szCs w:val="18"/>
                          </w:rPr>
                          <w:t> </w:t>
                        </w:r>
                        <w:r>
                          <w:rPr>
                            <w:rFonts w:ascii="宋体" w:hAnsi="宋体" w:cs="宋体" w:eastAsia="宋体" w:hint="default"/>
                            <w:sz w:val="18"/>
                            <w:szCs w:val="18"/>
                          </w:rPr>
                          <w:t>年年初交付使用，考虑到上述因素，公司将“电力用户用电信息采集系统</w:t>
                        </w:r>
                      </w:p>
                      <w:p>
                        <w:pPr>
                          <w:pStyle w:val="TableParagraph"/>
                          <w:spacing w:line="316" w:lineRule="auto" w:before="17"/>
                          <w:ind w:left="380" w:right="396" w:hanging="360"/>
                          <w:jc w:val="left"/>
                          <w:rPr>
                            <w:rFonts w:ascii="宋体" w:hAnsi="宋体" w:cs="宋体" w:eastAsia="宋体" w:hint="default"/>
                            <w:sz w:val="18"/>
                            <w:szCs w:val="18"/>
                          </w:rPr>
                        </w:pPr>
                        <w:r>
                          <w:rPr>
                            <w:rFonts w:ascii="宋体" w:hAnsi="宋体" w:cs="宋体" w:eastAsia="宋体" w:hint="default"/>
                            <w:sz w:val="18"/>
                            <w:szCs w:val="18"/>
                          </w:rPr>
                          <w:t>产能扩大建设项目”达到预定可使用状态日期由</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 截止目前，电力用户用电信息采集系统产能扩大建设项目已建成并投入使用。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44"/>
        <w:ind w:left="0" w:right="5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000" w:top="1100" w:bottom="1180" w:left="3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2913"/>
        <w:gridCol w:w="7909"/>
      </w:tblGrid>
      <w:tr>
        <w:trPr>
          <w:trHeight w:val="5639" w:hRule="exact"/>
        </w:trPr>
        <w:tc>
          <w:tcPr>
            <w:tcW w:w="291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7909"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10"/>
              <w:ind w:left="20" w:right="11" w:firstLine="360"/>
              <w:jc w:val="both"/>
              <w:rPr>
                <w:rFonts w:ascii="宋体" w:hAnsi="宋体" w:cs="宋体" w:eastAsia="宋体" w:hint="default"/>
                <w:sz w:val="18"/>
                <w:szCs w:val="18"/>
              </w:rPr>
            </w:pPr>
            <w:r>
              <w:rPr>
                <w:rFonts w:ascii="宋体" w:hAnsi="宋体" w:cs="宋体" w:eastAsia="宋体" w:hint="default"/>
                <w:spacing w:val="-2"/>
                <w:sz w:val="18"/>
                <w:szCs w:val="18"/>
              </w:rPr>
              <w:t>②研发中心建设项目：因同受上述“电力用户用电信息采集系统产能扩大建设项目”延期因素影</w:t>
            </w:r>
            <w:r>
              <w:rPr>
                <w:rFonts w:ascii="宋体" w:hAnsi="宋体" w:cs="宋体" w:eastAsia="宋体" w:hint="default"/>
                <w:sz w:val="18"/>
                <w:szCs w:val="18"/>
              </w:rPr>
              <w:t> 响，公司在《</w:t>
            </w:r>
            <w:r>
              <w:rPr>
                <w:rFonts w:ascii="宋体" w:hAnsi="宋体" w:cs="宋体" w:eastAsia="宋体" w:hint="default"/>
                <w:sz w:val="18"/>
                <w:szCs w:val="18"/>
              </w:rPr>
              <w:t>2013</w:t>
            </w:r>
            <w:r>
              <w:rPr>
                <w:rFonts w:ascii="宋体" w:hAnsi="宋体" w:cs="宋体" w:eastAsia="宋体" w:hint="default"/>
                <w:spacing w:val="-53"/>
                <w:sz w:val="18"/>
                <w:szCs w:val="18"/>
              </w:rPr>
              <w:t> </w:t>
            </w:r>
            <w:r>
              <w:rPr>
                <w:rFonts w:ascii="宋体" w:hAnsi="宋体" w:cs="宋体" w:eastAsia="宋体" w:hint="default"/>
                <w:sz w:val="18"/>
                <w:szCs w:val="18"/>
              </w:rPr>
              <w:t>年度半年度报告》中将“研发中心建设项目”达到预定可使用状态日期由</w:t>
            </w:r>
            <w:r>
              <w:rPr>
                <w:rFonts w:ascii="宋体" w:hAnsi="宋体" w:cs="宋体" w:eastAsia="宋体" w:hint="default"/>
                <w:spacing w:val="-53"/>
                <w:sz w:val="18"/>
                <w:szCs w:val="18"/>
              </w:rPr>
              <w:t> </w:t>
            </w:r>
            <w:r>
              <w:rPr>
                <w:rFonts w:ascii="宋体" w:hAnsi="宋体" w:cs="宋体" w:eastAsia="宋体" w:hint="default"/>
                <w:sz w:val="18"/>
                <w:szCs w:val="18"/>
              </w:rPr>
              <w:t>2013</w:t>
            </w:r>
            <w:r>
              <w:rPr>
                <w:rFonts w:ascii="宋体" w:hAnsi="宋体" w:cs="宋体" w:eastAsia="宋体" w:hint="default"/>
                <w:spacing w:val="-53"/>
                <w:sz w:val="18"/>
                <w:szCs w:val="18"/>
              </w:rPr>
              <w:t>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9" w:lineRule="auto" w:before="19"/>
              <w:ind w:left="20" w:right="9" w:firstLine="360"/>
              <w:jc w:val="both"/>
              <w:rPr>
                <w:rFonts w:ascii="宋体" w:hAnsi="宋体" w:cs="宋体" w:eastAsia="宋体" w:hint="default"/>
                <w:sz w:val="18"/>
                <w:szCs w:val="18"/>
              </w:rPr>
            </w:pPr>
            <w:r>
              <w:rPr>
                <w:rFonts w:ascii="宋体" w:hAnsi="宋体" w:cs="宋体" w:eastAsia="宋体" w:hint="default"/>
                <w:sz w:val="18"/>
                <w:szCs w:val="18"/>
              </w:rPr>
              <w:t>公司所在城市 </w:t>
            </w: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年将承办青奥会，为服从政府部门对城市重要干道基建项目的管理，致使项 </w:t>
            </w:r>
            <w:r>
              <w:rPr>
                <w:rFonts w:ascii="宋体" w:hAnsi="宋体" w:cs="宋体" w:eastAsia="宋体" w:hint="default"/>
                <w:spacing w:val="-2"/>
                <w:sz w:val="18"/>
                <w:szCs w:val="18"/>
              </w:rPr>
              <w:t>目的基建完工时间有所推迟。研发中心项目所在综合楼目前已完成主体封顶，尚有内外墙体砌筑、外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立面幕墙装饰施工、设备采购安装调试、水电气等各专业管线布置、内部装修、工程项目验收、备案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等工作须进行，考虑到上述因素，公司将“研发中心建设项目”达到预定可使用状态日期由 </w:t>
            </w:r>
            <w:r>
              <w:rPr>
                <w:rFonts w:ascii="宋体" w:hAnsi="宋体" w:cs="宋体" w:eastAsia="宋体" w:hint="default"/>
                <w:sz w:val="18"/>
                <w:szCs w:val="18"/>
              </w:rPr>
              <w:t>2014</w:t>
            </w:r>
            <w:r>
              <w:rPr>
                <w:rFonts w:ascii="宋体" w:hAnsi="宋体" w:cs="宋体" w:eastAsia="宋体" w:hint="default"/>
                <w:spacing w:val="-67"/>
                <w:sz w:val="18"/>
                <w:szCs w:val="18"/>
              </w:rPr>
              <w:t> </w:t>
            </w:r>
            <w:r>
              <w:rPr>
                <w:rFonts w:ascii="宋体" w:hAnsi="宋体" w:cs="宋体" w:eastAsia="宋体" w:hint="default"/>
                <w:sz w:val="18"/>
                <w:szCs w:val="18"/>
              </w:rPr>
              <w:t>年</w:t>
            </w:r>
          </w:p>
          <w:p>
            <w:pPr>
              <w:pStyle w:val="TableParagraph"/>
              <w:spacing w:line="240" w:lineRule="auto" w:before="17"/>
              <w:ind w:left="2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20" w:right="8" w:firstLine="360"/>
              <w:jc w:val="both"/>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z w:val="18"/>
                <w:szCs w:val="18"/>
              </w:rPr>
              <w:t>2014</w:t>
            </w:r>
            <w:r>
              <w:rPr>
                <w:rFonts w:ascii="宋体" w:hAnsi="宋体" w:cs="宋体" w:eastAsia="宋体" w:hint="default"/>
                <w:spacing w:val="15"/>
                <w:sz w:val="18"/>
                <w:szCs w:val="18"/>
              </w:rPr>
              <w:t> </w:t>
            </w:r>
            <w:r>
              <w:rPr>
                <w:rFonts w:ascii="宋体" w:hAnsi="宋体" w:cs="宋体" w:eastAsia="宋体" w:hint="default"/>
                <w:sz w:val="18"/>
                <w:szCs w:val="18"/>
              </w:rPr>
              <w:t>年度报告》中，研发中心建设项目所在综合楼土建工程、水电安装及消防工程基 </w:t>
            </w:r>
            <w:r>
              <w:rPr>
                <w:rFonts w:ascii="宋体" w:hAnsi="宋体" w:cs="宋体" w:eastAsia="宋体" w:hint="default"/>
                <w:spacing w:val="-2"/>
                <w:sz w:val="18"/>
                <w:szCs w:val="18"/>
              </w:rPr>
              <w:t>本结束，外墙玻璃、石材幕墙全部完成，尚待进行室内装修、空调设备安装、室外管网、道路及景观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工程施工等方面的工作，考虑到上述工程工作量，公司将“研发中心建设项目”达到预定可使用状态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日期由</w:t>
            </w:r>
            <w:r>
              <w:rPr>
                <w:rFonts w:ascii="宋体" w:hAnsi="宋体" w:cs="宋体" w:eastAsia="宋体" w:hint="default"/>
                <w:spacing w:val="-40"/>
                <w:sz w:val="18"/>
                <w:szCs w:val="18"/>
              </w:rPr>
              <w:t> </w:t>
            </w: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6</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30</w:t>
            </w:r>
            <w:r>
              <w:rPr>
                <w:rFonts w:ascii="宋体" w:hAnsi="宋体" w:cs="宋体" w:eastAsia="宋体" w:hint="default"/>
                <w:spacing w:val="-40"/>
                <w:sz w:val="18"/>
                <w:szCs w:val="18"/>
              </w:rPr>
              <w:t> </w:t>
            </w:r>
            <w:r>
              <w:rPr>
                <w:rFonts w:ascii="宋体" w:hAnsi="宋体" w:cs="宋体" w:eastAsia="宋体" w:hint="default"/>
                <w:sz w:val="18"/>
                <w:szCs w:val="18"/>
              </w:rPr>
              <w:t>日调整至</w:t>
            </w:r>
            <w:r>
              <w:rPr>
                <w:rFonts w:ascii="宋体" w:hAnsi="宋体" w:cs="宋体" w:eastAsia="宋体" w:hint="default"/>
                <w:spacing w:val="-40"/>
                <w:sz w:val="18"/>
                <w:szCs w:val="18"/>
              </w:rPr>
              <w:t> </w:t>
            </w:r>
            <w:r>
              <w:rPr>
                <w:rFonts w:ascii="宋体" w:hAnsi="宋体" w:cs="宋体" w:eastAsia="宋体" w:hint="default"/>
                <w:sz w:val="18"/>
                <w:szCs w:val="18"/>
              </w:rPr>
              <w:t>2016</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3</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31</w:t>
            </w:r>
            <w:r>
              <w:rPr>
                <w:rFonts w:ascii="宋体" w:hAnsi="宋体" w:cs="宋体" w:eastAsia="宋体" w:hint="default"/>
                <w:spacing w:val="-40"/>
                <w:sz w:val="18"/>
                <w:szCs w:val="18"/>
              </w:rPr>
              <w:t> </w:t>
            </w:r>
            <w:r>
              <w:rPr>
                <w:rFonts w:ascii="宋体" w:hAnsi="宋体" w:cs="宋体" w:eastAsia="宋体" w:hint="default"/>
                <w:sz w:val="18"/>
                <w:szCs w:val="18"/>
              </w:rPr>
              <w:t>日。公司在《</w:t>
            </w: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年度报告》中考虑到研发中心建 </w:t>
            </w:r>
            <w:r>
              <w:rPr>
                <w:rFonts w:ascii="宋体" w:hAnsi="宋体" w:cs="宋体" w:eastAsia="宋体" w:hint="default"/>
                <w:spacing w:val="-2"/>
                <w:sz w:val="18"/>
                <w:szCs w:val="18"/>
              </w:rPr>
              <w:t>设项目所在综合楼办公装修、楼层规划、采购设备等工作量，公司将“研发中心建设项目”达到预定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可使用状态日期由</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由于综合楼装修工作尚未结束</w:t>
            </w:r>
            <w:r>
              <w:rPr>
                <w:rFonts w:ascii="宋体" w:hAnsi="宋体" w:cs="宋体" w:eastAsia="宋体" w:hint="default"/>
                <w:spacing w:val="-90"/>
                <w:sz w:val="18"/>
                <w:szCs w:val="18"/>
              </w:rPr>
              <w:t>，</w:t>
            </w:r>
            <w:r>
              <w:rPr>
                <w:rFonts w:ascii="宋体" w:hAnsi="宋体" w:cs="宋体" w:eastAsia="宋体" w:hint="default"/>
                <w:sz w:val="18"/>
                <w:szCs w:val="18"/>
              </w:rPr>
              <w:t>公司拟将“研发中心建设项目”达到预定可使用状态日期由</w:t>
            </w:r>
            <w:r>
              <w:rPr>
                <w:rFonts w:ascii="宋体" w:hAnsi="宋体" w:cs="宋体" w:eastAsia="宋体" w:hint="default"/>
                <w:spacing w:val="-66"/>
                <w:sz w:val="18"/>
                <w:szCs w:val="18"/>
              </w:rPr>
              <w:t> </w:t>
            </w:r>
            <w:r>
              <w:rPr>
                <w:rFonts w:ascii="宋体" w:hAnsi="宋体" w:cs="宋体" w:eastAsia="宋体" w:hint="default"/>
                <w:sz w:val="18"/>
                <w:szCs w:val="18"/>
              </w:rPr>
              <w:t>2016</w:t>
            </w:r>
          </w:p>
          <w:p>
            <w:pPr>
              <w:pStyle w:val="TableParagraph"/>
              <w:spacing w:line="316" w:lineRule="auto" w:before="76"/>
              <w:ind w:left="20" w:right="1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日调整至</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日。在此期间公司研发部门在现有办公场地正常开展技术研发 工作，研发中心建设项目进度延期不会影响公司正常研发工作的开展。</w:t>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截止目前，研发中心建设项目已建成并投入使用。</w:t>
            </w:r>
          </w:p>
        </w:tc>
      </w:tr>
      <w:tr>
        <w:trPr>
          <w:trHeight w:val="1343" w:hRule="exact"/>
        </w:trPr>
        <w:tc>
          <w:tcPr>
            <w:tcW w:w="2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3" w:right="177"/>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 明</w:t>
            </w:r>
          </w:p>
        </w:tc>
        <w:tc>
          <w:tcPr>
            <w:tcW w:w="7909"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0" w:right="-53" w:firstLine="360"/>
              <w:jc w:val="both"/>
              <w:rPr>
                <w:rFonts w:ascii="宋体" w:hAnsi="宋体" w:cs="宋体" w:eastAsia="宋体" w:hint="default"/>
                <w:sz w:val="18"/>
                <w:szCs w:val="18"/>
              </w:rPr>
            </w:pPr>
            <w:r>
              <w:rPr>
                <w:rFonts w:ascii="宋体" w:hAnsi="宋体" w:cs="宋体" w:eastAsia="宋体" w:hint="default"/>
                <w:spacing w:val="-2"/>
                <w:sz w:val="18"/>
                <w:szCs w:val="18"/>
              </w:rPr>
              <w:t>为降低公司对外投资风险、保护公司及股东的合法权益免受损失，维护上市公司和非关联股东特</w:t>
            </w:r>
            <w:r>
              <w:rPr>
                <w:rFonts w:ascii="宋体" w:hAnsi="宋体" w:cs="宋体" w:eastAsia="宋体" w:hint="default"/>
                <w:sz w:val="18"/>
                <w:szCs w:val="18"/>
              </w:rPr>
              <w:t> 别是中小股东的利益，经公司第二届董事会第十一次会议及 </w:t>
            </w:r>
            <w:r>
              <w:rPr>
                <w:rFonts w:ascii="宋体" w:hAnsi="宋体" w:cs="宋体" w:eastAsia="宋体" w:hint="default"/>
                <w:sz w:val="18"/>
                <w:szCs w:val="18"/>
              </w:rPr>
              <w:t>2014</w:t>
            </w:r>
            <w:r>
              <w:rPr>
                <w:rFonts w:ascii="宋体" w:hAnsi="宋体" w:cs="宋体" w:eastAsia="宋体" w:hint="default"/>
                <w:spacing w:val="-67"/>
                <w:sz w:val="18"/>
                <w:szCs w:val="18"/>
              </w:rPr>
              <w:t> </w:t>
            </w:r>
            <w:r>
              <w:rPr>
                <w:rFonts w:ascii="宋体" w:hAnsi="宋体" w:cs="宋体" w:eastAsia="宋体" w:hint="default"/>
                <w:sz w:val="18"/>
                <w:szCs w:val="18"/>
              </w:rPr>
              <w:t>年第二次临时股东大会审议通过， 公司将所持有的南京宇能</w:t>
            </w:r>
            <w:r>
              <w:rPr>
                <w:rFonts w:ascii="宋体" w:hAnsi="宋体" w:cs="宋体" w:eastAsia="宋体" w:hint="default"/>
                <w:spacing w:val="-54"/>
                <w:sz w:val="18"/>
                <w:szCs w:val="18"/>
              </w:rPr>
              <w:t> </w:t>
            </w:r>
            <w:r>
              <w:rPr>
                <w:rFonts w:ascii="宋体" w:hAnsi="宋体" w:cs="宋体" w:eastAsia="宋体" w:hint="default"/>
                <w:sz w:val="18"/>
                <w:szCs w:val="18"/>
              </w:rPr>
              <w:t>55%</w:t>
            </w:r>
            <w:r>
              <w:rPr>
                <w:rFonts w:ascii="宋体" w:hAnsi="宋体" w:cs="宋体" w:eastAsia="宋体" w:hint="default"/>
                <w:sz w:val="18"/>
                <w:szCs w:val="18"/>
              </w:rPr>
              <w:t>的股权、全部债权及相应权利整体转让给公司控股股东光一投资，上述 股权投资款项</w:t>
            </w:r>
            <w:r>
              <w:rPr>
                <w:rFonts w:ascii="宋体" w:hAnsi="宋体" w:cs="宋体" w:eastAsia="宋体" w:hint="default"/>
                <w:spacing w:val="-46"/>
                <w:sz w:val="18"/>
                <w:szCs w:val="18"/>
              </w:rPr>
              <w:t> </w:t>
            </w:r>
            <w:r>
              <w:rPr>
                <w:rFonts w:ascii="宋体" w:hAnsi="宋体" w:cs="宋体" w:eastAsia="宋体" w:hint="default"/>
                <w:sz w:val="18"/>
                <w:szCs w:val="18"/>
              </w:rPr>
              <w:t>2,250</w:t>
            </w:r>
            <w:r>
              <w:rPr>
                <w:rFonts w:ascii="宋体" w:hAnsi="宋体" w:cs="宋体" w:eastAsia="宋体" w:hint="default"/>
                <w:spacing w:val="-46"/>
                <w:sz w:val="18"/>
                <w:szCs w:val="18"/>
              </w:rPr>
              <w:t> </w:t>
            </w:r>
            <w:r>
              <w:rPr>
                <w:rFonts w:ascii="宋体" w:hAnsi="宋体" w:cs="宋体" w:eastAsia="宋体" w:hint="default"/>
                <w:sz w:val="18"/>
                <w:szCs w:val="18"/>
              </w:rPr>
              <w:t>万元公司已收回并存放于超募资金专用账户，南京宇能不再是公司控股子公司。</w:t>
            </w:r>
          </w:p>
        </w:tc>
      </w:tr>
      <w:tr>
        <w:trPr>
          <w:trHeight w:val="407" w:hRule="exact"/>
        </w:trPr>
        <w:tc>
          <w:tcPr>
            <w:tcW w:w="2913"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13" w:right="19"/>
              <w:jc w:val="left"/>
              <w:rPr>
                <w:rFonts w:ascii="宋体" w:hAnsi="宋体" w:cs="宋体" w:eastAsia="宋体" w:hint="default"/>
                <w:sz w:val="18"/>
                <w:szCs w:val="18"/>
              </w:rPr>
            </w:pPr>
            <w:r>
              <w:rPr>
                <w:rFonts w:ascii="宋体" w:hAnsi="宋体" w:cs="宋体" w:eastAsia="宋体" w:hint="default"/>
                <w:spacing w:val="-2"/>
                <w:sz w:val="18"/>
                <w:szCs w:val="18"/>
              </w:rPr>
              <w:t>超募资金的金额、用途及使用进展情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况</w:t>
            </w:r>
          </w:p>
        </w:tc>
        <w:tc>
          <w:tcPr>
            <w:tcW w:w="7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64" w:hRule="exact"/>
        </w:trPr>
        <w:tc>
          <w:tcPr>
            <w:tcW w:w="2913" w:type="dxa"/>
            <w:vMerge/>
            <w:tcBorders>
              <w:left w:val="single" w:sz="12" w:space="0" w:color="000000"/>
              <w:bottom w:val="single" w:sz="12" w:space="0" w:color="000000"/>
              <w:right w:val="single" w:sz="6" w:space="0" w:color="000000"/>
            </w:tcBorders>
            <w:shd w:val="clear" w:color="auto" w:fill="D2D2D2"/>
          </w:tcPr>
          <w:p>
            <w:pPr/>
          </w:p>
        </w:tc>
        <w:tc>
          <w:tcPr>
            <w:tcW w:w="79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left="380" w:right="0"/>
              <w:jc w:val="left"/>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 </w:t>
            </w:r>
            <w:r>
              <w:rPr>
                <w:rFonts w:ascii="宋体" w:hAnsi="宋体" w:cs="宋体" w:eastAsia="宋体" w:hint="default"/>
                <w:sz w:val="18"/>
                <w:szCs w:val="18"/>
              </w:rPr>
              <w:t>9 </w:t>
            </w:r>
            <w:r>
              <w:rPr>
                <w:rFonts w:ascii="宋体" w:hAnsi="宋体" w:cs="宋体" w:eastAsia="宋体" w:hint="default"/>
                <w:sz w:val="18"/>
                <w:szCs w:val="18"/>
              </w:rPr>
              <w:t>月 </w:t>
            </w:r>
            <w:r>
              <w:rPr>
                <w:rFonts w:ascii="宋体" w:hAnsi="宋体" w:cs="宋体" w:eastAsia="宋体" w:hint="default"/>
                <w:sz w:val="18"/>
                <w:szCs w:val="18"/>
              </w:rPr>
              <w:t>24 </w:t>
            </w:r>
            <w:r>
              <w:rPr>
                <w:rFonts w:ascii="宋体" w:hAnsi="宋体" w:cs="宋体" w:eastAsia="宋体" w:hint="default"/>
                <w:sz w:val="18"/>
                <w:szCs w:val="18"/>
              </w:rPr>
              <w:t>日，公司首次公开发行股票募集资金净额为 </w:t>
            </w:r>
            <w:r>
              <w:rPr>
                <w:rFonts w:ascii="宋体" w:hAnsi="宋体" w:cs="宋体" w:eastAsia="宋体" w:hint="default"/>
                <w:sz w:val="18"/>
                <w:szCs w:val="18"/>
              </w:rPr>
              <w:t>35,429.12</w:t>
            </w:r>
            <w:r>
              <w:rPr>
                <w:rFonts w:ascii="宋体" w:hAnsi="宋体" w:cs="宋体" w:eastAsia="宋体" w:hint="default"/>
                <w:spacing w:val="22"/>
                <w:sz w:val="18"/>
                <w:szCs w:val="18"/>
              </w:rPr>
              <w:t> </w:t>
            </w:r>
            <w:r>
              <w:rPr>
                <w:rFonts w:ascii="宋体" w:hAnsi="宋体" w:cs="宋体" w:eastAsia="宋体" w:hint="default"/>
                <w:sz w:val="18"/>
                <w:szCs w:val="18"/>
              </w:rPr>
              <w:t>万元，其中超募资金</w:t>
            </w:r>
          </w:p>
          <w:p>
            <w:pPr>
              <w:pStyle w:val="TableParagraph"/>
              <w:spacing w:line="240" w:lineRule="auto" w:before="76"/>
              <w:ind w:left="20" w:right="0"/>
              <w:jc w:val="both"/>
              <w:rPr>
                <w:rFonts w:ascii="宋体" w:hAnsi="宋体" w:cs="宋体" w:eastAsia="宋体" w:hint="default"/>
                <w:sz w:val="18"/>
                <w:szCs w:val="18"/>
              </w:rPr>
            </w:pPr>
            <w:r>
              <w:rPr>
                <w:rFonts w:ascii="宋体" w:hAnsi="宋体" w:cs="宋体" w:eastAsia="宋体" w:hint="default"/>
                <w:sz w:val="18"/>
                <w:szCs w:val="18"/>
              </w:rPr>
              <w:t>15,029.12</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76"/>
              <w:ind w:left="380"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披露</w:t>
            </w:r>
            <w:r>
              <w:rPr>
                <w:rFonts w:ascii="宋体" w:hAnsi="宋体" w:cs="宋体" w:eastAsia="宋体" w:hint="default"/>
                <w:spacing w:val="-8"/>
                <w:sz w:val="18"/>
                <w:szCs w:val="18"/>
              </w:rPr>
              <w:t>了</w:t>
            </w:r>
            <w:r>
              <w:rPr>
                <w:rFonts w:ascii="宋体" w:hAnsi="宋体" w:cs="宋体" w:eastAsia="宋体" w:hint="default"/>
                <w:sz w:val="18"/>
                <w:szCs w:val="18"/>
              </w:rPr>
              <w:t>《关于使用部分超募资金永久补充流动资金的公告</w:t>
            </w:r>
            <w:r>
              <w:rPr>
                <w:rFonts w:ascii="宋体" w:hAnsi="宋体" w:cs="宋体" w:eastAsia="宋体" w:hint="default"/>
                <w:spacing w:val="-98"/>
                <w:sz w:val="18"/>
                <w:szCs w:val="18"/>
              </w:rPr>
              <w:t>》</w:t>
            </w:r>
            <w:r>
              <w:rPr>
                <w:rFonts w:ascii="宋体" w:hAnsi="宋体" w:cs="宋体" w:eastAsia="宋体" w:hint="default"/>
                <w:sz w:val="18"/>
                <w:szCs w:val="18"/>
              </w:rPr>
              <w:t>（公告编</w:t>
            </w:r>
          </w:p>
          <w:p>
            <w:pPr>
              <w:pStyle w:val="TableParagraph"/>
              <w:spacing w:line="316" w:lineRule="auto" w:before="76"/>
              <w:ind w:left="20" w:right="11"/>
              <w:jc w:val="both"/>
              <w:rPr>
                <w:rFonts w:ascii="宋体" w:hAnsi="宋体" w:cs="宋体" w:eastAsia="宋体" w:hint="default"/>
                <w:sz w:val="18"/>
                <w:szCs w:val="18"/>
              </w:rPr>
            </w:pPr>
            <w:r>
              <w:rPr>
                <w:rFonts w:ascii="宋体" w:hAnsi="宋体" w:cs="宋体" w:eastAsia="宋体" w:hint="default"/>
                <w:spacing w:val="-4"/>
                <w:sz w:val="18"/>
                <w:szCs w:val="18"/>
              </w:rPr>
              <w:t>号（</w:t>
            </w:r>
            <w:r>
              <w:rPr>
                <w:rFonts w:ascii="宋体" w:hAnsi="宋体" w:cs="宋体" w:eastAsia="宋体" w:hint="default"/>
                <w:spacing w:val="-4"/>
                <w:sz w:val="18"/>
                <w:szCs w:val="18"/>
              </w:rPr>
              <w:t>2012</w:t>
            </w:r>
            <w:r>
              <w:rPr>
                <w:rFonts w:ascii="宋体" w:hAnsi="宋体" w:cs="宋体" w:eastAsia="宋体" w:hint="default"/>
                <w:spacing w:val="-4"/>
                <w:sz w:val="18"/>
                <w:szCs w:val="18"/>
              </w:rPr>
              <w:t>）</w:t>
            </w:r>
            <w:r>
              <w:rPr>
                <w:rFonts w:ascii="宋体" w:hAnsi="宋体" w:cs="宋体" w:eastAsia="宋体" w:hint="default"/>
                <w:spacing w:val="-4"/>
                <w:sz w:val="18"/>
                <w:szCs w:val="18"/>
              </w:rPr>
              <w:t>1030-010</w:t>
            </w:r>
            <w:r>
              <w:rPr>
                <w:rFonts w:ascii="宋体" w:hAnsi="宋体" w:cs="宋体" w:eastAsia="宋体" w:hint="default"/>
                <w:spacing w:val="-4"/>
                <w:sz w:val="18"/>
                <w:szCs w:val="18"/>
              </w:rPr>
              <w:t>），公司使用超募资金</w:t>
            </w:r>
            <w:r>
              <w:rPr>
                <w:rFonts w:ascii="宋体" w:hAnsi="宋体" w:cs="宋体" w:eastAsia="宋体" w:hint="default"/>
                <w:sz w:val="18"/>
                <w:szCs w:val="18"/>
              </w:rPr>
              <w:t> </w:t>
            </w:r>
            <w:r>
              <w:rPr>
                <w:rFonts w:ascii="宋体" w:hAnsi="宋体" w:cs="宋体" w:eastAsia="宋体" w:hint="default"/>
                <w:sz w:val="18"/>
                <w:szCs w:val="18"/>
              </w:rPr>
              <w:t>3,000</w:t>
            </w:r>
            <w:r>
              <w:rPr>
                <w:rFonts w:ascii="宋体" w:hAnsi="宋体" w:cs="宋体" w:eastAsia="宋体" w:hint="default"/>
                <w:spacing w:val="-60"/>
                <w:sz w:val="18"/>
                <w:szCs w:val="18"/>
              </w:rPr>
              <w:t> </w:t>
            </w:r>
            <w:r>
              <w:rPr>
                <w:rFonts w:ascii="宋体" w:hAnsi="宋体" w:cs="宋体" w:eastAsia="宋体" w:hint="default"/>
                <w:sz w:val="18"/>
                <w:szCs w:val="18"/>
              </w:rPr>
              <w:t>万元用于永久补充流动资金，公司承诺在永久补充 </w:t>
            </w:r>
            <w:r>
              <w:rPr>
                <w:rFonts w:ascii="宋体" w:hAnsi="宋体" w:cs="宋体" w:eastAsia="宋体" w:hint="default"/>
                <w:spacing w:val="-2"/>
                <w:sz w:val="18"/>
                <w:szCs w:val="18"/>
              </w:rPr>
              <w:t>流动资金后十二个月内不进行证券投资、委托理财、衍生品投资、创业投资等高风险投资。上述款项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公司已划转完成。</w:t>
            </w:r>
          </w:p>
          <w:p>
            <w:pPr>
              <w:pStyle w:val="TableParagraph"/>
              <w:spacing w:line="316" w:lineRule="auto" w:before="19"/>
              <w:ind w:left="20" w:right="10" w:firstLine="360"/>
              <w:jc w:val="both"/>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2013</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11</w:t>
            </w:r>
            <w:r>
              <w:rPr>
                <w:rFonts w:ascii="宋体" w:hAnsi="宋体" w:cs="宋体" w:eastAsia="宋体"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宋体" w:hAnsi="宋体" w:cs="宋体" w:eastAsia="宋体" w:hint="default"/>
                <w:sz w:val="18"/>
                <w:szCs w:val="18"/>
              </w:rPr>
              <w:t>15</w:t>
            </w:r>
            <w:r>
              <w:rPr>
                <w:rFonts w:ascii="宋体" w:hAnsi="宋体" w:cs="宋体" w:eastAsia="宋体" w:hint="default"/>
                <w:spacing w:val="-32"/>
                <w:sz w:val="18"/>
                <w:szCs w:val="18"/>
              </w:rPr>
              <w:t> </w:t>
            </w:r>
            <w:r>
              <w:rPr>
                <w:rFonts w:ascii="宋体" w:hAnsi="宋体" w:cs="宋体" w:eastAsia="宋体" w:hint="default"/>
                <w:sz w:val="18"/>
                <w:szCs w:val="18"/>
              </w:rPr>
              <w:t>日，公司披露了《关于使用部分超募资金和自有资金向南京宇能仪表有限公 </w:t>
            </w:r>
            <w:r>
              <w:rPr>
                <w:rFonts w:ascii="宋体" w:hAnsi="宋体" w:cs="宋体" w:eastAsia="宋体" w:hint="default"/>
                <w:spacing w:val="-3"/>
                <w:sz w:val="18"/>
                <w:szCs w:val="18"/>
              </w:rPr>
              <w:t>司增资并受让部分股权的公告》（公告编号（</w:t>
            </w:r>
            <w:r>
              <w:rPr>
                <w:rFonts w:ascii="宋体" w:hAnsi="宋体" w:cs="宋体" w:eastAsia="宋体" w:hint="default"/>
                <w:spacing w:val="-3"/>
                <w:sz w:val="18"/>
                <w:szCs w:val="18"/>
              </w:rPr>
              <w:t>2013</w:t>
            </w:r>
            <w:r>
              <w:rPr>
                <w:rFonts w:ascii="宋体" w:hAnsi="宋体" w:cs="宋体" w:eastAsia="宋体" w:hint="default"/>
                <w:spacing w:val="-3"/>
                <w:sz w:val="18"/>
                <w:szCs w:val="18"/>
              </w:rPr>
              <w:t>）</w:t>
            </w:r>
            <w:r>
              <w:rPr>
                <w:rFonts w:ascii="宋体" w:hAnsi="宋体" w:cs="宋体" w:eastAsia="宋体" w:hint="default"/>
                <w:spacing w:val="-3"/>
                <w:sz w:val="18"/>
                <w:szCs w:val="18"/>
              </w:rPr>
              <w:t>1115</w:t>
            </w:r>
            <w:r>
              <w:rPr>
                <w:rFonts w:ascii="宋体" w:hAnsi="宋体" w:cs="宋体" w:eastAsia="宋体" w:hint="default"/>
                <w:spacing w:val="7"/>
                <w:sz w:val="18"/>
                <w:szCs w:val="18"/>
              </w:rPr>
              <w:t> </w:t>
            </w:r>
            <w:r>
              <w:rPr>
                <w:rFonts w:ascii="宋体" w:hAnsi="宋体" w:cs="宋体" w:eastAsia="宋体" w:hint="default"/>
                <w:spacing w:val="-4"/>
                <w:sz w:val="18"/>
                <w:szCs w:val="18"/>
              </w:rPr>
              <w:t>-051</w:t>
            </w:r>
            <w:r>
              <w:rPr>
                <w:rFonts w:ascii="宋体" w:hAnsi="宋体" w:cs="宋体" w:eastAsia="宋体" w:hint="default"/>
                <w:spacing w:val="-4"/>
                <w:sz w:val="18"/>
                <w:szCs w:val="18"/>
              </w:rPr>
              <w:t>），同意公司使用首次公开发行股票的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超募资金</w:t>
            </w:r>
            <w:r>
              <w:rPr>
                <w:rFonts w:ascii="宋体" w:hAnsi="宋体" w:cs="宋体" w:eastAsia="宋体" w:hint="default"/>
                <w:spacing w:val="-57"/>
                <w:sz w:val="18"/>
                <w:szCs w:val="18"/>
              </w:rPr>
              <w:t> </w:t>
            </w:r>
            <w:r>
              <w:rPr>
                <w:rFonts w:ascii="宋体" w:hAnsi="宋体" w:cs="宋体" w:eastAsia="宋体" w:hint="default"/>
                <w:sz w:val="18"/>
                <w:szCs w:val="18"/>
              </w:rPr>
              <w:t>2,250</w:t>
            </w:r>
            <w:r>
              <w:rPr>
                <w:rFonts w:ascii="宋体" w:hAnsi="宋体" w:cs="宋体" w:eastAsia="宋体" w:hint="default"/>
                <w:spacing w:val="-57"/>
                <w:sz w:val="18"/>
                <w:szCs w:val="18"/>
              </w:rPr>
              <w:t> </w:t>
            </w:r>
            <w:r>
              <w:rPr>
                <w:rFonts w:ascii="宋体" w:hAnsi="宋体" w:cs="宋体" w:eastAsia="宋体" w:hint="default"/>
                <w:sz w:val="18"/>
                <w:szCs w:val="18"/>
              </w:rPr>
              <w:t>万元和自有资金</w:t>
            </w:r>
            <w:r>
              <w:rPr>
                <w:rFonts w:ascii="宋体" w:hAnsi="宋体" w:cs="宋体" w:eastAsia="宋体" w:hint="default"/>
                <w:spacing w:val="-57"/>
                <w:sz w:val="18"/>
                <w:szCs w:val="18"/>
              </w:rPr>
              <w:t> </w:t>
            </w:r>
            <w:r>
              <w:rPr>
                <w:rFonts w:ascii="宋体" w:hAnsi="宋体" w:cs="宋体" w:eastAsia="宋体" w:hint="default"/>
                <w:sz w:val="18"/>
                <w:szCs w:val="18"/>
              </w:rPr>
              <w:t>1,967</w:t>
            </w:r>
            <w:r>
              <w:rPr>
                <w:rFonts w:ascii="宋体" w:hAnsi="宋体" w:cs="宋体" w:eastAsia="宋体" w:hint="default"/>
                <w:spacing w:val="-57"/>
                <w:sz w:val="18"/>
                <w:szCs w:val="18"/>
              </w:rPr>
              <w:t> </w:t>
            </w:r>
            <w:r>
              <w:rPr>
                <w:rFonts w:ascii="宋体" w:hAnsi="宋体" w:cs="宋体" w:eastAsia="宋体" w:hint="default"/>
                <w:sz w:val="18"/>
                <w:szCs w:val="18"/>
              </w:rPr>
              <w:t>万元合计</w:t>
            </w:r>
            <w:r>
              <w:rPr>
                <w:rFonts w:ascii="宋体" w:hAnsi="宋体" w:cs="宋体" w:eastAsia="宋体" w:hint="default"/>
                <w:spacing w:val="-57"/>
                <w:sz w:val="18"/>
                <w:szCs w:val="18"/>
              </w:rPr>
              <w:t> </w:t>
            </w:r>
            <w:r>
              <w:rPr>
                <w:rFonts w:ascii="宋体" w:hAnsi="宋体" w:cs="宋体" w:eastAsia="宋体" w:hint="default"/>
                <w:sz w:val="18"/>
                <w:szCs w:val="18"/>
              </w:rPr>
              <w:t>4,217</w:t>
            </w:r>
            <w:r>
              <w:rPr>
                <w:rFonts w:ascii="宋体" w:hAnsi="宋体" w:cs="宋体" w:eastAsia="宋体" w:hint="default"/>
                <w:spacing w:val="-57"/>
                <w:sz w:val="18"/>
                <w:szCs w:val="18"/>
              </w:rPr>
              <w:t> </w:t>
            </w:r>
            <w:r>
              <w:rPr>
                <w:rFonts w:ascii="宋体" w:hAnsi="宋体" w:cs="宋体" w:eastAsia="宋体" w:hint="default"/>
                <w:sz w:val="18"/>
                <w:szCs w:val="18"/>
              </w:rPr>
              <w:t>万元以增资及受让股权的方式获得南京宇能仪 表有限公司</w:t>
            </w:r>
            <w:r>
              <w:rPr>
                <w:rFonts w:ascii="宋体" w:hAnsi="宋体" w:cs="宋体" w:eastAsia="宋体" w:hint="default"/>
                <w:spacing w:val="-61"/>
                <w:sz w:val="18"/>
                <w:szCs w:val="18"/>
              </w:rPr>
              <w:t> </w:t>
            </w:r>
            <w:r>
              <w:rPr>
                <w:rFonts w:ascii="宋体" w:hAnsi="宋体" w:cs="宋体" w:eastAsia="宋体" w:hint="default"/>
                <w:sz w:val="18"/>
                <w:szCs w:val="18"/>
              </w:rPr>
              <w:t>55%</w:t>
            </w:r>
            <w:r>
              <w:rPr>
                <w:rFonts w:ascii="宋体" w:hAnsi="宋体" w:cs="宋体" w:eastAsia="宋体" w:hint="default"/>
                <w:sz w:val="18"/>
                <w:szCs w:val="18"/>
              </w:rPr>
              <w:t>的股权，其中超募资金部分已划转完成。为降低公司对外投资风险、保护公司及股东 </w:t>
            </w:r>
            <w:r>
              <w:rPr>
                <w:rFonts w:ascii="宋体" w:hAnsi="宋体" w:cs="宋体" w:eastAsia="宋体" w:hint="default"/>
                <w:spacing w:val="-2"/>
                <w:sz w:val="18"/>
                <w:szCs w:val="18"/>
              </w:rPr>
              <w:t>的合法权益免受损失，维护上市公司和非关联股东特别是中小股东的利益，经公司第二届董事会第十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一次会议及 </w:t>
            </w:r>
            <w:r>
              <w:rPr>
                <w:rFonts w:ascii="宋体" w:hAnsi="宋体" w:cs="宋体" w:eastAsia="宋体" w:hint="default"/>
                <w:sz w:val="18"/>
                <w:szCs w:val="18"/>
              </w:rPr>
              <w:t>2014 </w:t>
            </w:r>
            <w:r>
              <w:rPr>
                <w:rFonts w:ascii="宋体" w:hAnsi="宋体" w:cs="宋体" w:eastAsia="宋体" w:hint="default"/>
                <w:sz w:val="18"/>
                <w:szCs w:val="18"/>
              </w:rPr>
              <w:t>年第二次临时股东大会审议批准，将持有的控股子公司南京宇能仪表有限公司</w:t>
            </w:r>
            <w:r>
              <w:rPr>
                <w:rFonts w:ascii="宋体" w:hAnsi="宋体" w:cs="宋体" w:eastAsia="宋体" w:hint="default"/>
                <w:spacing w:val="-67"/>
                <w:sz w:val="18"/>
                <w:szCs w:val="18"/>
              </w:rPr>
              <w:t> </w:t>
            </w:r>
            <w:r>
              <w:rPr>
                <w:rFonts w:ascii="宋体" w:hAnsi="宋体" w:cs="宋体" w:eastAsia="宋体" w:hint="default"/>
                <w:sz w:val="18"/>
                <w:szCs w:val="18"/>
              </w:rPr>
              <w:t>55%</w:t>
            </w:r>
          </w:p>
          <w:p>
            <w:pPr>
              <w:pStyle w:val="TableParagraph"/>
              <w:spacing w:line="316" w:lineRule="auto" w:before="19"/>
              <w:ind w:left="20" w:right="11"/>
              <w:jc w:val="both"/>
              <w:rPr>
                <w:rFonts w:ascii="宋体" w:hAnsi="宋体" w:cs="宋体" w:eastAsia="宋体" w:hint="default"/>
                <w:sz w:val="18"/>
                <w:szCs w:val="18"/>
              </w:rPr>
            </w:pPr>
            <w:r>
              <w:rPr>
                <w:rFonts w:ascii="宋体" w:hAnsi="宋体" w:cs="宋体" w:eastAsia="宋体" w:hint="default"/>
                <w:sz w:val="18"/>
                <w:szCs w:val="18"/>
              </w:rPr>
              <w:t>的股权、全部债权及相应权利转让给公司控股股东光一投资。其中使用的超募资金</w:t>
            </w:r>
            <w:r>
              <w:rPr>
                <w:rFonts w:ascii="宋体" w:hAnsi="宋体" w:cs="宋体" w:eastAsia="宋体" w:hint="default"/>
                <w:spacing w:val="-72"/>
                <w:sz w:val="18"/>
                <w:szCs w:val="18"/>
              </w:rPr>
              <w:t> </w:t>
            </w:r>
            <w:r>
              <w:rPr>
                <w:rFonts w:ascii="宋体" w:hAnsi="宋体" w:cs="宋体" w:eastAsia="宋体" w:hint="default"/>
                <w:sz w:val="18"/>
                <w:szCs w:val="18"/>
              </w:rPr>
              <w:t>2,250</w:t>
            </w:r>
            <w:r>
              <w:rPr>
                <w:rFonts w:ascii="宋体" w:hAnsi="宋体" w:cs="宋体" w:eastAsia="宋体" w:hint="default"/>
                <w:spacing w:val="-72"/>
                <w:sz w:val="18"/>
                <w:szCs w:val="18"/>
              </w:rPr>
              <w:t> </w:t>
            </w:r>
            <w:r>
              <w:rPr>
                <w:rFonts w:ascii="宋体" w:hAnsi="宋体" w:cs="宋体" w:eastAsia="宋体" w:hint="default"/>
                <w:sz w:val="18"/>
                <w:szCs w:val="18"/>
              </w:rPr>
              <w:t>万元公司已 收回并存放于超募资金专用账户。</w:t>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z w:val="18"/>
                <w:szCs w:val="18"/>
              </w:rPr>
              <w:t>2013</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12</w:t>
            </w:r>
            <w:r>
              <w:rPr>
                <w:rFonts w:ascii="宋体" w:hAnsi="宋体" w:cs="宋体" w:eastAsia="宋体"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宋体" w:hAnsi="宋体" w:cs="宋体" w:eastAsia="宋体" w:hint="default"/>
                <w:sz w:val="18"/>
                <w:szCs w:val="18"/>
              </w:rPr>
              <w:t>3</w:t>
            </w:r>
            <w:r>
              <w:rPr>
                <w:rFonts w:ascii="宋体" w:hAnsi="宋体" w:cs="宋体" w:eastAsia="宋体" w:hint="default"/>
                <w:spacing w:val="-32"/>
                <w:sz w:val="18"/>
                <w:szCs w:val="18"/>
              </w:rPr>
              <w:t> </w:t>
            </w:r>
            <w:r>
              <w:rPr>
                <w:rFonts w:ascii="宋体" w:hAnsi="宋体" w:cs="宋体" w:eastAsia="宋体" w:hint="default"/>
                <w:sz w:val="18"/>
                <w:szCs w:val="18"/>
              </w:rPr>
              <w:t>日，公司披露了《关于使用部分超募资金永久补充流动资金的公告</w:t>
            </w:r>
            <w:r>
              <w:rPr>
                <w:rFonts w:ascii="宋体" w:hAnsi="宋体" w:cs="宋体" w:eastAsia="宋体" w:hint="default"/>
                <w:spacing w:val="-90"/>
                <w:sz w:val="18"/>
                <w:szCs w:val="18"/>
              </w:rPr>
              <w:t>》</w:t>
            </w:r>
            <w:r>
              <w:rPr>
                <w:rFonts w:ascii="宋体" w:hAnsi="宋体" w:cs="宋体" w:eastAsia="宋体" w:hint="default"/>
                <w:sz w:val="18"/>
                <w:szCs w:val="18"/>
              </w:rPr>
              <w:t>（公告编</w:t>
            </w:r>
          </w:p>
          <w:p>
            <w:pPr>
              <w:pStyle w:val="TableParagraph"/>
              <w:spacing w:line="319" w:lineRule="auto" w:before="76"/>
              <w:ind w:left="20" w:right="10"/>
              <w:jc w:val="both"/>
              <w:rPr>
                <w:rFonts w:ascii="宋体" w:hAnsi="宋体" w:cs="宋体" w:eastAsia="宋体" w:hint="default"/>
                <w:sz w:val="18"/>
                <w:szCs w:val="18"/>
              </w:rPr>
            </w:pPr>
            <w:r>
              <w:rPr>
                <w:rFonts w:ascii="宋体" w:hAnsi="宋体" w:cs="宋体" w:eastAsia="宋体" w:hint="default"/>
                <w:spacing w:val="-4"/>
                <w:sz w:val="18"/>
                <w:szCs w:val="18"/>
              </w:rPr>
              <w:t>号（</w:t>
            </w:r>
            <w:r>
              <w:rPr>
                <w:rFonts w:ascii="宋体" w:hAnsi="宋体" w:cs="宋体" w:eastAsia="宋体" w:hint="default"/>
                <w:spacing w:val="-4"/>
                <w:sz w:val="18"/>
                <w:szCs w:val="18"/>
              </w:rPr>
              <w:t>2013</w:t>
            </w:r>
            <w:r>
              <w:rPr>
                <w:rFonts w:ascii="宋体" w:hAnsi="宋体" w:cs="宋体" w:eastAsia="宋体" w:hint="default"/>
                <w:spacing w:val="-4"/>
                <w:sz w:val="18"/>
                <w:szCs w:val="18"/>
              </w:rPr>
              <w:t>）</w:t>
            </w:r>
            <w:r>
              <w:rPr>
                <w:rFonts w:ascii="宋体" w:hAnsi="宋体" w:cs="宋体" w:eastAsia="宋体" w:hint="default"/>
                <w:spacing w:val="-4"/>
                <w:sz w:val="18"/>
                <w:szCs w:val="18"/>
              </w:rPr>
              <w:t>1203-054</w:t>
            </w:r>
            <w:r>
              <w:rPr>
                <w:rFonts w:ascii="宋体" w:hAnsi="宋体" w:cs="宋体" w:eastAsia="宋体" w:hint="default"/>
                <w:spacing w:val="-4"/>
                <w:sz w:val="18"/>
                <w:szCs w:val="18"/>
              </w:rPr>
              <w:t>），同意公司使用超募资金</w:t>
            </w:r>
            <w:r>
              <w:rPr>
                <w:rFonts w:ascii="宋体" w:hAnsi="宋体" w:cs="宋体" w:eastAsia="宋体" w:hint="default"/>
                <w:spacing w:val="-27"/>
                <w:sz w:val="18"/>
                <w:szCs w:val="18"/>
              </w:rPr>
              <w:t> </w:t>
            </w:r>
            <w:r>
              <w:rPr>
                <w:rFonts w:ascii="宋体" w:hAnsi="宋体" w:cs="宋体" w:eastAsia="宋体" w:hint="default"/>
                <w:sz w:val="18"/>
                <w:szCs w:val="18"/>
              </w:rPr>
              <w:t>3,000</w:t>
            </w:r>
            <w:r>
              <w:rPr>
                <w:rFonts w:ascii="宋体" w:hAnsi="宋体" w:cs="宋体" w:eastAsia="宋体" w:hint="default"/>
                <w:spacing w:val="-27"/>
                <w:sz w:val="18"/>
                <w:szCs w:val="18"/>
              </w:rPr>
              <w:t> </w:t>
            </w:r>
            <w:r>
              <w:rPr>
                <w:rFonts w:ascii="宋体" w:hAnsi="宋体" w:cs="宋体" w:eastAsia="宋体" w:hint="default"/>
                <w:sz w:val="18"/>
                <w:szCs w:val="18"/>
              </w:rPr>
              <w:t>万元用于永久补充流动资金，公司承诺在永久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补充流动资金后十二个月内不进行证券投资、委托理财、衍生品投资、创业投资等高风险投资。上述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款项公司已划转完成。</w:t>
            </w:r>
          </w:p>
          <w:p>
            <w:pPr>
              <w:pStyle w:val="TableParagraph"/>
              <w:spacing w:line="316" w:lineRule="auto" w:before="17"/>
              <w:ind w:left="20" w:right="10" w:firstLine="360"/>
              <w:jc w:val="both"/>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50"/>
                <w:sz w:val="18"/>
                <w:szCs w:val="18"/>
              </w:rPr>
              <w:t> </w:t>
            </w:r>
            <w:r>
              <w:rPr>
                <w:rFonts w:ascii="宋体" w:hAnsi="宋体" w:cs="宋体" w:eastAsia="宋体" w:hint="default"/>
                <w:sz w:val="18"/>
                <w:szCs w:val="18"/>
              </w:rPr>
              <w:t>日，公司披露了《关于使用超募资金支付收购湖北索瑞电气有限公司股权部分 </w:t>
            </w:r>
            <w:r>
              <w:rPr>
                <w:rFonts w:ascii="宋体" w:hAnsi="宋体" w:cs="宋体" w:eastAsia="宋体" w:hint="default"/>
                <w:spacing w:val="-2"/>
                <w:sz w:val="18"/>
                <w:szCs w:val="18"/>
              </w:rPr>
              <w:t>现金对价的公告》（公告编号（</w:t>
            </w:r>
            <w:r>
              <w:rPr>
                <w:rFonts w:ascii="宋体" w:hAnsi="宋体" w:cs="宋体" w:eastAsia="宋体" w:hint="default"/>
                <w:spacing w:val="-2"/>
                <w:sz w:val="18"/>
                <w:szCs w:val="18"/>
              </w:rPr>
              <w:t>2014</w:t>
            </w:r>
            <w:r>
              <w:rPr>
                <w:rFonts w:ascii="宋体" w:hAnsi="宋体" w:cs="宋体" w:eastAsia="宋体" w:hint="default"/>
                <w:spacing w:val="-2"/>
                <w:sz w:val="18"/>
                <w:szCs w:val="18"/>
              </w:rPr>
              <w:t>）</w:t>
            </w:r>
            <w:r>
              <w:rPr>
                <w:rFonts w:ascii="宋体" w:hAnsi="宋体" w:cs="宋体" w:eastAsia="宋体" w:hint="default"/>
                <w:spacing w:val="-2"/>
                <w:sz w:val="18"/>
                <w:szCs w:val="18"/>
              </w:rPr>
              <w:t>0820-061</w:t>
            </w:r>
            <w:r>
              <w:rPr>
                <w:rFonts w:ascii="宋体" w:hAnsi="宋体" w:cs="宋体" w:eastAsia="宋体" w:hint="default"/>
                <w:spacing w:val="-2"/>
                <w:sz w:val="18"/>
                <w:szCs w:val="18"/>
              </w:rPr>
              <w:t>），公司以发行股份及支付现金的方式购买任昌兆等</w:t>
            </w:r>
          </w:p>
        </w:tc>
      </w:tr>
    </w:tbl>
    <w:p>
      <w:pPr>
        <w:spacing w:after="0" w:line="316" w:lineRule="auto"/>
        <w:jc w:val="both"/>
        <w:rPr>
          <w:rFonts w:ascii="宋体" w:hAnsi="宋体" w:cs="宋体" w:eastAsia="宋体" w:hint="default"/>
          <w:sz w:val="18"/>
          <w:szCs w:val="18"/>
        </w:rPr>
        <w:sectPr>
          <w:pgSz w:w="11910" w:h="16840"/>
          <w:pgMar w:header="877" w:footer="1000" w:top="1100" w:bottom="1180" w:left="380" w:right="0"/>
        </w:sectPr>
      </w:pPr>
    </w:p>
    <w:p>
      <w:pPr>
        <w:spacing w:line="240" w:lineRule="auto" w:before="0"/>
        <w:rPr>
          <w:rFonts w:ascii="Times New Roman" w:hAnsi="Times New Roman" w:cs="Times New Roman" w:eastAsia="Times New Roman" w:hint="default"/>
          <w:sz w:val="20"/>
          <w:szCs w:val="20"/>
        </w:rPr>
      </w:pPr>
      <w:r>
        <w:rPr/>
        <w:pict>
          <v:shape style="position:absolute;margin-left:24.42pt;margin-top:71.999985pt;width:543.4pt;height:692.3pt;mso-position-horizontal-relative:page;mso-position-vertical-relative:page;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13"/>
                    <w:gridCol w:w="7909"/>
                  </w:tblGrid>
                  <w:tr>
                    <w:trPr>
                      <w:trHeight w:val="2831" w:hRule="exact"/>
                    </w:trPr>
                    <w:tc>
                      <w:tcPr>
                        <w:tcW w:w="291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790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20" w:right="0"/>
                          <w:jc w:val="both"/>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pacing w:val="-46"/>
                            <w:sz w:val="18"/>
                            <w:szCs w:val="18"/>
                          </w:rPr>
                          <w:t> </w:t>
                        </w:r>
                        <w:r>
                          <w:rPr>
                            <w:rFonts w:ascii="宋体" w:hAnsi="宋体" w:cs="宋体" w:eastAsia="宋体" w:hint="default"/>
                            <w:sz w:val="18"/>
                            <w:szCs w:val="18"/>
                          </w:rPr>
                          <w:t>名交易对方持有的湖北索瑞电气有限公司</w:t>
                        </w:r>
                        <w:r>
                          <w:rPr>
                            <w:rFonts w:ascii="宋体" w:hAnsi="宋体" w:cs="宋体" w:eastAsia="宋体" w:hint="default"/>
                            <w:spacing w:val="-46"/>
                            <w:sz w:val="18"/>
                            <w:szCs w:val="18"/>
                          </w:rPr>
                          <w:t> </w:t>
                        </w:r>
                        <w:r>
                          <w:rPr>
                            <w:rFonts w:ascii="宋体" w:hAnsi="宋体" w:cs="宋体" w:eastAsia="宋体" w:hint="default"/>
                            <w:spacing w:val="-4"/>
                            <w:sz w:val="18"/>
                            <w:szCs w:val="18"/>
                          </w:rPr>
                          <w:t>84.82%</w:t>
                        </w:r>
                        <w:r>
                          <w:rPr>
                            <w:rFonts w:ascii="宋体" w:hAnsi="宋体" w:cs="宋体" w:eastAsia="宋体" w:hint="default"/>
                            <w:spacing w:val="-4"/>
                            <w:sz w:val="18"/>
                            <w:szCs w:val="18"/>
                          </w:rPr>
                          <w:t>股权，其中使用超募资金</w:t>
                        </w:r>
                        <w:r>
                          <w:rPr>
                            <w:rFonts w:ascii="宋体" w:hAnsi="宋体" w:cs="宋体" w:eastAsia="宋体" w:hint="default"/>
                            <w:spacing w:val="-46"/>
                            <w:sz w:val="18"/>
                            <w:szCs w:val="18"/>
                          </w:rPr>
                          <w:t> </w:t>
                        </w:r>
                        <w:r>
                          <w:rPr>
                            <w:rFonts w:ascii="宋体" w:hAnsi="宋体" w:cs="宋体" w:eastAsia="宋体" w:hint="default"/>
                            <w:sz w:val="18"/>
                            <w:szCs w:val="18"/>
                          </w:rPr>
                          <w:t>6,779.12</w:t>
                        </w:r>
                        <w:r>
                          <w:rPr>
                            <w:rFonts w:ascii="宋体" w:hAnsi="宋体" w:cs="宋体" w:eastAsia="宋体" w:hint="default"/>
                            <w:spacing w:val="-45"/>
                            <w:sz w:val="18"/>
                            <w:szCs w:val="18"/>
                          </w:rPr>
                          <w:t> </w:t>
                        </w:r>
                        <w:r>
                          <w:rPr>
                            <w:rFonts w:ascii="宋体" w:hAnsi="宋体" w:cs="宋体" w:eastAsia="宋体" w:hint="default"/>
                            <w:sz w:val="18"/>
                            <w:szCs w:val="18"/>
                          </w:rPr>
                          <w:t>万元及超募资</w:t>
                        </w:r>
                      </w:p>
                      <w:p>
                        <w:pPr>
                          <w:pStyle w:val="TableParagraph"/>
                          <w:spacing w:line="316" w:lineRule="auto" w:before="76"/>
                          <w:ind w:left="20" w:right="11"/>
                          <w:jc w:val="both"/>
                          <w:rPr>
                            <w:rFonts w:ascii="宋体" w:hAnsi="宋体" w:cs="宋体" w:eastAsia="宋体" w:hint="default"/>
                            <w:sz w:val="18"/>
                            <w:szCs w:val="18"/>
                          </w:rPr>
                        </w:pPr>
                        <w:r>
                          <w:rPr>
                            <w:rFonts w:ascii="宋体" w:hAnsi="宋体" w:cs="宋体" w:eastAsia="宋体" w:hint="default"/>
                            <w:sz w:val="18"/>
                            <w:szCs w:val="18"/>
                          </w:rPr>
                          <w:t>金账户利息</w:t>
                        </w:r>
                        <w:r>
                          <w:rPr>
                            <w:rFonts w:ascii="宋体" w:hAnsi="宋体" w:cs="宋体" w:eastAsia="宋体" w:hint="default"/>
                            <w:spacing w:val="-43"/>
                            <w:sz w:val="18"/>
                            <w:szCs w:val="18"/>
                          </w:rPr>
                          <w:t> </w:t>
                        </w:r>
                        <w:r>
                          <w:rPr>
                            <w:rFonts w:ascii="宋体" w:hAnsi="宋体" w:cs="宋体" w:eastAsia="宋体" w:hint="default"/>
                            <w:sz w:val="18"/>
                            <w:szCs w:val="18"/>
                          </w:rPr>
                          <w:t>517.13</w:t>
                        </w:r>
                        <w:r>
                          <w:rPr>
                            <w:rFonts w:ascii="宋体" w:hAnsi="宋体" w:cs="宋体" w:eastAsia="宋体" w:hint="default"/>
                            <w:spacing w:val="-43"/>
                            <w:sz w:val="18"/>
                            <w:szCs w:val="18"/>
                          </w:rPr>
                          <w:t> </w:t>
                        </w:r>
                        <w:r>
                          <w:rPr>
                            <w:rFonts w:ascii="宋体" w:hAnsi="宋体" w:cs="宋体" w:eastAsia="宋体" w:hint="default"/>
                            <w:sz w:val="18"/>
                            <w:szCs w:val="18"/>
                          </w:rPr>
                          <w:t>万元合计</w:t>
                        </w:r>
                        <w:r>
                          <w:rPr>
                            <w:rFonts w:ascii="宋体" w:hAnsi="宋体" w:cs="宋体" w:eastAsia="宋体" w:hint="default"/>
                            <w:spacing w:val="-43"/>
                            <w:sz w:val="18"/>
                            <w:szCs w:val="18"/>
                          </w:rPr>
                          <w:t> </w:t>
                        </w:r>
                        <w:r>
                          <w:rPr>
                            <w:rFonts w:ascii="宋体" w:hAnsi="宋体" w:cs="宋体" w:eastAsia="宋体" w:hint="default"/>
                            <w:sz w:val="18"/>
                            <w:szCs w:val="18"/>
                          </w:rPr>
                          <w:t>7,296.25</w:t>
                        </w:r>
                        <w:r>
                          <w:rPr>
                            <w:rFonts w:ascii="宋体" w:hAnsi="宋体" w:cs="宋体" w:eastAsia="宋体" w:hint="default"/>
                            <w:spacing w:val="-43"/>
                            <w:sz w:val="18"/>
                            <w:szCs w:val="18"/>
                          </w:rPr>
                          <w:t> </w:t>
                        </w:r>
                        <w:r>
                          <w:rPr>
                            <w:rFonts w:ascii="宋体" w:hAnsi="宋体" w:cs="宋体" w:eastAsia="宋体" w:hint="default"/>
                            <w:spacing w:val="-3"/>
                            <w:sz w:val="18"/>
                            <w:szCs w:val="18"/>
                          </w:rPr>
                          <w:t>万元用于支付现金对价部分，本次重大资产重组已经中国证券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监督管理委员会证监许可</w:t>
                        </w:r>
                        <w:r>
                          <w:rPr>
                            <w:rFonts w:ascii="宋体" w:hAnsi="宋体" w:cs="宋体" w:eastAsia="宋体" w:hint="default"/>
                            <w:sz w:val="18"/>
                            <w:szCs w:val="18"/>
                          </w:rPr>
                          <w:t>[2014]1399</w:t>
                        </w:r>
                        <w:r>
                          <w:rPr>
                            <w:rFonts w:ascii="宋体" w:hAnsi="宋体" w:cs="宋体" w:eastAsia="宋体" w:hint="default"/>
                            <w:spacing w:val="-46"/>
                            <w:sz w:val="18"/>
                            <w:szCs w:val="18"/>
                          </w:rPr>
                          <w:t> </w:t>
                        </w:r>
                        <w:r>
                          <w:rPr>
                            <w:rFonts w:ascii="宋体" w:hAnsi="宋体" w:cs="宋体" w:eastAsia="宋体" w:hint="default"/>
                            <w:sz w:val="18"/>
                            <w:szCs w:val="18"/>
                          </w:rPr>
                          <w:t>号核准。上述款项公司已划转完成。</w:t>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pacing w:val="3"/>
                            <w:sz w:val="18"/>
                            <w:szCs w:val="18"/>
                          </w:rPr>
                          <w:t>⑤</w:t>
                        </w:r>
                        <w:r>
                          <w:rPr>
                            <w:rFonts w:ascii="宋体" w:hAnsi="宋体" w:cs="宋体" w:eastAsia="宋体" w:hint="default"/>
                            <w:sz w:val="18"/>
                            <w:szCs w:val="18"/>
                          </w:rPr>
                          <w:t>2015</w:t>
                        </w:r>
                        <w:r>
                          <w:rPr>
                            <w:rFonts w:ascii="宋体" w:hAnsi="宋体" w:cs="宋体" w:eastAsia="宋体"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6</w:t>
                        </w:r>
                        <w:r>
                          <w:rPr>
                            <w:rFonts w:ascii="宋体" w:hAnsi="宋体" w:cs="宋体" w:eastAsia="宋体"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pacing w:val="3"/>
                            <w:sz w:val="18"/>
                            <w:szCs w:val="18"/>
                          </w:rPr>
                          <w:t>日，公</w:t>
                        </w:r>
                        <w:r>
                          <w:rPr>
                            <w:rFonts w:ascii="宋体" w:hAnsi="宋体" w:cs="宋体" w:eastAsia="宋体" w:hint="default"/>
                            <w:spacing w:val="2"/>
                            <w:sz w:val="18"/>
                            <w:szCs w:val="18"/>
                          </w:rPr>
                          <w:t>司</w:t>
                        </w:r>
                        <w:r>
                          <w:rPr>
                            <w:rFonts w:ascii="宋体" w:hAnsi="宋体" w:cs="宋体" w:eastAsia="宋体" w:hint="default"/>
                            <w:spacing w:val="3"/>
                            <w:sz w:val="18"/>
                            <w:szCs w:val="18"/>
                          </w:rPr>
                          <w:t>披</w:t>
                        </w:r>
                        <w:r>
                          <w:rPr>
                            <w:rFonts w:ascii="宋体" w:hAnsi="宋体" w:cs="宋体" w:eastAsia="宋体" w:hint="default"/>
                            <w:spacing w:val="2"/>
                            <w:sz w:val="18"/>
                            <w:szCs w:val="18"/>
                          </w:rPr>
                          <w:t>露</w:t>
                        </w:r>
                        <w:r>
                          <w:rPr>
                            <w:rFonts w:ascii="宋体" w:hAnsi="宋体" w:cs="宋体" w:eastAsia="宋体" w:hint="default"/>
                            <w:spacing w:val="3"/>
                            <w:sz w:val="18"/>
                            <w:szCs w:val="18"/>
                          </w:rPr>
                          <w:t>了</w:t>
                        </w:r>
                        <w:r>
                          <w:rPr>
                            <w:rFonts w:ascii="宋体" w:hAnsi="宋体" w:cs="宋体" w:eastAsia="宋体" w:hint="default"/>
                            <w:spacing w:val="2"/>
                            <w:sz w:val="18"/>
                            <w:szCs w:val="18"/>
                          </w:rPr>
                          <w:t>《</w:t>
                        </w:r>
                        <w:r>
                          <w:rPr>
                            <w:rFonts w:ascii="宋体" w:hAnsi="宋体" w:cs="宋体" w:eastAsia="宋体" w:hint="default"/>
                            <w:spacing w:val="3"/>
                            <w:sz w:val="18"/>
                            <w:szCs w:val="18"/>
                          </w:rPr>
                          <w:t>关</w:t>
                        </w:r>
                        <w:r>
                          <w:rPr>
                            <w:rFonts w:ascii="宋体" w:hAnsi="宋体" w:cs="宋体" w:eastAsia="宋体" w:hint="default"/>
                            <w:spacing w:val="2"/>
                            <w:sz w:val="18"/>
                            <w:szCs w:val="18"/>
                          </w:rPr>
                          <w:t>于使用</w:t>
                        </w:r>
                        <w:r>
                          <w:rPr>
                            <w:rFonts w:ascii="宋体" w:hAnsi="宋体" w:cs="宋体" w:eastAsia="宋体" w:hint="default"/>
                            <w:spacing w:val="3"/>
                            <w:sz w:val="18"/>
                            <w:szCs w:val="18"/>
                          </w:rPr>
                          <w:t>超</w:t>
                        </w:r>
                        <w:r>
                          <w:rPr>
                            <w:rFonts w:ascii="宋体" w:hAnsi="宋体" w:cs="宋体" w:eastAsia="宋体" w:hint="default"/>
                            <w:spacing w:val="2"/>
                            <w:sz w:val="18"/>
                            <w:szCs w:val="18"/>
                          </w:rPr>
                          <w:t>募</w:t>
                        </w:r>
                        <w:r>
                          <w:rPr>
                            <w:rFonts w:ascii="宋体" w:hAnsi="宋体" w:cs="宋体" w:eastAsia="宋体" w:hint="default"/>
                            <w:spacing w:val="3"/>
                            <w:sz w:val="18"/>
                            <w:szCs w:val="18"/>
                          </w:rPr>
                          <w:t>资金</w:t>
                        </w:r>
                        <w:r>
                          <w:rPr>
                            <w:rFonts w:ascii="宋体" w:hAnsi="宋体" w:cs="宋体" w:eastAsia="宋体" w:hint="default"/>
                            <w:spacing w:val="2"/>
                            <w:sz w:val="18"/>
                            <w:szCs w:val="18"/>
                          </w:rPr>
                          <w:t>永久</w:t>
                        </w:r>
                        <w:r>
                          <w:rPr>
                            <w:rFonts w:ascii="宋体" w:hAnsi="宋体" w:cs="宋体" w:eastAsia="宋体" w:hint="default"/>
                            <w:spacing w:val="3"/>
                            <w:sz w:val="18"/>
                            <w:szCs w:val="18"/>
                          </w:rPr>
                          <w:t>补</w:t>
                        </w:r>
                        <w:r>
                          <w:rPr>
                            <w:rFonts w:ascii="宋体" w:hAnsi="宋体" w:cs="宋体" w:eastAsia="宋体" w:hint="default"/>
                            <w:spacing w:val="2"/>
                            <w:sz w:val="18"/>
                            <w:szCs w:val="18"/>
                          </w:rPr>
                          <w:t>充</w:t>
                        </w:r>
                        <w:r>
                          <w:rPr>
                            <w:rFonts w:ascii="宋体" w:hAnsi="宋体" w:cs="宋体" w:eastAsia="宋体" w:hint="default"/>
                            <w:spacing w:val="3"/>
                            <w:sz w:val="18"/>
                            <w:szCs w:val="18"/>
                          </w:rPr>
                          <w:t>流动</w:t>
                        </w:r>
                        <w:r>
                          <w:rPr>
                            <w:rFonts w:ascii="宋体" w:hAnsi="宋体" w:cs="宋体" w:eastAsia="宋体" w:hint="default"/>
                            <w:spacing w:val="2"/>
                            <w:sz w:val="18"/>
                            <w:szCs w:val="18"/>
                          </w:rPr>
                          <w:t>资金</w:t>
                        </w:r>
                        <w:r>
                          <w:rPr>
                            <w:rFonts w:ascii="宋体" w:hAnsi="宋体" w:cs="宋体" w:eastAsia="宋体" w:hint="default"/>
                            <w:spacing w:val="3"/>
                            <w:sz w:val="18"/>
                            <w:szCs w:val="18"/>
                          </w:rPr>
                          <w:t>的</w:t>
                        </w:r>
                        <w:r>
                          <w:rPr>
                            <w:rFonts w:ascii="宋体" w:hAnsi="宋体" w:cs="宋体" w:eastAsia="宋体" w:hint="default"/>
                            <w:spacing w:val="2"/>
                            <w:sz w:val="18"/>
                            <w:szCs w:val="18"/>
                          </w:rPr>
                          <w:t>公告</w:t>
                        </w:r>
                        <w:r>
                          <w:rPr>
                            <w:rFonts w:ascii="宋体" w:hAnsi="宋体" w:cs="宋体" w:eastAsia="宋体" w:hint="default"/>
                            <w:spacing w:val="-87"/>
                            <w:sz w:val="18"/>
                            <w:szCs w:val="18"/>
                          </w:rPr>
                          <w:t>》</w:t>
                        </w:r>
                        <w:r>
                          <w:rPr>
                            <w:rFonts w:ascii="宋体" w:hAnsi="宋体" w:cs="宋体" w:eastAsia="宋体" w:hint="default"/>
                            <w:spacing w:val="3"/>
                            <w:sz w:val="18"/>
                            <w:szCs w:val="18"/>
                          </w:rPr>
                          <w:t>（</w:t>
                        </w:r>
                        <w:r>
                          <w:rPr>
                            <w:rFonts w:ascii="宋体" w:hAnsi="宋体" w:cs="宋体" w:eastAsia="宋体" w:hint="default"/>
                            <w:spacing w:val="2"/>
                            <w:sz w:val="18"/>
                            <w:szCs w:val="18"/>
                          </w:rPr>
                          <w:t>公告编</w:t>
                        </w:r>
                        <w:r>
                          <w:rPr>
                            <w:rFonts w:ascii="宋体" w:hAnsi="宋体" w:cs="宋体" w:eastAsia="宋体" w:hint="default"/>
                            <w:sz w:val="18"/>
                            <w:szCs w:val="18"/>
                          </w:rPr>
                          <w:t>号</w:t>
                        </w:r>
                      </w:p>
                      <w:p>
                        <w:pPr>
                          <w:pStyle w:val="TableParagraph"/>
                          <w:spacing w:line="316" w:lineRule="auto" w:before="77"/>
                          <w:ind w:left="20" w:right="9"/>
                          <w:jc w:val="both"/>
                          <w:rPr>
                            <w:rFonts w:ascii="宋体" w:hAnsi="宋体" w:cs="宋体" w:eastAsia="宋体" w:hint="default"/>
                            <w:sz w:val="18"/>
                            <w:szCs w:val="18"/>
                          </w:rPr>
                        </w:pPr>
                        <w:r>
                          <w:rPr>
                            <w:rFonts w:ascii="宋体" w:hAnsi="宋体" w:cs="宋体" w:eastAsia="宋体" w:hint="default"/>
                            <w:spacing w:val="-5"/>
                            <w:sz w:val="18"/>
                            <w:szCs w:val="18"/>
                          </w:rPr>
                          <w:t>2015-031</w:t>
                        </w:r>
                        <w:r>
                          <w:rPr>
                            <w:rFonts w:ascii="宋体" w:hAnsi="宋体" w:cs="宋体" w:eastAsia="宋体" w:hint="default"/>
                            <w:spacing w:val="-5"/>
                            <w:sz w:val="18"/>
                            <w:szCs w:val="18"/>
                          </w:rPr>
                          <w:t>），公司使用超募资金</w:t>
                        </w:r>
                        <w:r>
                          <w:rPr>
                            <w:rFonts w:ascii="宋体" w:hAnsi="宋体" w:cs="宋体" w:eastAsia="宋体" w:hint="default"/>
                            <w:sz w:val="18"/>
                            <w:szCs w:val="18"/>
                          </w:rPr>
                          <w:t> </w:t>
                        </w:r>
                        <w:r>
                          <w:rPr>
                            <w:rFonts w:ascii="宋体" w:hAnsi="宋体" w:cs="宋体" w:eastAsia="宋体" w:hint="default"/>
                            <w:sz w:val="18"/>
                            <w:szCs w:val="18"/>
                          </w:rPr>
                          <w:t>2,250</w:t>
                        </w:r>
                        <w:r>
                          <w:rPr>
                            <w:rFonts w:ascii="宋体" w:hAnsi="宋体" w:cs="宋体" w:eastAsia="宋体" w:hint="default"/>
                            <w:spacing w:val="-68"/>
                            <w:sz w:val="18"/>
                            <w:szCs w:val="18"/>
                          </w:rPr>
                          <w:t> </w:t>
                        </w:r>
                        <w:r>
                          <w:rPr>
                            <w:rFonts w:ascii="宋体" w:hAnsi="宋体" w:cs="宋体" w:eastAsia="宋体" w:hint="default"/>
                            <w:sz w:val="18"/>
                            <w:szCs w:val="18"/>
                          </w:rPr>
                          <w:t>万元用于永久补充流动资金，公司承诺在本次永久补充流动资 </w:t>
                        </w:r>
                        <w:r>
                          <w:rPr>
                            <w:rFonts w:ascii="宋体" w:hAnsi="宋体" w:cs="宋体" w:eastAsia="宋体" w:hint="default"/>
                            <w:spacing w:val="-2"/>
                            <w:sz w:val="18"/>
                            <w:szCs w:val="18"/>
                          </w:rPr>
                          <w:t>金后十二个月内不进行高风险投资（包括财务性投资）以及为他人提供财务资助。上述款项公司已划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转完成。</w:t>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日，公司超募资金累计使用</w:t>
                        </w:r>
                        <w:r>
                          <w:rPr>
                            <w:rFonts w:ascii="宋体" w:hAnsi="宋体" w:cs="宋体" w:eastAsia="宋体" w:hint="default"/>
                            <w:spacing w:val="-43"/>
                            <w:sz w:val="18"/>
                            <w:szCs w:val="18"/>
                          </w:rPr>
                          <w:t> </w:t>
                        </w:r>
                        <w:r>
                          <w:rPr>
                            <w:rFonts w:ascii="宋体" w:hAnsi="宋体" w:cs="宋体" w:eastAsia="宋体" w:hint="default"/>
                            <w:sz w:val="18"/>
                            <w:szCs w:val="18"/>
                          </w:rPr>
                          <w:t>15,546.62</w:t>
                        </w:r>
                        <w:r>
                          <w:rPr>
                            <w:rFonts w:ascii="宋体" w:hAnsi="宋体" w:cs="宋体" w:eastAsia="宋体" w:hint="default"/>
                            <w:spacing w:val="-43"/>
                            <w:sz w:val="18"/>
                            <w:szCs w:val="18"/>
                          </w:rPr>
                          <w:t> </w:t>
                        </w:r>
                        <w:r>
                          <w:rPr>
                            <w:rFonts w:ascii="宋体" w:hAnsi="宋体" w:cs="宋体" w:eastAsia="宋体" w:hint="default"/>
                            <w:sz w:val="18"/>
                            <w:szCs w:val="18"/>
                          </w:rPr>
                          <w:t>万元，其中超募资金</w:t>
                        </w:r>
                        <w:r>
                          <w:rPr>
                            <w:rFonts w:ascii="宋体" w:hAnsi="宋体" w:cs="宋体" w:eastAsia="宋体" w:hint="default"/>
                            <w:spacing w:val="-43"/>
                            <w:sz w:val="18"/>
                            <w:szCs w:val="18"/>
                          </w:rPr>
                          <w:t> </w:t>
                        </w:r>
                        <w:r>
                          <w:rPr>
                            <w:rFonts w:ascii="宋体" w:hAnsi="宋体" w:cs="宋体" w:eastAsia="宋体" w:hint="default"/>
                            <w:sz w:val="18"/>
                            <w:szCs w:val="18"/>
                          </w:rPr>
                          <w:t>15,029.12</w:t>
                        </w:r>
                        <w:r>
                          <w:rPr>
                            <w:rFonts w:ascii="宋体" w:hAnsi="宋体" w:cs="宋体" w:eastAsia="宋体" w:hint="default"/>
                            <w:spacing w:val="-42"/>
                            <w:sz w:val="18"/>
                            <w:szCs w:val="18"/>
                          </w:rPr>
                          <w:t> </w:t>
                        </w:r>
                        <w:r>
                          <w:rPr>
                            <w:rFonts w:ascii="宋体" w:hAnsi="宋体" w:cs="宋体" w:eastAsia="宋体" w:hint="default"/>
                            <w:sz w:val="18"/>
                            <w:szCs w:val="18"/>
                          </w:rPr>
                          <w:t>万</w:t>
                        </w:r>
                      </w:p>
                      <w:p>
                        <w:pPr>
                          <w:pStyle w:val="TableParagraph"/>
                          <w:spacing w:line="240" w:lineRule="auto" w:before="76"/>
                          <w:ind w:left="20" w:right="0"/>
                          <w:jc w:val="both"/>
                          <w:rPr>
                            <w:rFonts w:ascii="宋体" w:hAnsi="宋体" w:cs="宋体" w:eastAsia="宋体" w:hint="default"/>
                            <w:sz w:val="18"/>
                            <w:szCs w:val="18"/>
                          </w:rPr>
                        </w:pPr>
                        <w:r>
                          <w:rPr>
                            <w:rFonts w:ascii="宋体" w:hAnsi="宋体" w:cs="宋体" w:eastAsia="宋体" w:hint="default"/>
                            <w:sz w:val="18"/>
                            <w:szCs w:val="18"/>
                          </w:rPr>
                          <w:t>元已全部使用完毕，使用超募资金利息</w:t>
                        </w:r>
                        <w:r>
                          <w:rPr>
                            <w:rFonts w:ascii="宋体" w:hAnsi="宋体" w:cs="宋体" w:eastAsia="宋体" w:hint="default"/>
                            <w:spacing w:val="-46"/>
                            <w:sz w:val="18"/>
                            <w:szCs w:val="18"/>
                          </w:rPr>
                          <w:t> </w:t>
                        </w:r>
                        <w:r>
                          <w:rPr>
                            <w:rFonts w:ascii="宋体" w:hAnsi="宋体" w:cs="宋体" w:eastAsia="宋体" w:hint="default"/>
                            <w:sz w:val="18"/>
                            <w:szCs w:val="18"/>
                          </w:rPr>
                          <w:t>517.50</w:t>
                        </w:r>
                        <w:r>
                          <w:rPr>
                            <w:rFonts w:ascii="宋体" w:hAnsi="宋体" w:cs="宋体" w:eastAsia="宋体" w:hint="default"/>
                            <w:spacing w:val="-46"/>
                            <w:sz w:val="18"/>
                            <w:szCs w:val="18"/>
                          </w:rPr>
                          <w:t> </w:t>
                        </w:r>
                        <w:r>
                          <w:rPr>
                            <w:rFonts w:ascii="宋体" w:hAnsi="宋体" w:cs="宋体" w:eastAsia="宋体" w:hint="default"/>
                            <w:sz w:val="18"/>
                            <w:szCs w:val="18"/>
                          </w:rPr>
                          <w:t>万元；超募资金专用账户已注销。</w:t>
                        </w:r>
                      </w:p>
                    </w:tc>
                  </w:tr>
                  <w:tr>
                    <w:trPr>
                      <w:trHeight w:val="407" w:hRule="exact"/>
                    </w:trPr>
                    <w:tc>
                      <w:tcPr>
                        <w:tcW w:w="2913"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13" w:right="177"/>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 况</w:t>
                        </w:r>
                      </w:p>
                    </w:tc>
                    <w:tc>
                      <w:tcPr>
                        <w:tcW w:w="7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7" w:hRule="exact"/>
                    </w:trPr>
                    <w:tc>
                      <w:tcPr>
                        <w:tcW w:w="2913" w:type="dxa"/>
                        <w:vMerge/>
                        <w:tcBorders>
                          <w:left w:val="single" w:sz="12" w:space="0" w:color="000000"/>
                          <w:right w:val="single" w:sz="6" w:space="0" w:color="000000"/>
                        </w:tcBorders>
                        <w:shd w:val="clear" w:color="auto" w:fill="D2D2D2"/>
                      </w:tcPr>
                      <w:p>
                        <w:pPr/>
                      </w:p>
                    </w:tc>
                    <w:tc>
                      <w:tcPr>
                        <w:tcW w:w="7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43" w:hRule="exact"/>
                    </w:trPr>
                    <w:tc>
                      <w:tcPr>
                        <w:tcW w:w="2913" w:type="dxa"/>
                        <w:vMerge/>
                        <w:tcBorders>
                          <w:left w:val="single" w:sz="12" w:space="0" w:color="000000"/>
                          <w:bottom w:val="single" w:sz="6" w:space="0" w:color="000000"/>
                          <w:right w:val="single" w:sz="6" w:space="0" w:color="000000"/>
                        </w:tcBorders>
                        <w:shd w:val="clear" w:color="auto" w:fill="D2D2D2"/>
                      </w:tcPr>
                      <w:p>
                        <w:pPr/>
                      </w:p>
                    </w:tc>
                    <w:tc>
                      <w:tcPr>
                        <w:tcW w:w="7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15</w:t>
                        </w:r>
                        <w:r>
                          <w:rPr>
                            <w:rFonts w:ascii="宋体" w:hAnsi="宋体" w:cs="宋体" w:eastAsia="宋体" w:hint="default"/>
                            <w:spacing w:val="-38"/>
                            <w:sz w:val="18"/>
                            <w:szCs w:val="18"/>
                          </w:rPr>
                          <w:t> </w:t>
                        </w:r>
                        <w:r>
                          <w:rPr>
                            <w:rFonts w:ascii="宋体" w:hAnsi="宋体" w:cs="宋体" w:eastAsia="宋体" w:hint="default"/>
                            <w:spacing w:val="-6"/>
                            <w:sz w:val="18"/>
                            <w:szCs w:val="18"/>
                          </w:rPr>
                          <w:t>日，公司披露了《关于变更部分募集资金投资项目实施地点的公告》</w:t>
                        </w:r>
                        <w:r>
                          <w:rPr>
                            <w:rFonts w:ascii="宋体" w:hAnsi="宋体" w:cs="宋体" w:eastAsia="宋体" w:hint="default"/>
                            <w:spacing w:val="-6"/>
                            <w:sz w:val="18"/>
                            <w:szCs w:val="18"/>
                          </w:rPr>
                          <w:t>(</w:t>
                        </w:r>
                        <w:r>
                          <w:rPr>
                            <w:rFonts w:ascii="宋体" w:hAnsi="宋体" w:cs="宋体" w:eastAsia="宋体" w:hint="default"/>
                            <w:spacing w:val="-6"/>
                            <w:sz w:val="18"/>
                            <w:szCs w:val="18"/>
                          </w:rPr>
                          <w:t>公告编号（</w:t>
                        </w:r>
                        <w:r>
                          <w:rPr>
                            <w:rFonts w:ascii="宋体" w:hAnsi="宋体" w:cs="宋体" w:eastAsia="宋体" w:hint="default"/>
                            <w:spacing w:val="-6"/>
                            <w:sz w:val="18"/>
                            <w:szCs w:val="18"/>
                          </w:rPr>
                          <w:t>2013</w:t>
                        </w:r>
                      </w:p>
                      <w:p>
                        <w:pPr>
                          <w:pStyle w:val="TableParagraph"/>
                          <w:spacing w:line="319" w:lineRule="auto" w:before="75"/>
                          <w:ind w:left="20" w:right="12"/>
                          <w:jc w:val="both"/>
                          <w:rPr>
                            <w:rFonts w:ascii="宋体" w:hAnsi="宋体" w:cs="宋体" w:eastAsia="宋体" w:hint="default"/>
                            <w:sz w:val="18"/>
                            <w:szCs w:val="18"/>
                          </w:rPr>
                        </w:pPr>
                        <w:r>
                          <w:rPr>
                            <w:rFonts w:ascii="宋体" w:hAnsi="宋体" w:cs="宋体" w:eastAsia="宋体" w:hint="default"/>
                            <w:spacing w:val="-2"/>
                            <w:sz w:val="18"/>
                            <w:szCs w:val="18"/>
                          </w:rPr>
                          <w:t>0111-003</w:t>
                        </w:r>
                        <w:r>
                          <w:rPr>
                            <w:rFonts w:ascii="宋体" w:hAnsi="宋体" w:cs="宋体" w:eastAsia="宋体" w:hint="default"/>
                            <w:spacing w:val="-2"/>
                            <w:sz w:val="18"/>
                            <w:szCs w:val="18"/>
                          </w:rPr>
                          <w:t>），公司募投项目“电力用户用电信息采集系统产能扩大建设项目”的实施地点由南京市江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宁开发区将军大道以西，福特研发中心以南地块变更为相邻地块，该两宗土地公司均已取得国有土地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使用证。实施地点变更后该项目使用募集资金总投资及建设内容不变。</w:t>
                        </w:r>
                      </w:p>
                    </w:tc>
                  </w:tr>
                  <w:tr>
                    <w:trPr>
                      <w:trHeight w:val="720" w:hRule="exact"/>
                    </w:trPr>
                    <w:tc>
                      <w:tcPr>
                        <w:tcW w:w="2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13" w:right="177"/>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 况</w:t>
                        </w:r>
                      </w:p>
                    </w:tc>
                    <w:tc>
                      <w:tcPr>
                        <w:tcW w:w="7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7" w:hRule="exact"/>
                    </w:trPr>
                    <w:tc>
                      <w:tcPr>
                        <w:tcW w:w="2913"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13" w:right="177"/>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 情况</w:t>
                        </w:r>
                      </w:p>
                    </w:tc>
                    <w:tc>
                      <w:tcPr>
                        <w:tcW w:w="7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3" w:hRule="exact"/>
                    </w:trPr>
                    <w:tc>
                      <w:tcPr>
                        <w:tcW w:w="2913" w:type="dxa"/>
                        <w:vMerge/>
                        <w:tcBorders>
                          <w:left w:val="single" w:sz="12" w:space="0" w:color="000000"/>
                          <w:bottom w:val="single" w:sz="6" w:space="0" w:color="000000"/>
                          <w:right w:val="single" w:sz="6" w:space="0" w:color="000000"/>
                        </w:tcBorders>
                        <w:shd w:val="clear" w:color="auto" w:fill="D2D2D2"/>
                      </w:tcPr>
                      <w:p>
                        <w:pPr/>
                      </w:p>
                    </w:tc>
                    <w:tc>
                      <w:tcPr>
                        <w:tcW w:w="7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10</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宋体" w:hAnsi="宋体" w:cs="宋体" w:eastAsia="宋体" w:hint="default"/>
                            <w:sz w:val="18"/>
                            <w:szCs w:val="18"/>
                          </w:rPr>
                          <w:t>30</w:t>
                        </w:r>
                        <w:r>
                          <w:rPr>
                            <w:rFonts w:ascii="宋体" w:hAnsi="宋体" w:cs="宋体" w:eastAsia="宋体" w:hint="default"/>
                            <w:spacing w:val="-32"/>
                            <w:sz w:val="18"/>
                            <w:szCs w:val="18"/>
                          </w:rPr>
                          <w:t> </w:t>
                        </w:r>
                        <w:r>
                          <w:rPr>
                            <w:rFonts w:ascii="宋体" w:hAnsi="宋体" w:cs="宋体" w:eastAsia="宋体" w:hint="default"/>
                            <w:sz w:val="18"/>
                            <w:szCs w:val="18"/>
                          </w:rPr>
                          <w:t>日，公司披露了《关于以募集资金置换预先投入募集资金投资项目的自筹资金</w:t>
                        </w:r>
                      </w:p>
                      <w:p>
                        <w:pPr>
                          <w:pStyle w:val="TableParagraph"/>
                          <w:spacing w:line="319" w:lineRule="auto" w:before="76"/>
                          <w:ind w:left="20" w:right="11"/>
                          <w:jc w:val="both"/>
                          <w:rPr>
                            <w:rFonts w:ascii="宋体" w:hAnsi="宋体" w:cs="宋体" w:eastAsia="宋体" w:hint="default"/>
                            <w:sz w:val="18"/>
                            <w:szCs w:val="18"/>
                          </w:rPr>
                        </w:pPr>
                        <w:r>
                          <w:rPr>
                            <w:rFonts w:ascii="宋体" w:hAnsi="宋体" w:cs="宋体" w:eastAsia="宋体" w:hint="default"/>
                            <w:spacing w:val="-7"/>
                            <w:sz w:val="18"/>
                            <w:szCs w:val="18"/>
                          </w:rPr>
                          <w:t>的公告》（公告编号（</w:t>
                        </w:r>
                        <w:r>
                          <w:rPr>
                            <w:rFonts w:ascii="宋体" w:hAnsi="宋体" w:cs="宋体" w:eastAsia="宋体" w:hint="default"/>
                            <w:spacing w:val="-7"/>
                            <w:sz w:val="18"/>
                            <w:szCs w:val="18"/>
                          </w:rPr>
                          <w:t>2012</w:t>
                        </w:r>
                        <w:r>
                          <w:rPr>
                            <w:rFonts w:ascii="宋体" w:hAnsi="宋体" w:cs="宋体" w:eastAsia="宋体" w:hint="default"/>
                            <w:spacing w:val="-7"/>
                            <w:sz w:val="18"/>
                            <w:szCs w:val="18"/>
                          </w:rPr>
                          <w:t>）</w:t>
                        </w:r>
                        <w:r>
                          <w:rPr>
                            <w:rFonts w:ascii="宋体" w:hAnsi="宋体" w:cs="宋体" w:eastAsia="宋体" w:hint="default"/>
                            <w:spacing w:val="-7"/>
                            <w:sz w:val="18"/>
                            <w:szCs w:val="18"/>
                          </w:rPr>
                          <w:t>1030-009</w:t>
                        </w:r>
                        <w:r>
                          <w:rPr>
                            <w:rFonts w:ascii="宋体" w:hAnsi="宋体" w:cs="宋体" w:eastAsia="宋体" w:hint="default"/>
                            <w:spacing w:val="-7"/>
                            <w:sz w:val="18"/>
                            <w:szCs w:val="18"/>
                          </w:rPr>
                          <w:t>），公司使用募集资金</w:t>
                        </w:r>
                        <w:r>
                          <w:rPr>
                            <w:rFonts w:ascii="宋体" w:hAnsi="宋体" w:cs="宋体" w:eastAsia="宋体" w:hint="default"/>
                            <w:spacing w:val="-39"/>
                            <w:sz w:val="18"/>
                            <w:szCs w:val="18"/>
                          </w:rPr>
                          <w:t> </w:t>
                        </w:r>
                        <w:r>
                          <w:rPr>
                            <w:rFonts w:ascii="宋体" w:hAnsi="宋体" w:cs="宋体" w:eastAsia="宋体" w:hint="default"/>
                            <w:sz w:val="18"/>
                            <w:szCs w:val="18"/>
                          </w:rPr>
                          <w:t>1,189.82</w:t>
                        </w:r>
                        <w:r>
                          <w:rPr>
                            <w:rFonts w:ascii="宋体" w:hAnsi="宋体" w:cs="宋体" w:eastAsia="宋体" w:hint="default"/>
                            <w:spacing w:val="16"/>
                            <w:sz w:val="18"/>
                            <w:szCs w:val="18"/>
                          </w:rPr>
                          <w:t> </w:t>
                        </w:r>
                        <w:r>
                          <w:rPr>
                            <w:rFonts w:ascii="宋体" w:hAnsi="宋体" w:cs="宋体" w:eastAsia="宋体" w:hint="default"/>
                            <w:sz w:val="18"/>
                            <w:szCs w:val="18"/>
                          </w:rPr>
                          <w:t>万元置换预先已投入募集资金</w:t>
                        </w:r>
                        <w:r>
                          <w:rPr>
                            <w:rFonts w:ascii="宋体" w:hAnsi="宋体" w:cs="宋体" w:eastAsia="宋体" w:hint="default"/>
                            <w:spacing w:val="-86"/>
                            <w:sz w:val="18"/>
                            <w:szCs w:val="18"/>
                          </w:rPr>
                          <w:t> </w:t>
                        </w:r>
                        <w:r>
                          <w:rPr>
                            <w:rFonts w:ascii="宋体" w:hAnsi="宋体" w:cs="宋体" w:eastAsia="宋体" w:hint="default"/>
                            <w:sz w:val="18"/>
                            <w:szCs w:val="18"/>
                          </w:rPr>
                          <w:t>投资项目的自筹资金，上海众华沪银会计师事务所有限公司出具了沪众会字（</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3221</w:t>
                        </w:r>
                        <w:r>
                          <w:rPr>
                            <w:rFonts w:ascii="宋体" w:hAnsi="宋体" w:cs="宋体" w:eastAsia="宋体" w:hint="default"/>
                            <w:spacing w:val="16"/>
                            <w:sz w:val="18"/>
                            <w:szCs w:val="18"/>
                          </w:rPr>
                          <w:t> </w:t>
                        </w:r>
                        <w:r>
                          <w:rPr>
                            <w:rFonts w:ascii="宋体" w:hAnsi="宋体" w:cs="宋体" w:eastAsia="宋体" w:hint="default"/>
                            <w:sz w:val="18"/>
                            <w:szCs w:val="18"/>
                          </w:rPr>
                          <w:t>号鉴证报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告，对该项情况进行了审验。该项置换工作已划转完成。</w:t>
                        </w:r>
                      </w:p>
                    </w:tc>
                  </w:tr>
                  <w:tr>
                    <w:trPr>
                      <w:trHeight w:val="407" w:hRule="exact"/>
                    </w:trPr>
                    <w:tc>
                      <w:tcPr>
                        <w:tcW w:w="2913"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13" w:right="177"/>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 情况</w:t>
                        </w:r>
                      </w:p>
                    </w:tc>
                    <w:tc>
                      <w:tcPr>
                        <w:tcW w:w="7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952" w:hRule="exact"/>
                    </w:trPr>
                    <w:tc>
                      <w:tcPr>
                        <w:tcW w:w="2913" w:type="dxa"/>
                        <w:vMerge/>
                        <w:tcBorders>
                          <w:left w:val="single" w:sz="12" w:space="0" w:color="000000"/>
                          <w:bottom w:val="single" w:sz="12" w:space="0" w:color="000000"/>
                          <w:right w:val="single" w:sz="6" w:space="0" w:color="000000"/>
                        </w:tcBorders>
                        <w:shd w:val="clear" w:color="auto" w:fill="D2D2D2"/>
                      </w:tcPr>
                      <w:p>
                        <w:pPr/>
                      </w:p>
                    </w:tc>
                    <w:tc>
                      <w:tcPr>
                        <w:tcW w:w="7909"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11"/>
                          <w:ind w:left="20" w:right="8" w:firstLine="360"/>
                          <w:jc w:val="both"/>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2012</w:t>
                        </w:r>
                        <w:r>
                          <w:rPr>
                            <w:rFonts w:ascii="宋体" w:hAnsi="宋体" w:cs="宋体" w:eastAsia="宋体"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pacing w:val="-5"/>
                            <w:sz w:val="18"/>
                            <w:szCs w:val="18"/>
                          </w:rPr>
                          <w:t>日，公司披露了《关于使用部分闲置募集资金暂时补充流动资金的公告》（公</w:t>
                        </w:r>
                        <w:r>
                          <w:rPr>
                            <w:rFonts w:ascii="宋体" w:hAnsi="宋体" w:cs="宋体" w:eastAsia="宋体" w:hint="default"/>
                            <w:sz w:val="18"/>
                            <w:szCs w:val="18"/>
                          </w:rPr>
                          <w:t> </w:t>
                        </w:r>
                        <w:r>
                          <w:rPr>
                            <w:rFonts w:ascii="宋体" w:hAnsi="宋体" w:cs="宋体" w:eastAsia="宋体" w:hint="default"/>
                            <w:spacing w:val="-2"/>
                            <w:sz w:val="18"/>
                            <w:szCs w:val="18"/>
                          </w:rPr>
                          <w:t>告编号（</w:t>
                        </w:r>
                        <w:r>
                          <w:rPr>
                            <w:rFonts w:ascii="宋体" w:hAnsi="宋体" w:cs="宋体" w:eastAsia="宋体" w:hint="default"/>
                            <w:spacing w:val="-2"/>
                            <w:sz w:val="18"/>
                            <w:szCs w:val="18"/>
                          </w:rPr>
                          <w:t>2012</w:t>
                        </w:r>
                        <w:r>
                          <w:rPr>
                            <w:rFonts w:ascii="宋体" w:hAnsi="宋体" w:cs="宋体" w:eastAsia="宋体" w:hint="default"/>
                            <w:spacing w:val="-2"/>
                            <w:sz w:val="18"/>
                            <w:szCs w:val="18"/>
                          </w:rPr>
                          <w:t>）</w:t>
                        </w:r>
                        <w:r>
                          <w:rPr>
                            <w:rFonts w:ascii="宋体" w:hAnsi="宋体" w:cs="宋体" w:eastAsia="宋体" w:hint="default"/>
                            <w:spacing w:val="-2"/>
                            <w:sz w:val="18"/>
                            <w:szCs w:val="18"/>
                          </w:rPr>
                          <w:t>1030-011</w:t>
                        </w:r>
                        <w:r>
                          <w:rPr>
                            <w:rFonts w:ascii="宋体" w:hAnsi="宋体" w:cs="宋体" w:eastAsia="宋体" w:hint="default"/>
                            <w:spacing w:val="-2"/>
                            <w:sz w:val="18"/>
                            <w:szCs w:val="18"/>
                          </w:rPr>
                          <w:t>），公司从“电力用户用电信息采集系统产能扩大建设项目”尚未使用的闲</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置募集资金中，使用</w:t>
                        </w:r>
                        <w:r>
                          <w:rPr>
                            <w:rFonts w:ascii="宋体" w:hAnsi="宋体" w:cs="宋体" w:eastAsia="宋体" w:hint="default"/>
                            <w:spacing w:val="-50"/>
                            <w:sz w:val="18"/>
                            <w:szCs w:val="18"/>
                          </w:rPr>
                          <w:t> </w:t>
                        </w:r>
                        <w:r>
                          <w:rPr>
                            <w:rFonts w:ascii="宋体" w:hAnsi="宋体" w:cs="宋体" w:eastAsia="宋体" w:hint="default"/>
                            <w:sz w:val="18"/>
                            <w:szCs w:val="18"/>
                          </w:rPr>
                          <w:t>3,000</w:t>
                        </w:r>
                        <w:r>
                          <w:rPr>
                            <w:rFonts w:ascii="宋体" w:hAnsi="宋体" w:cs="宋体" w:eastAsia="宋体" w:hint="default"/>
                            <w:spacing w:val="-49"/>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50"/>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pacing w:val="-5"/>
                            <w:sz w:val="18"/>
                            <w:szCs w:val="18"/>
                          </w:rPr>
                          <w:t>个月，到期</w:t>
                        </w:r>
                      </w:p>
                      <w:p>
                        <w:pPr>
                          <w:pStyle w:val="TableParagraph"/>
                          <w:spacing w:line="316" w:lineRule="auto" w:before="19"/>
                          <w:ind w:left="20" w:right="100"/>
                          <w:jc w:val="left"/>
                          <w:rPr>
                            <w:rFonts w:ascii="宋体" w:hAnsi="宋体" w:cs="宋体" w:eastAsia="宋体" w:hint="default"/>
                            <w:sz w:val="18"/>
                            <w:szCs w:val="18"/>
                          </w:rPr>
                        </w:pPr>
                        <w:r>
                          <w:rPr>
                            <w:rFonts w:ascii="宋体" w:hAnsi="宋体" w:cs="宋体" w:eastAsia="宋体" w:hint="default"/>
                            <w:sz w:val="18"/>
                            <w:szCs w:val="18"/>
                          </w:rPr>
                          <w:t>将归还至募集资金专户</w:t>
                        </w:r>
                        <w:r>
                          <w:rPr>
                            <w:rFonts w:ascii="宋体" w:hAnsi="宋体" w:cs="宋体" w:eastAsia="宋体" w:hint="default"/>
                            <w:spacing w:val="-90"/>
                            <w:sz w:val="18"/>
                            <w:szCs w:val="18"/>
                          </w:rPr>
                          <w:t>。</w:t>
                        </w:r>
                        <w:r>
                          <w:rPr>
                            <w:rFonts w:ascii="宋体" w:hAnsi="宋体" w:cs="宋体" w:eastAsia="宋体" w:hint="default"/>
                            <w:sz w:val="18"/>
                            <w:szCs w:val="18"/>
                          </w:rPr>
                          <w:t>上述募集资金已于</w:t>
                        </w:r>
                        <w:r>
                          <w:rPr>
                            <w:rFonts w:ascii="宋体" w:hAnsi="宋体" w:cs="宋体" w:eastAsia="宋体" w:hint="default"/>
                            <w:spacing w:val="-56"/>
                            <w:sz w:val="18"/>
                            <w:szCs w:val="18"/>
                          </w:rPr>
                          <w:t> </w:t>
                        </w:r>
                        <w:r>
                          <w:rPr>
                            <w:rFonts w:ascii="宋体" w:hAnsi="宋体" w:cs="宋体" w:eastAsia="宋体" w:hint="default"/>
                            <w:sz w:val="18"/>
                            <w:szCs w:val="18"/>
                          </w:rPr>
                          <w:t>2013</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4</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8</w:t>
                        </w:r>
                        <w:r>
                          <w:rPr>
                            <w:rFonts w:ascii="宋体" w:hAnsi="宋体" w:cs="宋体" w:eastAsia="宋体" w:hint="default"/>
                            <w:spacing w:val="-56"/>
                            <w:sz w:val="18"/>
                            <w:szCs w:val="18"/>
                          </w:rPr>
                          <w:t> </w:t>
                        </w:r>
                        <w:r>
                          <w:rPr>
                            <w:rFonts w:ascii="宋体" w:hAnsi="宋体" w:cs="宋体" w:eastAsia="宋体" w:hint="default"/>
                            <w:sz w:val="18"/>
                            <w:szCs w:val="18"/>
                          </w:rPr>
                          <w:t>日全部归还并存入公司募集资金专用账户 并披露了《关于归还募集资金的公告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0418-018</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2013</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4</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宋体" w:hAnsi="宋体" w:cs="宋体" w:eastAsia="宋体" w:hint="default"/>
                            <w:sz w:val="18"/>
                            <w:szCs w:val="18"/>
                          </w:rPr>
                          <w:t>22</w:t>
                        </w:r>
                        <w:r>
                          <w:rPr>
                            <w:rFonts w:ascii="宋体" w:hAnsi="宋体" w:cs="宋体" w:eastAsia="宋体" w:hint="default"/>
                            <w:spacing w:val="-32"/>
                            <w:sz w:val="18"/>
                            <w:szCs w:val="18"/>
                          </w:rPr>
                          <w:t> </w:t>
                        </w:r>
                        <w:r>
                          <w:rPr>
                            <w:rFonts w:ascii="宋体" w:hAnsi="宋体" w:cs="宋体" w:eastAsia="宋体" w:hint="default"/>
                            <w:sz w:val="18"/>
                            <w:szCs w:val="18"/>
                          </w:rPr>
                          <w:t>日，公司披露了《关于继续使用部分闲置募集资金暂时补充流动资金的公告</w:t>
                        </w:r>
                      </w:p>
                      <w:p>
                        <w:pPr>
                          <w:pStyle w:val="TableParagraph"/>
                          <w:spacing w:line="316" w:lineRule="auto" w:before="76"/>
                          <w:ind w:left="20" w:right="-52"/>
                          <w:jc w:val="left"/>
                          <w:rPr>
                            <w:rFonts w:ascii="宋体" w:hAnsi="宋体" w:cs="宋体" w:eastAsia="宋体" w:hint="default"/>
                            <w:sz w:val="18"/>
                            <w:szCs w:val="18"/>
                          </w:rPr>
                        </w:pPr>
                        <w:r>
                          <w:rPr>
                            <w:rFonts w:ascii="宋体" w:hAnsi="宋体" w:cs="宋体" w:eastAsia="宋体" w:hint="default"/>
                            <w:spacing w:val="-2"/>
                            <w:sz w:val="18"/>
                            <w:szCs w:val="18"/>
                          </w:rPr>
                          <w:t>（公告编号（</w:t>
                        </w:r>
                        <w:r>
                          <w:rPr>
                            <w:rFonts w:ascii="宋体" w:hAnsi="宋体" w:cs="宋体" w:eastAsia="宋体" w:hint="default"/>
                            <w:spacing w:val="-2"/>
                            <w:sz w:val="18"/>
                            <w:szCs w:val="18"/>
                          </w:rPr>
                          <w:t>2013</w:t>
                        </w:r>
                        <w:r>
                          <w:rPr>
                            <w:rFonts w:ascii="宋体" w:hAnsi="宋体" w:cs="宋体" w:eastAsia="宋体" w:hint="default"/>
                            <w:spacing w:val="-2"/>
                            <w:sz w:val="18"/>
                            <w:szCs w:val="18"/>
                          </w:rPr>
                          <w:t>）</w:t>
                        </w:r>
                        <w:r>
                          <w:rPr>
                            <w:rFonts w:ascii="宋体" w:hAnsi="宋体" w:cs="宋体" w:eastAsia="宋体" w:hint="default"/>
                            <w:spacing w:val="-2"/>
                            <w:sz w:val="18"/>
                            <w:szCs w:val="18"/>
                          </w:rPr>
                          <w:t>0422-021</w:t>
                        </w:r>
                        <w:r>
                          <w:rPr>
                            <w:rFonts w:ascii="宋体" w:hAnsi="宋体" w:cs="宋体" w:eastAsia="宋体" w:hint="default"/>
                            <w:spacing w:val="-2"/>
                            <w:sz w:val="18"/>
                            <w:szCs w:val="18"/>
                          </w:rPr>
                          <w:t>），公司从“电力用户用电信息采集系统产能扩大建设项目”尚未使用</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的闲置募集资金中，使用</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pacing w:val="-4"/>
                            <w:sz w:val="18"/>
                            <w:szCs w:val="18"/>
                          </w:rPr>
                          <w:t>到期将归还至募集资金专户。上述募集资金已于</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日全部归还并存入公司募集资金专用 </w:t>
                        </w:r>
                        <w:r>
                          <w:rPr>
                            <w:rFonts w:ascii="宋体" w:hAnsi="宋体" w:cs="宋体" w:eastAsia="宋体" w:hint="default"/>
                            <w:spacing w:val="-7"/>
                            <w:sz w:val="18"/>
                            <w:szCs w:val="18"/>
                          </w:rPr>
                          <w:t>账户，并披露了《关于归还募集资金的公告》（公告编号（</w:t>
                        </w:r>
                        <w:r>
                          <w:rPr>
                            <w:rFonts w:ascii="宋体" w:hAnsi="宋体" w:cs="宋体" w:eastAsia="宋体" w:hint="default"/>
                            <w:spacing w:val="-7"/>
                            <w:sz w:val="18"/>
                            <w:szCs w:val="18"/>
                          </w:rPr>
                          <w:t>2013</w:t>
                        </w:r>
                        <w:r>
                          <w:rPr>
                            <w:rFonts w:ascii="宋体" w:hAnsi="宋体" w:cs="宋体" w:eastAsia="宋体" w:hint="default"/>
                            <w:spacing w:val="-7"/>
                            <w:sz w:val="18"/>
                            <w:szCs w:val="18"/>
                          </w:rPr>
                          <w:t>）</w:t>
                        </w:r>
                        <w:r>
                          <w:rPr>
                            <w:rFonts w:ascii="宋体" w:hAnsi="宋体" w:cs="宋体" w:eastAsia="宋体" w:hint="default"/>
                            <w:spacing w:val="-7"/>
                            <w:sz w:val="18"/>
                            <w:szCs w:val="18"/>
                          </w:rPr>
                          <w:t>1009-043</w:t>
                        </w:r>
                        <w:r>
                          <w:rPr>
                            <w:rFonts w:ascii="宋体" w:hAnsi="宋体" w:cs="宋体" w:eastAsia="宋体" w:hint="default"/>
                            <w:spacing w:val="-7"/>
                            <w:sz w:val="18"/>
                            <w:szCs w:val="18"/>
                          </w:rPr>
                          <w:t>）。</w:t>
                        </w:r>
                        <w:r>
                          <w:rPr>
                            <w:rFonts w:ascii="宋体" w:hAnsi="宋体" w:cs="宋体" w:eastAsia="宋体" w:hint="default"/>
                            <w:sz w:val="18"/>
                            <w:szCs w:val="18"/>
                          </w:rPr>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15</w:t>
                        </w:r>
                        <w:r>
                          <w:rPr>
                            <w:rFonts w:ascii="宋体" w:hAnsi="宋体" w:cs="宋体" w:eastAsia="宋体" w:hint="default"/>
                            <w:spacing w:val="-51"/>
                            <w:sz w:val="18"/>
                            <w:szCs w:val="18"/>
                          </w:rPr>
                          <w:t> </w:t>
                        </w:r>
                        <w:r>
                          <w:rPr>
                            <w:rFonts w:ascii="宋体" w:hAnsi="宋体" w:cs="宋体" w:eastAsia="宋体" w:hint="default"/>
                            <w:sz w:val="18"/>
                            <w:szCs w:val="18"/>
                          </w:rPr>
                          <w:t>日，公司披露了《关于继续使用部分闲置募集资金暂时补充流动资金的公告</w:t>
                        </w:r>
                      </w:p>
                      <w:p>
                        <w:pPr>
                          <w:pStyle w:val="TableParagraph"/>
                          <w:spacing w:line="316" w:lineRule="auto" w:before="76"/>
                          <w:ind w:left="20" w:right="7"/>
                          <w:jc w:val="left"/>
                          <w:rPr>
                            <w:rFonts w:ascii="宋体" w:hAnsi="宋体" w:cs="宋体" w:eastAsia="宋体" w:hint="default"/>
                            <w:sz w:val="18"/>
                            <w:szCs w:val="18"/>
                          </w:rPr>
                        </w:pPr>
                        <w:r>
                          <w:rPr>
                            <w:rFonts w:ascii="宋体" w:hAnsi="宋体" w:cs="宋体" w:eastAsia="宋体" w:hint="default"/>
                            <w:spacing w:val="-2"/>
                            <w:sz w:val="18"/>
                            <w:szCs w:val="18"/>
                          </w:rPr>
                          <w:t>（公告编号（</w:t>
                        </w:r>
                        <w:r>
                          <w:rPr>
                            <w:rFonts w:ascii="宋体" w:hAnsi="宋体" w:cs="宋体" w:eastAsia="宋体" w:hint="default"/>
                            <w:spacing w:val="-2"/>
                            <w:sz w:val="18"/>
                            <w:szCs w:val="18"/>
                          </w:rPr>
                          <w:t>2013</w:t>
                        </w:r>
                        <w:r>
                          <w:rPr>
                            <w:rFonts w:ascii="宋体" w:hAnsi="宋体" w:cs="宋体" w:eastAsia="宋体" w:hint="default"/>
                            <w:spacing w:val="-2"/>
                            <w:sz w:val="18"/>
                            <w:szCs w:val="18"/>
                          </w:rPr>
                          <w:t>）</w:t>
                        </w:r>
                        <w:r>
                          <w:rPr>
                            <w:rFonts w:ascii="宋体" w:hAnsi="宋体" w:cs="宋体" w:eastAsia="宋体" w:hint="default"/>
                            <w:spacing w:val="-2"/>
                            <w:sz w:val="18"/>
                            <w:szCs w:val="18"/>
                          </w:rPr>
                          <w:t>1015-046</w:t>
                        </w:r>
                        <w:r>
                          <w:rPr>
                            <w:rFonts w:ascii="宋体" w:hAnsi="宋体" w:cs="宋体" w:eastAsia="宋体" w:hint="default"/>
                            <w:spacing w:val="-2"/>
                            <w:sz w:val="18"/>
                            <w:szCs w:val="18"/>
                          </w:rPr>
                          <w:t>），公司继续从“电力用户用电信息采集系统产能扩大建设项目”尚未</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使用的闲置募集资金中，使用</w:t>
                        </w:r>
                        <w:r>
                          <w:rPr>
                            <w:rFonts w:ascii="宋体" w:hAnsi="宋体" w:cs="宋体" w:eastAsia="宋体" w:hint="default"/>
                            <w:spacing w:val="-54"/>
                            <w:sz w:val="18"/>
                            <w:szCs w:val="18"/>
                          </w:rPr>
                          <w:t> </w:t>
                        </w:r>
                        <w:r>
                          <w:rPr>
                            <w:rFonts w:ascii="宋体" w:hAnsi="宋体" w:cs="宋体" w:eastAsia="宋体" w:hint="default"/>
                            <w:sz w:val="18"/>
                            <w:szCs w:val="18"/>
                          </w:rPr>
                          <w:t>3,000</w:t>
                        </w:r>
                        <w:r>
                          <w:rPr>
                            <w:rFonts w:ascii="宋体" w:hAnsi="宋体" w:cs="宋体" w:eastAsia="宋体" w:hint="default"/>
                            <w:spacing w:val="-54"/>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个</w:t>
                        </w:r>
                      </w:p>
                      <w:p>
                        <w:pPr>
                          <w:pStyle w:val="TableParagraph"/>
                          <w:spacing w:line="316" w:lineRule="auto" w:before="19"/>
                          <w:ind w:left="20" w:right="10"/>
                          <w:jc w:val="left"/>
                          <w:rPr>
                            <w:rFonts w:ascii="宋体" w:hAnsi="宋体" w:cs="宋体" w:eastAsia="宋体" w:hint="default"/>
                            <w:sz w:val="18"/>
                            <w:szCs w:val="18"/>
                          </w:rPr>
                        </w:pPr>
                        <w:r>
                          <w:rPr>
                            <w:rFonts w:ascii="宋体" w:hAnsi="宋体" w:cs="宋体" w:eastAsia="宋体" w:hint="default"/>
                            <w:sz w:val="18"/>
                            <w:szCs w:val="18"/>
                          </w:rPr>
                          <w:t>月，到期将归还至募集资金专户。上述募集资金已于</w:t>
                        </w:r>
                        <w:r>
                          <w:rPr>
                            <w:rFonts w:ascii="宋体" w:hAnsi="宋体" w:cs="宋体" w:eastAsia="宋体" w:hint="default"/>
                            <w:spacing w:val="-42"/>
                            <w:sz w:val="18"/>
                            <w:szCs w:val="18"/>
                          </w:rPr>
                          <w:t> </w:t>
                        </w: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日全部归还并存入公司募集资金 </w:t>
                        </w:r>
                        <w:r>
                          <w:rPr>
                            <w:rFonts w:ascii="宋体" w:hAnsi="宋体" w:cs="宋体" w:eastAsia="宋体" w:hint="default"/>
                            <w:spacing w:val="-7"/>
                            <w:sz w:val="18"/>
                            <w:szCs w:val="18"/>
                          </w:rPr>
                          <w:t>专用账户，并披露了《关于归还募集资金的公告》（公告编号（</w:t>
                        </w:r>
                        <w:r>
                          <w:rPr>
                            <w:rFonts w:ascii="宋体" w:hAnsi="宋体" w:cs="宋体" w:eastAsia="宋体" w:hint="default"/>
                            <w:spacing w:val="-7"/>
                            <w:sz w:val="18"/>
                            <w:szCs w:val="18"/>
                          </w:rPr>
                          <w:t>2014</w:t>
                        </w:r>
                        <w:r>
                          <w:rPr>
                            <w:rFonts w:ascii="宋体" w:hAnsi="宋体" w:cs="宋体" w:eastAsia="宋体" w:hint="default"/>
                            <w:spacing w:val="-7"/>
                            <w:sz w:val="18"/>
                            <w:szCs w:val="18"/>
                          </w:rPr>
                          <w:t>）</w:t>
                        </w:r>
                        <w:r>
                          <w:rPr>
                            <w:rFonts w:ascii="宋体" w:hAnsi="宋体" w:cs="宋体" w:eastAsia="宋体" w:hint="default"/>
                            <w:spacing w:val="-7"/>
                            <w:sz w:val="18"/>
                            <w:szCs w:val="18"/>
                          </w:rPr>
                          <w:t>0404-013</w:t>
                        </w:r>
                        <w:r>
                          <w:rPr>
                            <w:rFonts w:ascii="宋体" w:hAnsi="宋体" w:cs="宋体" w:eastAsia="宋体" w:hint="default"/>
                            <w:spacing w:val="-7"/>
                            <w:sz w:val="18"/>
                            <w:szCs w:val="18"/>
                          </w:rPr>
                          <w:t>）。</w:t>
                        </w:r>
                        <w:r>
                          <w:rPr>
                            <w:rFonts w:ascii="宋体" w:hAnsi="宋体" w:cs="宋体" w:eastAsia="宋体" w:hint="default"/>
                            <w:sz w:val="18"/>
                            <w:szCs w:val="18"/>
                          </w:rPr>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4</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宋体" w:hAnsi="宋体" w:cs="宋体" w:eastAsia="宋体" w:hint="default"/>
                            <w:sz w:val="18"/>
                            <w:szCs w:val="18"/>
                          </w:rPr>
                          <w:t>10</w:t>
                        </w:r>
                        <w:r>
                          <w:rPr>
                            <w:rFonts w:ascii="宋体" w:hAnsi="宋体" w:cs="宋体" w:eastAsia="宋体" w:hint="default"/>
                            <w:spacing w:val="-32"/>
                            <w:sz w:val="18"/>
                            <w:szCs w:val="18"/>
                          </w:rPr>
                          <w:t> </w:t>
                        </w:r>
                        <w:r>
                          <w:rPr>
                            <w:rFonts w:ascii="宋体" w:hAnsi="宋体" w:cs="宋体" w:eastAsia="宋体" w:hint="default"/>
                            <w:sz w:val="18"/>
                            <w:szCs w:val="18"/>
                          </w:rPr>
                          <w:t>日，公司披露了《关于继续使用部分闲置募集资金暂时补充流动资金的公告</w:t>
                        </w:r>
                      </w:p>
                      <w:p>
                        <w:pPr>
                          <w:pStyle w:val="TableParagraph"/>
                          <w:spacing w:line="316" w:lineRule="auto" w:before="76"/>
                          <w:ind w:left="20" w:right="7"/>
                          <w:jc w:val="left"/>
                          <w:rPr>
                            <w:rFonts w:ascii="宋体" w:hAnsi="宋体" w:cs="宋体" w:eastAsia="宋体" w:hint="default"/>
                            <w:sz w:val="18"/>
                            <w:szCs w:val="18"/>
                          </w:rPr>
                        </w:pPr>
                        <w:r>
                          <w:rPr>
                            <w:rFonts w:ascii="宋体" w:hAnsi="宋体" w:cs="宋体" w:eastAsia="宋体" w:hint="default"/>
                            <w:spacing w:val="-2"/>
                            <w:sz w:val="18"/>
                            <w:szCs w:val="18"/>
                          </w:rPr>
                          <w:t>（公告编号（</w:t>
                        </w:r>
                        <w:r>
                          <w:rPr>
                            <w:rFonts w:ascii="宋体" w:hAnsi="宋体" w:cs="宋体" w:eastAsia="宋体" w:hint="default"/>
                            <w:spacing w:val="-2"/>
                            <w:sz w:val="18"/>
                            <w:szCs w:val="18"/>
                          </w:rPr>
                          <w:t>2014</w:t>
                        </w:r>
                        <w:r>
                          <w:rPr>
                            <w:rFonts w:ascii="宋体" w:hAnsi="宋体" w:cs="宋体" w:eastAsia="宋体" w:hint="default"/>
                            <w:spacing w:val="-2"/>
                            <w:sz w:val="18"/>
                            <w:szCs w:val="18"/>
                          </w:rPr>
                          <w:t>）</w:t>
                        </w:r>
                        <w:r>
                          <w:rPr>
                            <w:rFonts w:ascii="宋体" w:hAnsi="宋体" w:cs="宋体" w:eastAsia="宋体" w:hint="default"/>
                            <w:spacing w:val="-2"/>
                            <w:sz w:val="18"/>
                            <w:szCs w:val="18"/>
                          </w:rPr>
                          <w:t>0410-019</w:t>
                        </w:r>
                        <w:r>
                          <w:rPr>
                            <w:rFonts w:ascii="宋体" w:hAnsi="宋体" w:cs="宋体" w:eastAsia="宋体" w:hint="default"/>
                            <w:spacing w:val="-2"/>
                            <w:sz w:val="18"/>
                            <w:szCs w:val="18"/>
                          </w:rPr>
                          <w:t>），公司继续从“电力用户用电信息采集系统产能扩大建设项目”尚未</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使用的闲置募集资金中，使用</w:t>
                        </w:r>
                        <w:r>
                          <w:rPr>
                            <w:rFonts w:ascii="宋体" w:hAnsi="宋体" w:cs="宋体" w:eastAsia="宋体" w:hint="default"/>
                            <w:spacing w:val="-54"/>
                            <w:sz w:val="18"/>
                            <w:szCs w:val="18"/>
                          </w:rPr>
                          <w:t> </w:t>
                        </w:r>
                        <w:r>
                          <w:rPr>
                            <w:rFonts w:ascii="宋体" w:hAnsi="宋体" w:cs="宋体" w:eastAsia="宋体" w:hint="default"/>
                            <w:sz w:val="18"/>
                            <w:szCs w:val="18"/>
                          </w:rPr>
                          <w:t>3,000</w:t>
                        </w:r>
                        <w:r>
                          <w:rPr>
                            <w:rFonts w:ascii="宋体" w:hAnsi="宋体" w:cs="宋体" w:eastAsia="宋体" w:hint="default"/>
                            <w:spacing w:val="-54"/>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个</w:t>
                        </w:r>
                      </w:p>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pacing w:val="-3"/>
                            <w:sz w:val="18"/>
                            <w:szCs w:val="18"/>
                          </w:rPr>
                          <w:t>月，到期将归还至募集资金专户。上述募集资金已于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日全部归还并存入公司募集资金</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spacing w:before="44"/>
        <w:ind w:left="0" w:right="5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44"/>
        <w:ind w:left="0" w:right="5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5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5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5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000" w:top="1100" w:bottom="1180" w:left="3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before="44"/>
        <w:ind w:left="0" w:right="516" w:firstLine="0"/>
        <w:jc w:val="right"/>
        <w:rPr>
          <w:rFonts w:ascii="宋体" w:hAnsi="宋体" w:cs="宋体" w:eastAsia="宋体" w:hint="default"/>
          <w:sz w:val="18"/>
          <w:szCs w:val="18"/>
        </w:rPr>
      </w:pPr>
      <w:r>
        <w:rPr/>
        <w:pict>
          <v:shape style="position:absolute;margin-left:24.42pt;margin-top:-15.428252pt;width:543.4pt;height:486.0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13"/>
                    <w:gridCol w:w="7909"/>
                  </w:tblGrid>
                  <w:tr>
                    <w:trPr>
                      <w:trHeight w:val="5015" w:hRule="exact"/>
                    </w:trPr>
                    <w:tc>
                      <w:tcPr>
                        <w:tcW w:w="291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790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专用账户，并披露了《关于归还募集资金的公告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1008-075</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76"/>
                          <w:ind w:left="380" w:right="0"/>
                          <w:jc w:val="left"/>
                          <w:rPr>
                            <w:rFonts w:ascii="宋体" w:hAnsi="宋体" w:cs="宋体" w:eastAsia="宋体" w:hint="default"/>
                            <w:sz w:val="18"/>
                            <w:szCs w:val="18"/>
                          </w:rPr>
                        </w:pPr>
                        <w:r>
                          <w:rPr>
                            <w:rFonts w:ascii="宋体" w:hAnsi="宋体" w:cs="宋体" w:eastAsia="宋体" w:hint="default"/>
                            <w:sz w:val="18"/>
                            <w:szCs w:val="18"/>
                          </w:rPr>
                          <w:t>⑤</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日，公司披露了《关于继续使用部分闲置募集资金暂时补充流动资金的公告</w:t>
                        </w:r>
                      </w:p>
                      <w:p>
                        <w:pPr>
                          <w:pStyle w:val="TableParagraph"/>
                          <w:spacing w:line="316" w:lineRule="auto" w:before="76"/>
                          <w:ind w:left="20" w:right="7"/>
                          <w:jc w:val="left"/>
                          <w:rPr>
                            <w:rFonts w:ascii="宋体" w:hAnsi="宋体" w:cs="宋体" w:eastAsia="宋体" w:hint="default"/>
                            <w:sz w:val="18"/>
                            <w:szCs w:val="18"/>
                          </w:rPr>
                        </w:pPr>
                        <w:r>
                          <w:rPr>
                            <w:rFonts w:ascii="宋体" w:hAnsi="宋体" w:cs="宋体" w:eastAsia="宋体" w:hint="default"/>
                            <w:spacing w:val="-2"/>
                            <w:sz w:val="18"/>
                            <w:szCs w:val="18"/>
                          </w:rPr>
                          <w:t>（公告编号（</w:t>
                        </w:r>
                        <w:r>
                          <w:rPr>
                            <w:rFonts w:ascii="宋体" w:hAnsi="宋体" w:cs="宋体" w:eastAsia="宋体" w:hint="default"/>
                            <w:spacing w:val="-2"/>
                            <w:sz w:val="18"/>
                            <w:szCs w:val="18"/>
                          </w:rPr>
                          <w:t>2014</w:t>
                        </w:r>
                        <w:r>
                          <w:rPr>
                            <w:rFonts w:ascii="宋体" w:hAnsi="宋体" w:cs="宋体" w:eastAsia="宋体" w:hint="default"/>
                            <w:spacing w:val="-2"/>
                            <w:sz w:val="18"/>
                            <w:szCs w:val="18"/>
                          </w:rPr>
                          <w:t>）</w:t>
                        </w:r>
                        <w:r>
                          <w:rPr>
                            <w:rFonts w:ascii="宋体" w:hAnsi="宋体" w:cs="宋体" w:eastAsia="宋体" w:hint="default"/>
                            <w:spacing w:val="-2"/>
                            <w:sz w:val="18"/>
                            <w:szCs w:val="18"/>
                          </w:rPr>
                          <w:t>1010-077</w:t>
                        </w:r>
                        <w:r>
                          <w:rPr>
                            <w:rFonts w:ascii="宋体" w:hAnsi="宋体" w:cs="宋体" w:eastAsia="宋体" w:hint="default"/>
                            <w:spacing w:val="-2"/>
                            <w:sz w:val="18"/>
                            <w:szCs w:val="18"/>
                          </w:rPr>
                          <w:t>），公司继续从“电力用户用电信息采集系统产能扩大建设项目”尚未</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使用的闲置募集资金中，使用</w:t>
                        </w:r>
                        <w:r>
                          <w:rPr>
                            <w:rFonts w:ascii="宋体" w:hAnsi="宋体" w:cs="宋体" w:eastAsia="宋体" w:hint="default"/>
                            <w:spacing w:val="-54"/>
                            <w:sz w:val="18"/>
                            <w:szCs w:val="18"/>
                          </w:rPr>
                          <w:t> </w:t>
                        </w:r>
                        <w:r>
                          <w:rPr>
                            <w:rFonts w:ascii="宋体" w:hAnsi="宋体" w:cs="宋体" w:eastAsia="宋体" w:hint="default"/>
                            <w:sz w:val="18"/>
                            <w:szCs w:val="18"/>
                          </w:rPr>
                          <w:t>3,000</w:t>
                        </w:r>
                        <w:r>
                          <w:rPr>
                            <w:rFonts w:ascii="宋体" w:hAnsi="宋体" w:cs="宋体" w:eastAsia="宋体" w:hint="default"/>
                            <w:spacing w:val="-54"/>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个</w:t>
                        </w:r>
                      </w:p>
                      <w:p>
                        <w:pPr>
                          <w:pStyle w:val="TableParagraph"/>
                          <w:spacing w:line="316" w:lineRule="auto" w:before="19"/>
                          <w:ind w:left="20" w:right="10"/>
                          <w:jc w:val="left"/>
                          <w:rPr>
                            <w:rFonts w:ascii="宋体" w:hAnsi="宋体" w:cs="宋体" w:eastAsia="宋体" w:hint="default"/>
                            <w:sz w:val="18"/>
                            <w:szCs w:val="18"/>
                          </w:rPr>
                        </w:pPr>
                        <w:r>
                          <w:rPr>
                            <w:rFonts w:ascii="宋体" w:hAnsi="宋体" w:cs="宋体" w:eastAsia="宋体" w:hint="default"/>
                            <w:sz w:val="18"/>
                            <w:szCs w:val="18"/>
                          </w:rPr>
                          <w:t>月，到期将归还至募集资金专户。上述募集资金已于</w:t>
                        </w:r>
                        <w:r>
                          <w:rPr>
                            <w:rFonts w:ascii="宋体" w:hAnsi="宋体" w:cs="宋体" w:eastAsia="宋体" w:hint="default"/>
                            <w:spacing w:val="-42"/>
                            <w:sz w:val="18"/>
                            <w:szCs w:val="18"/>
                          </w:rPr>
                          <w:t> </w:t>
                        </w: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日全部归还并存入公司募集资金 </w:t>
                        </w:r>
                        <w:r>
                          <w:rPr>
                            <w:rFonts w:ascii="宋体" w:hAnsi="宋体" w:cs="宋体" w:eastAsia="宋体" w:hint="default"/>
                            <w:spacing w:val="-4"/>
                            <w:sz w:val="18"/>
                            <w:szCs w:val="18"/>
                          </w:rPr>
                          <w:t>专用账户，并披露了《关于归还募集资金的公告》（公告编号</w:t>
                        </w:r>
                        <w:r>
                          <w:rPr>
                            <w:rFonts w:ascii="宋体" w:hAnsi="宋体" w:cs="宋体" w:eastAsia="宋体" w:hint="default"/>
                            <w:spacing w:val="-27"/>
                            <w:sz w:val="18"/>
                            <w:szCs w:val="18"/>
                          </w:rPr>
                          <w:t> </w:t>
                        </w:r>
                        <w:r>
                          <w:rPr>
                            <w:rFonts w:ascii="宋体" w:hAnsi="宋体" w:cs="宋体" w:eastAsia="宋体" w:hint="default"/>
                            <w:spacing w:val="-18"/>
                            <w:sz w:val="18"/>
                            <w:szCs w:val="18"/>
                          </w:rPr>
                          <w:t>2015-013</w:t>
                        </w:r>
                        <w:r>
                          <w:rPr>
                            <w:rFonts w:ascii="宋体" w:hAnsi="宋体" w:cs="宋体" w:eastAsia="宋体" w:hint="default"/>
                            <w:spacing w:val="-18"/>
                            <w:sz w:val="18"/>
                            <w:szCs w:val="18"/>
                          </w:rPr>
                          <w:t>）。</w:t>
                        </w:r>
                        <w:r>
                          <w:rPr>
                            <w:rFonts w:ascii="宋体" w:hAnsi="宋体" w:cs="宋体" w:eastAsia="宋体" w:hint="default"/>
                            <w:sz w:val="18"/>
                            <w:szCs w:val="18"/>
                          </w:rPr>
                        </w:r>
                      </w:p>
                      <w:p>
                        <w:pPr>
                          <w:pStyle w:val="TableParagraph"/>
                          <w:spacing w:line="316" w:lineRule="auto" w:before="19"/>
                          <w:ind w:left="20" w:right="10" w:firstLine="360"/>
                          <w:jc w:val="both"/>
                          <w:rPr>
                            <w:rFonts w:ascii="宋体" w:hAnsi="宋体" w:cs="宋体" w:eastAsia="宋体" w:hint="default"/>
                            <w:sz w:val="18"/>
                            <w:szCs w:val="18"/>
                          </w:rPr>
                        </w:pPr>
                        <w:r>
                          <w:rPr>
                            <w:rFonts w:ascii="宋体" w:hAnsi="宋体" w:cs="宋体" w:eastAsia="宋体" w:hint="default"/>
                            <w:sz w:val="18"/>
                            <w:szCs w:val="18"/>
                          </w:rPr>
                          <w:t>⑥</w:t>
                        </w:r>
                        <w:r>
                          <w:rPr>
                            <w:rFonts w:ascii="宋体" w:hAnsi="宋体" w:cs="宋体" w:eastAsia="宋体" w:hint="default"/>
                            <w:sz w:val="18"/>
                            <w:szCs w:val="18"/>
                          </w:rPr>
                          <w:t>2015</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4</w:t>
                        </w:r>
                        <w:r>
                          <w:rPr>
                            <w:rFonts w:ascii="宋体" w:hAnsi="宋体" w:cs="宋体" w:eastAsia="宋体" w:hint="default"/>
                            <w:spacing w:val="-41"/>
                            <w:sz w:val="18"/>
                            <w:szCs w:val="18"/>
                          </w:rPr>
                          <w:t> </w:t>
                        </w:r>
                        <w:r>
                          <w:rPr>
                            <w:rFonts w:ascii="宋体" w:hAnsi="宋体" w:cs="宋体" w:eastAsia="宋体" w:hint="default"/>
                            <w:spacing w:val="-9"/>
                            <w:sz w:val="18"/>
                            <w:szCs w:val="18"/>
                          </w:rPr>
                          <w:t>日，公司披露了《关于继续使用部分闲置募集资金暂时补充流动资金的公告》（公</w:t>
                        </w:r>
                        <w:r>
                          <w:rPr>
                            <w:rFonts w:ascii="宋体" w:hAnsi="宋体" w:cs="宋体" w:eastAsia="宋体" w:hint="default"/>
                            <w:sz w:val="18"/>
                            <w:szCs w:val="18"/>
                          </w:rPr>
                          <w:t> 告编号</w:t>
                        </w:r>
                        <w:r>
                          <w:rPr>
                            <w:rFonts w:ascii="宋体" w:hAnsi="宋体" w:cs="宋体" w:eastAsia="宋体" w:hint="default"/>
                            <w:spacing w:val="-32"/>
                            <w:sz w:val="18"/>
                            <w:szCs w:val="18"/>
                          </w:rPr>
                          <w:t> </w:t>
                        </w:r>
                        <w:r>
                          <w:rPr>
                            <w:rFonts w:ascii="宋体" w:hAnsi="宋体" w:cs="宋体" w:eastAsia="宋体" w:hint="default"/>
                            <w:spacing w:val="-3"/>
                            <w:sz w:val="18"/>
                            <w:szCs w:val="18"/>
                          </w:rPr>
                          <w:t>2015-015</w:t>
                        </w:r>
                        <w:r>
                          <w:rPr>
                            <w:rFonts w:ascii="宋体" w:hAnsi="宋体" w:cs="宋体" w:eastAsia="宋体" w:hint="default"/>
                            <w:spacing w:val="-3"/>
                            <w:sz w:val="18"/>
                            <w:szCs w:val="18"/>
                          </w:rPr>
                          <w:t>），公司继续从“电力用户用电信息采集系统产能扩大建设项目”尚未使用的闲置募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集资金中，使用</w:t>
                        </w:r>
                        <w:r>
                          <w:rPr>
                            <w:rFonts w:ascii="宋体" w:hAnsi="宋体" w:cs="宋体" w:eastAsia="宋体" w:hint="default"/>
                            <w:spacing w:val="-40"/>
                            <w:sz w:val="18"/>
                            <w:szCs w:val="18"/>
                          </w:rPr>
                          <w:t> </w:t>
                        </w:r>
                        <w:r>
                          <w:rPr>
                            <w:rFonts w:ascii="宋体" w:hAnsi="宋体" w:cs="宋体" w:eastAsia="宋体" w:hint="default"/>
                            <w:sz w:val="18"/>
                            <w:szCs w:val="18"/>
                          </w:rPr>
                          <w:t>3,000</w:t>
                        </w:r>
                        <w:r>
                          <w:rPr>
                            <w:rFonts w:ascii="宋体" w:hAnsi="宋体" w:cs="宋体" w:eastAsia="宋体" w:hint="default"/>
                            <w:spacing w:val="-40"/>
                            <w:sz w:val="18"/>
                            <w:szCs w:val="18"/>
                          </w:rPr>
                          <w:t> </w:t>
                        </w:r>
                        <w:r>
                          <w:rPr>
                            <w:rFonts w:ascii="宋体" w:hAnsi="宋体" w:cs="宋体" w:eastAsia="宋体" w:hint="default"/>
                            <w:sz w:val="18"/>
                            <w:szCs w:val="18"/>
                          </w:rPr>
                          <w:t>万元用于暂时补充流动资金，使用期限不超过董事会批准之日起</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个月，到</w:t>
                        </w:r>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z w:val="18"/>
                            <w:szCs w:val="18"/>
                          </w:rPr>
                          <w:t>期将归还至募集资金专户。上述募集资金已于</w:t>
                        </w:r>
                        <w:r>
                          <w:rPr>
                            <w:rFonts w:ascii="宋体" w:hAnsi="宋体" w:cs="宋体" w:eastAsia="宋体" w:hint="default"/>
                            <w:spacing w:val="-41"/>
                            <w:sz w:val="18"/>
                            <w:szCs w:val="18"/>
                          </w:rPr>
                          <w:t> </w:t>
                        </w:r>
                        <w:r>
                          <w:rPr>
                            <w:rFonts w:ascii="宋体" w:hAnsi="宋体" w:cs="宋体" w:eastAsia="宋体" w:hint="default"/>
                            <w:sz w:val="18"/>
                            <w:szCs w:val="18"/>
                          </w:rPr>
                          <w:t>2016</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z w:val="18"/>
                            <w:szCs w:val="18"/>
                          </w:rPr>
                          <w:t>日全部归还并存入公司募集资金专用账 </w:t>
                        </w:r>
                        <w:r>
                          <w:rPr>
                            <w:rFonts w:ascii="宋体" w:hAnsi="宋体" w:cs="宋体" w:eastAsia="宋体" w:hint="default"/>
                            <w:spacing w:val="-4"/>
                            <w:sz w:val="18"/>
                            <w:szCs w:val="18"/>
                          </w:rPr>
                          <w:t>户，并披露了《关于归还募集资金的公告》（公告编号</w:t>
                        </w:r>
                        <w:r>
                          <w:rPr>
                            <w:rFonts w:ascii="宋体" w:hAnsi="宋体" w:cs="宋体" w:eastAsia="宋体" w:hint="default"/>
                            <w:spacing w:val="-40"/>
                            <w:sz w:val="18"/>
                            <w:szCs w:val="18"/>
                          </w:rPr>
                          <w:t> </w:t>
                        </w:r>
                        <w:r>
                          <w:rPr>
                            <w:rFonts w:ascii="宋体" w:hAnsi="宋体" w:cs="宋体" w:eastAsia="宋体" w:hint="default"/>
                            <w:spacing w:val="-18"/>
                            <w:sz w:val="18"/>
                            <w:szCs w:val="18"/>
                          </w:rPr>
                          <w:t>2016-012</w:t>
                        </w:r>
                        <w:r>
                          <w:rPr>
                            <w:rFonts w:ascii="宋体" w:hAnsi="宋体" w:cs="宋体" w:eastAsia="宋体" w:hint="default"/>
                            <w:spacing w:val="-18"/>
                            <w:sz w:val="18"/>
                            <w:szCs w:val="18"/>
                          </w:rPr>
                          <w:t>）。</w:t>
                        </w:r>
                        <w:r>
                          <w:rPr>
                            <w:rFonts w:ascii="宋体" w:hAnsi="宋体" w:cs="宋体" w:eastAsia="宋体" w:hint="default"/>
                            <w:sz w:val="18"/>
                            <w:szCs w:val="18"/>
                          </w:rPr>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⑦</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38"/>
                            <w:sz w:val="18"/>
                            <w:szCs w:val="18"/>
                          </w:rPr>
                          <w:t>，</w:t>
                        </w:r>
                        <w:r>
                          <w:rPr>
                            <w:rFonts w:ascii="宋体" w:hAnsi="宋体" w:cs="宋体" w:eastAsia="宋体" w:hint="default"/>
                            <w:sz w:val="18"/>
                            <w:szCs w:val="18"/>
                          </w:rPr>
                          <w:t>公司</w:t>
                        </w:r>
                        <w:r>
                          <w:rPr>
                            <w:rFonts w:ascii="宋体" w:hAnsi="宋体" w:cs="宋体" w:eastAsia="宋体" w:hint="default"/>
                            <w:spacing w:val="1"/>
                            <w:sz w:val="18"/>
                            <w:szCs w:val="18"/>
                          </w:rPr>
                          <w:t>披</w:t>
                        </w:r>
                        <w:r>
                          <w:rPr>
                            <w:rFonts w:ascii="宋体" w:hAnsi="宋体" w:cs="宋体" w:eastAsia="宋体" w:hint="default"/>
                            <w:sz w:val="18"/>
                            <w:szCs w:val="18"/>
                          </w:rPr>
                          <w:t>露</w:t>
                        </w:r>
                        <w:r>
                          <w:rPr>
                            <w:rFonts w:ascii="宋体" w:hAnsi="宋体" w:cs="宋体" w:eastAsia="宋体" w:hint="default"/>
                            <w:spacing w:val="-38"/>
                            <w:sz w:val="18"/>
                            <w:szCs w:val="18"/>
                          </w:rPr>
                          <w:t>了</w:t>
                        </w:r>
                        <w:r>
                          <w:rPr>
                            <w:rFonts w:ascii="宋体" w:hAnsi="宋体" w:cs="宋体" w:eastAsia="宋体" w:hint="default"/>
                            <w:sz w:val="18"/>
                            <w:szCs w:val="18"/>
                          </w:rPr>
                          <w:t>《于继续使用部分闲置募集资金暂时补充流动资金的公告</w:t>
                        </w:r>
                        <w:r>
                          <w:rPr>
                            <w:rFonts w:ascii="宋体" w:hAnsi="宋体" w:cs="宋体" w:eastAsia="宋体" w:hint="default"/>
                            <w:spacing w:val="-128"/>
                            <w:sz w:val="18"/>
                            <w:szCs w:val="18"/>
                          </w:rPr>
                          <w:t>》</w:t>
                        </w:r>
                        <w:r>
                          <w:rPr>
                            <w:rFonts w:ascii="宋体" w:hAnsi="宋体" w:cs="宋体" w:eastAsia="宋体" w:hint="default"/>
                            <w:sz w:val="18"/>
                            <w:szCs w:val="18"/>
                          </w:rPr>
                          <w:t>（公</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宋体" w:hAnsi="宋体" w:cs="宋体" w:eastAsia="宋体" w:hint="default"/>
                            <w:spacing w:val="-46"/>
                            <w:sz w:val="18"/>
                            <w:szCs w:val="18"/>
                          </w:rPr>
                          <w:t> </w:t>
                        </w:r>
                        <w:r>
                          <w:rPr>
                            <w:rFonts w:ascii="宋体" w:hAnsi="宋体" w:cs="宋体" w:eastAsia="宋体" w:hint="default"/>
                            <w:sz w:val="18"/>
                            <w:szCs w:val="18"/>
                          </w:rPr>
                          <w:t>2016-019</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67"/>
                            <w:sz w:val="18"/>
                            <w:szCs w:val="18"/>
                          </w:rPr>
                          <w:t>，</w:t>
                        </w:r>
                        <w:r>
                          <w:rPr>
                            <w:rFonts w:ascii="宋体" w:hAnsi="宋体" w:cs="宋体" w:eastAsia="宋体" w:hint="default"/>
                            <w:sz w:val="18"/>
                            <w:szCs w:val="18"/>
                          </w:rPr>
                          <w:t>公司继续从“电力用户用电信息采集系统产能扩大建设项目”尚未使用的闲置</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募集资金中，使用</w:t>
                        </w:r>
                        <w:r>
                          <w:rPr>
                            <w:rFonts w:ascii="宋体" w:hAnsi="宋体" w:cs="宋体" w:eastAsia="宋体" w:hint="default"/>
                            <w:spacing w:val="-40"/>
                            <w:sz w:val="18"/>
                            <w:szCs w:val="18"/>
                          </w:rPr>
                          <w:t> </w:t>
                        </w:r>
                        <w:r>
                          <w:rPr>
                            <w:rFonts w:ascii="宋体" w:hAnsi="宋体" w:cs="宋体" w:eastAsia="宋体" w:hint="default"/>
                            <w:sz w:val="18"/>
                            <w:szCs w:val="18"/>
                          </w:rPr>
                          <w:t>3,000</w:t>
                        </w:r>
                        <w:r>
                          <w:rPr>
                            <w:rFonts w:ascii="宋体" w:hAnsi="宋体" w:cs="宋体" w:eastAsia="宋体" w:hint="default"/>
                            <w:spacing w:val="-40"/>
                            <w:sz w:val="18"/>
                            <w:szCs w:val="18"/>
                          </w:rPr>
                          <w:t> </w:t>
                        </w:r>
                        <w:r>
                          <w:rPr>
                            <w:rFonts w:ascii="宋体" w:hAnsi="宋体" w:cs="宋体" w:eastAsia="宋体" w:hint="default"/>
                            <w:sz w:val="18"/>
                            <w:szCs w:val="18"/>
                          </w:rPr>
                          <w:t>万元用于暂时补充流动资金，使用期限不超过董事会批准之日起</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个月，</w:t>
                        </w:r>
                      </w:p>
                      <w:p>
                        <w:pPr>
                          <w:pStyle w:val="TableParagraph"/>
                          <w:spacing w:line="316" w:lineRule="auto" w:before="76"/>
                          <w:ind w:left="20" w:right="11"/>
                          <w:jc w:val="left"/>
                          <w:rPr>
                            <w:rFonts w:ascii="宋体" w:hAnsi="宋体" w:cs="宋体" w:eastAsia="宋体" w:hint="default"/>
                            <w:sz w:val="18"/>
                            <w:szCs w:val="18"/>
                          </w:rPr>
                        </w:pPr>
                        <w:r>
                          <w:rPr>
                            <w:rFonts w:ascii="宋体" w:hAnsi="宋体" w:cs="宋体" w:eastAsia="宋体" w:hint="default"/>
                            <w:spacing w:val="-4"/>
                            <w:sz w:val="18"/>
                            <w:szCs w:val="18"/>
                          </w:rPr>
                          <w:t>到期将归还至募集资金专户。上述募集资金已于</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日全部归还并存入公司募集资金专用 </w:t>
                        </w:r>
                        <w:r>
                          <w:rPr>
                            <w:rFonts w:ascii="宋体" w:hAnsi="宋体" w:cs="宋体" w:eastAsia="宋体" w:hint="default"/>
                            <w:spacing w:val="-4"/>
                            <w:sz w:val="18"/>
                            <w:szCs w:val="18"/>
                          </w:rPr>
                          <w:t>账户，并披露了《关于归还募集资金的公告》（公告编号</w:t>
                        </w:r>
                        <w:r>
                          <w:rPr>
                            <w:rFonts w:ascii="宋体" w:hAnsi="宋体" w:cs="宋体" w:eastAsia="宋体" w:hint="default"/>
                            <w:spacing w:val="-36"/>
                            <w:sz w:val="18"/>
                            <w:szCs w:val="18"/>
                          </w:rPr>
                          <w:t> </w:t>
                        </w:r>
                        <w:r>
                          <w:rPr>
                            <w:rFonts w:ascii="宋体" w:hAnsi="宋体" w:cs="宋体" w:eastAsia="宋体" w:hint="default"/>
                            <w:spacing w:val="-18"/>
                            <w:sz w:val="18"/>
                            <w:szCs w:val="18"/>
                          </w:rPr>
                          <w:t>2017-015</w:t>
                        </w:r>
                        <w:r>
                          <w:rPr>
                            <w:rFonts w:ascii="宋体" w:hAnsi="宋体" w:cs="宋体" w:eastAsia="宋体" w:hint="default"/>
                            <w:spacing w:val="-18"/>
                            <w:sz w:val="18"/>
                            <w:szCs w:val="18"/>
                          </w:rPr>
                          <w:t>）。</w:t>
                        </w:r>
                        <w:r>
                          <w:rPr>
                            <w:rFonts w:ascii="宋体" w:hAnsi="宋体" w:cs="宋体" w:eastAsia="宋体" w:hint="default"/>
                            <w:sz w:val="18"/>
                            <w:szCs w:val="18"/>
                          </w:rPr>
                        </w:r>
                      </w:p>
                    </w:tc>
                  </w:tr>
                  <w:tr>
                    <w:trPr>
                      <w:trHeight w:val="407" w:hRule="exact"/>
                    </w:trPr>
                    <w:tc>
                      <w:tcPr>
                        <w:tcW w:w="2913"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9" w:lineRule="auto"/>
                          <w:ind w:left="13" w:right="177"/>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 及原因</w:t>
                        </w:r>
                      </w:p>
                    </w:tc>
                    <w:tc>
                      <w:tcPr>
                        <w:tcW w:w="7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136" w:hRule="exact"/>
                    </w:trPr>
                    <w:tc>
                      <w:tcPr>
                        <w:tcW w:w="2913" w:type="dxa"/>
                        <w:vMerge/>
                        <w:tcBorders>
                          <w:left w:val="single" w:sz="12" w:space="0" w:color="000000"/>
                          <w:bottom w:val="single" w:sz="6" w:space="0" w:color="000000"/>
                          <w:right w:val="single" w:sz="6" w:space="0" w:color="000000"/>
                        </w:tcBorders>
                        <w:shd w:val="clear" w:color="auto" w:fill="D2D2D2"/>
                      </w:tcPr>
                      <w:p>
                        <w:pPr/>
                      </w:p>
                    </w:tc>
                    <w:tc>
                      <w:tcPr>
                        <w:tcW w:w="790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1"/>
                          <w:ind w:left="20" w:right="10" w:firstLine="360"/>
                          <w:jc w:val="both"/>
                          <w:rPr>
                            <w:rFonts w:ascii="宋体" w:hAnsi="宋体" w:cs="宋体" w:eastAsia="宋体" w:hint="default"/>
                            <w:sz w:val="18"/>
                            <w:szCs w:val="18"/>
                          </w:rPr>
                        </w:pPr>
                        <w:r>
                          <w:rPr>
                            <w:rFonts w:ascii="宋体" w:hAnsi="宋体" w:cs="宋体" w:eastAsia="宋体" w:hint="default"/>
                            <w:sz w:val="18"/>
                            <w:szCs w:val="18"/>
                          </w:rPr>
                          <w:t>①“电力用户用电信息采集系统产能扩大建设项目”</w:t>
                        </w:r>
                        <w:r>
                          <w:rPr>
                            <w:rFonts w:ascii="宋体" w:hAnsi="宋体" w:cs="宋体" w:eastAsia="宋体" w:hint="default"/>
                            <w:spacing w:val="15"/>
                            <w:sz w:val="18"/>
                            <w:szCs w:val="18"/>
                          </w:rPr>
                          <w:t> </w:t>
                        </w:r>
                        <w:r>
                          <w:rPr>
                            <w:rFonts w:ascii="宋体" w:hAnsi="宋体" w:cs="宋体" w:eastAsia="宋体" w:hint="default"/>
                            <w:sz w:val="18"/>
                            <w:szCs w:val="18"/>
                          </w:rPr>
                          <w:t>在项目实施过程中，公司严格按照募集资</w:t>
                        </w:r>
                        <w:r>
                          <w:rPr>
                            <w:rFonts w:ascii="宋体" w:hAnsi="宋体" w:cs="宋体" w:eastAsia="宋体" w:hint="default"/>
                            <w:sz w:val="18"/>
                            <w:szCs w:val="18"/>
                          </w:rPr>
                          <w:t> </w:t>
                        </w:r>
                        <w:r>
                          <w:rPr>
                            <w:rFonts w:ascii="宋体" w:hAnsi="宋体" w:cs="宋体" w:eastAsia="宋体" w:hint="default"/>
                            <w:spacing w:val="-2"/>
                            <w:sz w:val="18"/>
                            <w:szCs w:val="18"/>
                          </w:rPr>
                          <w:t>金使用的有关规定，从项目的实际情况出发，本着合理、有效、节约的原则谨慎使用募集资金，在确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保项目质量及顺利建设的前提下，合理配置资源，严格控制各项支出，节约部分设备采购成本。截止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3</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z w:val="18"/>
                            <w:szCs w:val="18"/>
                          </w:rPr>
                          <w:t>日，该项目已达到预定可使用状态，经第三届董事会第十二次会议审议通过，同意公</w:t>
                        </w:r>
                      </w:p>
                      <w:p>
                        <w:pPr>
                          <w:pStyle w:val="TableParagraph"/>
                          <w:spacing w:line="240" w:lineRule="auto" w:before="19"/>
                          <w:ind w:left="20" w:right="-54"/>
                          <w:jc w:val="left"/>
                          <w:rPr>
                            <w:rFonts w:ascii="宋体" w:hAnsi="宋体" w:cs="宋体" w:eastAsia="宋体" w:hint="default"/>
                            <w:sz w:val="18"/>
                            <w:szCs w:val="18"/>
                          </w:rPr>
                        </w:pPr>
                        <w:r>
                          <w:rPr>
                            <w:rFonts w:ascii="宋体" w:hAnsi="宋体" w:cs="宋体" w:eastAsia="宋体" w:hint="default"/>
                            <w:sz w:val="18"/>
                            <w:szCs w:val="18"/>
                          </w:rPr>
                          <w:t>司将该项目结余资金及超募资金结余利息合计 </w:t>
                        </w:r>
                        <w:r>
                          <w:rPr>
                            <w:rFonts w:ascii="宋体" w:hAnsi="宋体" w:cs="宋体" w:eastAsia="宋体" w:hint="default"/>
                            <w:sz w:val="18"/>
                            <w:szCs w:val="18"/>
                          </w:rPr>
                          <w:t>3,898.63 </w:t>
                        </w:r>
                        <w:r>
                          <w:rPr>
                            <w:rFonts w:ascii="宋体" w:hAnsi="宋体" w:cs="宋体" w:eastAsia="宋体" w:hint="default"/>
                            <w:sz w:val="18"/>
                            <w:szCs w:val="18"/>
                          </w:rPr>
                          <w:t>万元（含利息收入）永久性补充流动资金。</w:t>
                        </w:r>
                      </w:p>
                      <w:p>
                        <w:pPr>
                          <w:pStyle w:val="TableParagraph"/>
                          <w:spacing w:line="316" w:lineRule="auto" w:before="77"/>
                          <w:ind w:left="20" w:right="11" w:firstLine="360"/>
                          <w:jc w:val="both"/>
                          <w:rPr>
                            <w:rFonts w:ascii="宋体" w:hAnsi="宋体" w:cs="宋体" w:eastAsia="宋体" w:hint="default"/>
                            <w:sz w:val="18"/>
                            <w:szCs w:val="18"/>
                          </w:rPr>
                        </w:pPr>
                        <w:r>
                          <w:rPr>
                            <w:rFonts w:ascii="宋体" w:hAnsi="宋体" w:cs="宋体" w:eastAsia="宋体" w:hint="default"/>
                            <w:sz w:val="18"/>
                            <w:szCs w:val="18"/>
                          </w:rPr>
                          <w:t>②“研发中心建设项目”</w:t>
                        </w:r>
                        <w:r>
                          <w:rPr>
                            <w:rFonts w:ascii="宋体" w:hAnsi="宋体" w:cs="宋体" w:eastAsia="宋体" w:hint="default"/>
                            <w:spacing w:val="15"/>
                            <w:sz w:val="18"/>
                            <w:szCs w:val="18"/>
                          </w:rPr>
                          <w:t> </w:t>
                        </w:r>
                        <w:r>
                          <w:rPr>
                            <w:rFonts w:ascii="宋体" w:hAnsi="宋体" w:cs="宋体" w:eastAsia="宋体" w:hint="default"/>
                            <w:sz w:val="18"/>
                            <w:szCs w:val="18"/>
                          </w:rPr>
                          <w:t>在项目实施过程中，公司严格按照募集资金使用的有关规定，从项目</w:t>
                        </w:r>
                        <w:r>
                          <w:rPr>
                            <w:rFonts w:ascii="宋体" w:hAnsi="宋体" w:cs="宋体" w:eastAsia="宋体" w:hint="default"/>
                            <w:sz w:val="18"/>
                            <w:szCs w:val="18"/>
                          </w:rPr>
                          <w:t> </w:t>
                        </w:r>
                        <w:r>
                          <w:rPr>
                            <w:rFonts w:ascii="宋体" w:hAnsi="宋体" w:cs="宋体" w:eastAsia="宋体" w:hint="default"/>
                            <w:spacing w:val="-2"/>
                            <w:sz w:val="18"/>
                            <w:szCs w:val="18"/>
                          </w:rPr>
                          <w:t>的实际情况出发，本着合理、有效、节约的原则谨慎使用募集资金，在确保项目质量及顺利建设的前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提下，合理配置资源，严格控制各项支出，节约部分设备采购成本。截止</w:t>
                        </w:r>
                        <w:r>
                          <w:rPr>
                            <w:rFonts w:ascii="宋体" w:hAnsi="宋体" w:cs="宋体" w:eastAsia="宋体" w:hint="default"/>
                            <w:spacing w:val="-41"/>
                            <w:sz w:val="18"/>
                            <w:szCs w:val="18"/>
                          </w:rPr>
                          <w:t> </w:t>
                        </w: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z w:val="18"/>
                            <w:szCs w:val="18"/>
                          </w:rPr>
                          <w:t>日，该项 </w:t>
                        </w:r>
                        <w:r>
                          <w:rPr>
                            <w:rFonts w:ascii="宋体" w:hAnsi="宋体" w:cs="宋体" w:eastAsia="宋体" w:hint="default"/>
                            <w:spacing w:val="-2"/>
                            <w:sz w:val="18"/>
                            <w:szCs w:val="18"/>
                          </w:rPr>
                          <w:t>目已达到预定可使用状态，经第三届董事会第二十二次会议审议通过，同意公司将该项目结余资金及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超募资金结余利息合计</w:t>
                        </w:r>
                        <w:r>
                          <w:rPr>
                            <w:rFonts w:ascii="宋体" w:hAnsi="宋体" w:cs="宋体" w:eastAsia="宋体" w:hint="default"/>
                            <w:spacing w:val="-46"/>
                            <w:sz w:val="18"/>
                            <w:szCs w:val="18"/>
                          </w:rPr>
                          <w:t> </w:t>
                        </w:r>
                        <w:r>
                          <w:rPr>
                            <w:rFonts w:ascii="宋体" w:hAnsi="宋体" w:cs="宋体" w:eastAsia="宋体" w:hint="default"/>
                            <w:sz w:val="18"/>
                            <w:szCs w:val="18"/>
                          </w:rPr>
                          <w:t>1,428.95</w:t>
                        </w:r>
                        <w:r>
                          <w:rPr>
                            <w:rFonts w:ascii="宋体" w:hAnsi="宋体" w:cs="宋体" w:eastAsia="宋体" w:hint="default"/>
                            <w:spacing w:val="-46"/>
                            <w:sz w:val="18"/>
                            <w:szCs w:val="18"/>
                          </w:rPr>
                          <w:t> </w:t>
                        </w:r>
                        <w:r>
                          <w:rPr>
                            <w:rFonts w:ascii="宋体" w:hAnsi="宋体" w:cs="宋体" w:eastAsia="宋体" w:hint="default"/>
                            <w:sz w:val="18"/>
                            <w:szCs w:val="18"/>
                          </w:rPr>
                          <w:t>万元（含利息收入）永久性补充流动资金。</w:t>
                        </w:r>
                      </w:p>
                    </w:tc>
                  </w:tr>
                  <w:tr>
                    <w:trPr>
                      <w:trHeight w:val="407" w:hRule="exact"/>
                    </w:trPr>
                    <w:tc>
                      <w:tcPr>
                        <w:tcW w:w="2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7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公司尚未使用的募集资金将用于募投项目后续资金支付，募集资金存放于募集资金专用账户。</w:t>
                        </w:r>
                      </w:p>
                    </w:tc>
                  </w:tr>
                  <w:tr>
                    <w:trPr>
                      <w:trHeight w:val="727" w:hRule="exact"/>
                    </w:trPr>
                    <w:tc>
                      <w:tcPr>
                        <w:tcW w:w="29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9" w:lineRule="auto" w:before="51"/>
                          <w:ind w:left="13" w:right="177"/>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 或其他情况</w:t>
                        </w:r>
                      </w:p>
                    </w:tc>
                    <w:tc>
                      <w:tcPr>
                        <w:tcW w:w="79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55"/>
                          <w:jc w:val="left"/>
                          <w:rPr>
                            <w:rFonts w:ascii="宋体" w:hAnsi="宋体" w:cs="宋体" w:eastAsia="宋体" w:hint="default"/>
                            <w:sz w:val="18"/>
                            <w:szCs w:val="18"/>
                          </w:rPr>
                        </w:pPr>
                        <w:r>
                          <w:rPr>
                            <w:rFonts w:ascii="宋体" w:hAnsi="宋体" w:cs="宋体" w:eastAsia="宋体" w:hint="default"/>
                            <w:sz w:val="18"/>
                            <w:szCs w:val="18"/>
                          </w:rPr>
                          <w:t>报告期内，公司募集资金不存在未按规定使用以及相关信息未及时、真实、准确、完整披露的情况。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40" w:lineRule="auto"/>
        <w:ind w:left="754" w:right="0"/>
        <w:jc w:val="left"/>
        <w:rPr>
          <w:b w:val="0"/>
          <w:bCs w:val="0"/>
        </w:rPr>
      </w:pPr>
      <w:bookmarkStart w:name="（3）募集资金变更项目情况" w:id="53"/>
      <w:bookmarkEnd w:id="53"/>
      <w:r>
        <w:rPr>
          <w:b w:val="0"/>
          <w:bCs w:val="0"/>
        </w:rPr>
      </w:r>
      <w:r>
        <w:rPr/>
        <w:t>（</w:t>
      </w:r>
      <w:r>
        <w:rPr>
          <w:rFonts w:ascii="宋体" w:hAnsi="宋体" w:cs="宋体" w:eastAsia="宋体" w:hint="default"/>
        </w:rPr>
        <w:t>3</w:t>
      </w:r>
      <w:r>
        <w:rPr/>
        <w:t>）募集资金变更项目情况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754" w:right="843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六、重大资产和股权出售" w:id="54"/>
      <w:bookmarkEnd w:id="54"/>
      <w:r>
        <w:rPr>
          <w:rFonts w:ascii="宋体" w:hAnsi="宋体" w:cs="宋体" w:eastAsia="宋体" w:hint="default"/>
          <w:sz w:val="21"/>
          <w:szCs w:val="21"/>
        </w:rPr>
      </w:r>
      <w:r>
        <w:rPr>
          <w:rFonts w:ascii="宋体" w:hAnsi="宋体" w:cs="宋体" w:eastAsia="宋体" w:hint="default"/>
          <w:b/>
          <w:bCs/>
          <w:sz w:val="21"/>
          <w:szCs w:val="21"/>
        </w:rPr>
        <w:t>六、重大资产和股权出售</w:t>
      </w:r>
      <w:r>
        <w:rPr>
          <w:rFonts w:ascii="宋体" w:hAnsi="宋体" w:cs="宋体" w:eastAsia="宋体" w:hint="default"/>
          <w:b/>
          <w:bCs/>
          <w:w w:val="99"/>
          <w:sz w:val="21"/>
          <w:szCs w:val="21"/>
        </w:rPr>
        <w:t> </w:t>
      </w:r>
      <w:bookmarkStart w:name="1、出售重大资产情况" w:id="55"/>
      <w:bookmarkEnd w:id="55"/>
      <w:r>
        <w:rPr>
          <w:rFonts w:ascii="宋体" w:hAnsi="宋体" w:cs="宋体" w:eastAsia="宋体" w:hint="default"/>
          <w:b/>
          <w:bCs/>
          <w:w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pStyle w:val="BodyText"/>
        <w:spacing w:line="240" w:lineRule="auto"/>
        <w:ind w:left="754" w:right="0"/>
        <w:jc w:val="left"/>
      </w:pPr>
      <w:r>
        <w:rPr/>
        <w:t>√ 适用 □</w:t>
      </w:r>
      <w:r>
        <w:rPr>
          <w:spacing w:val="-1"/>
        </w:rPr>
        <w:t> </w:t>
      </w:r>
      <w:r>
        <w:rPr/>
        <w:t>不适用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877" w:footer="1000" w:top="1100" w:bottom="1180" w:left="380" w:right="0"/>
        </w:sectPr>
      </w:pPr>
    </w:p>
    <w:p>
      <w:pPr>
        <w:spacing w:line="240" w:lineRule="auto" w:before="6"/>
        <w:rPr>
          <w:rFonts w:ascii="宋体" w:hAnsi="宋体" w:cs="宋体" w:eastAsia="宋体" w:hint="default"/>
          <w:sz w:val="24"/>
          <w:szCs w:val="24"/>
        </w:rPr>
      </w:pPr>
    </w:p>
    <w:tbl>
      <w:tblPr>
        <w:tblW w:w="0" w:type="auto"/>
        <w:jc w:val="left"/>
        <w:tblInd w:w="718" w:type="dxa"/>
        <w:tblLayout w:type="fixed"/>
        <w:tblCellMar>
          <w:top w:w="0" w:type="dxa"/>
          <w:left w:w="0" w:type="dxa"/>
          <w:bottom w:w="0" w:type="dxa"/>
          <w:right w:w="0" w:type="dxa"/>
        </w:tblCellMar>
        <w:tblLook w:val="01E0"/>
      </w:tblPr>
      <w:tblGrid>
        <w:gridCol w:w="641"/>
        <w:gridCol w:w="640"/>
        <w:gridCol w:w="640"/>
        <w:gridCol w:w="641"/>
        <w:gridCol w:w="842"/>
        <w:gridCol w:w="710"/>
        <w:gridCol w:w="709"/>
        <w:gridCol w:w="566"/>
        <w:gridCol w:w="568"/>
        <w:gridCol w:w="437"/>
        <w:gridCol w:w="639"/>
        <w:gridCol w:w="637"/>
        <w:gridCol w:w="697"/>
        <w:gridCol w:w="580"/>
        <w:gridCol w:w="629"/>
      </w:tblGrid>
      <w:tr>
        <w:trPr>
          <w:trHeight w:val="3528" w:hRule="exact"/>
        </w:trPr>
        <w:tc>
          <w:tcPr>
            <w:tcW w:w="64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60" w:lineRule="auto"/>
              <w:ind w:left="124" w:right="131"/>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4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31" w:right="41"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4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交易价 格</w:t>
            </w:r>
          </w:p>
        </w:tc>
        <w:tc>
          <w:tcPr>
            <w:tcW w:w="84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53" w:right="53"/>
              <w:jc w:val="center"/>
              <w:rPr>
                <w:rFonts w:ascii="宋体" w:hAnsi="宋体" w:cs="宋体" w:eastAsia="宋体" w:hint="default"/>
                <w:sz w:val="18"/>
                <w:szCs w:val="18"/>
              </w:rPr>
            </w:pPr>
            <w:r>
              <w:rPr>
                <w:rFonts w:ascii="宋体" w:hAnsi="宋体" w:cs="宋体" w:eastAsia="宋体" w:hint="default"/>
                <w:sz w:val="18"/>
                <w:szCs w:val="18"/>
              </w:rPr>
              <w:t>本期初起 至出售日 该资产为 上市公司 贡献的净 利润</w:t>
            </w:r>
          </w:p>
        </w:tc>
        <w:tc>
          <w:tcPr>
            <w:tcW w:w="7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6" w:right="76"/>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5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5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7" w:right="95"/>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4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31" w:right="29"/>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6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40" w:right="4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40" w:right="4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1" w:right="18"/>
              <w:jc w:val="center"/>
              <w:rPr>
                <w:rFonts w:ascii="宋体" w:hAnsi="宋体" w:cs="宋体" w:eastAsia="宋体" w:hint="default"/>
                <w:sz w:val="18"/>
                <w:szCs w:val="18"/>
              </w:rPr>
            </w:pPr>
            <w:r>
              <w:rPr>
                <w:rFonts w:ascii="宋体" w:hAnsi="宋体" w:cs="宋体" w:eastAsia="宋体" w:hint="default"/>
                <w:sz w:val="18"/>
                <w:szCs w:val="18"/>
              </w:rPr>
              <w:t>是否按 计划如 期实施 如未按 计划实 </w:t>
            </w:r>
            <w:r>
              <w:rPr>
                <w:rFonts w:ascii="宋体" w:hAnsi="宋体" w:cs="宋体" w:eastAsia="宋体" w:hint="default"/>
                <w:spacing w:val="-20"/>
                <w:sz w:val="18"/>
                <w:szCs w:val="18"/>
              </w:rPr>
              <w:t>施，应当</w:t>
            </w:r>
            <w:r>
              <w:rPr>
                <w:rFonts w:ascii="宋体" w:hAnsi="宋体" w:cs="宋体" w:eastAsia="宋体" w:hint="default"/>
                <w:sz w:val="18"/>
                <w:szCs w:val="18"/>
              </w:rPr>
              <w:t> 说明原 因及公 司已采 取的措 施</w:t>
            </w:r>
          </w:p>
        </w:tc>
        <w:tc>
          <w:tcPr>
            <w:tcW w:w="58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17" w:right="2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414" w:hRule="exact"/>
        </w:trPr>
        <w:tc>
          <w:tcPr>
            <w:tcW w:w="64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 w:right="63"/>
              <w:jc w:val="left"/>
              <w:rPr>
                <w:rFonts w:ascii="宋体" w:hAnsi="宋体" w:cs="宋体" w:eastAsia="宋体" w:hint="default"/>
                <w:sz w:val="18"/>
                <w:szCs w:val="18"/>
              </w:rPr>
            </w:pPr>
            <w:r>
              <w:rPr>
                <w:rFonts w:ascii="宋体" w:hAnsi="宋体" w:cs="宋体" w:eastAsia="宋体" w:hint="default"/>
                <w:sz w:val="18"/>
                <w:szCs w:val="18"/>
              </w:rPr>
              <w:t>南京东 方企业</w:t>
            </w:r>
          </w:p>
          <w:p>
            <w:pPr>
              <w:pStyle w:val="TableParagraph"/>
              <w:spacing w:line="319" w:lineRule="auto" w:before="19"/>
              <w:ind w:left="13" w:right="63"/>
              <w:jc w:val="left"/>
              <w:rPr>
                <w:rFonts w:ascii="宋体" w:hAnsi="宋体" w:cs="宋体" w:eastAsia="宋体" w:hint="default"/>
                <w:sz w:val="18"/>
                <w:szCs w:val="18"/>
              </w:rPr>
            </w:pPr>
            <w:r>
              <w:rPr>
                <w:rFonts w:ascii="宋体" w:hAnsi="宋体" w:cs="宋体" w:eastAsia="宋体" w:hint="default"/>
                <w:sz w:val="18"/>
                <w:szCs w:val="18"/>
              </w:rPr>
              <w:t>（集 团）有 限公司</w:t>
            </w:r>
          </w:p>
        </w:tc>
        <w:tc>
          <w:tcPr>
            <w:tcW w:w="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0" w:right="18"/>
              <w:jc w:val="both"/>
              <w:rPr>
                <w:rFonts w:ascii="宋体" w:hAnsi="宋体" w:cs="宋体" w:eastAsia="宋体" w:hint="default"/>
                <w:sz w:val="18"/>
                <w:szCs w:val="18"/>
              </w:rPr>
            </w:pPr>
            <w:r>
              <w:rPr>
                <w:rFonts w:ascii="宋体" w:hAnsi="宋体" w:cs="宋体" w:eastAsia="宋体" w:hint="default"/>
                <w:sz w:val="18"/>
                <w:szCs w:val="18"/>
              </w:rPr>
              <w:t>南京市 江宁区 润麒路 </w:t>
            </w:r>
            <w:r>
              <w:rPr>
                <w:rFonts w:ascii="宋体" w:hAnsi="宋体" w:cs="宋体" w:eastAsia="宋体" w:hint="default"/>
                <w:sz w:val="18"/>
                <w:szCs w:val="18"/>
              </w:rPr>
              <w:t>86</w:t>
            </w:r>
            <w:r>
              <w:rPr>
                <w:rFonts w:ascii="宋体" w:hAnsi="宋体" w:cs="宋体" w:eastAsia="宋体" w:hint="default"/>
                <w:spacing w:val="-46"/>
                <w:sz w:val="18"/>
                <w:szCs w:val="18"/>
              </w:rPr>
              <w:t> </w:t>
            </w:r>
            <w:r>
              <w:rPr>
                <w:rFonts w:ascii="宋体" w:hAnsi="宋体" w:cs="宋体" w:eastAsia="宋体" w:hint="default"/>
                <w:sz w:val="18"/>
                <w:szCs w:val="18"/>
              </w:rPr>
              <w:t>号的 土地使 用权及 该土地 上的建 筑物类 固定资 产、设 备类固 定资产 出售</w:t>
            </w:r>
          </w:p>
        </w:tc>
        <w:tc>
          <w:tcPr>
            <w:tcW w:w="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0"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sz w:val="18"/>
              </w:rPr>
              <w:t>9,800</w:t>
            </w:r>
          </w:p>
        </w:tc>
        <w:tc>
          <w:tcPr>
            <w:tcW w:w="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2,578.35</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8"/>
              <w:ind w:left="20" w:right="-35"/>
              <w:jc w:val="both"/>
              <w:rPr>
                <w:rFonts w:ascii="宋体" w:hAnsi="宋体" w:cs="宋体" w:eastAsia="宋体" w:hint="default"/>
                <w:sz w:val="18"/>
                <w:szCs w:val="18"/>
              </w:rPr>
            </w:pPr>
            <w:r>
              <w:rPr>
                <w:rFonts w:ascii="宋体" w:hAnsi="宋体" w:cs="宋体" w:eastAsia="宋体" w:hint="default"/>
                <w:spacing w:val="37"/>
                <w:sz w:val="18"/>
                <w:szCs w:val="18"/>
              </w:rPr>
              <w:t>本次出</w:t>
            </w:r>
            <w:r>
              <w:rPr>
                <w:rFonts w:ascii="宋体" w:hAnsi="宋体" w:cs="宋体" w:eastAsia="宋体" w:hint="default"/>
                <w:spacing w:val="-34"/>
                <w:sz w:val="18"/>
                <w:szCs w:val="18"/>
              </w:rPr>
              <w:t> </w:t>
            </w:r>
            <w:r>
              <w:rPr>
                <w:rFonts w:ascii="宋体" w:hAnsi="宋体" w:cs="宋体" w:eastAsia="宋体" w:hint="default"/>
                <w:spacing w:val="37"/>
                <w:sz w:val="18"/>
                <w:szCs w:val="18"/>
              </w:rPr>
              <w:t>售资产</w:t>
            </w:r>
            <w:r>
              <w:rPr>
                <w:rFonts w:ascii="宋体" w:hAnsi="宋体" w:cs="宋体" w:eastAsia="宋体" w:hint="default"/>
                <w:spacing w:val="-34"/>
                <w:sz w:val="18"/>
                <w:szCs w:val="18"/>
              </w:rPr>
              <w:t> </w:t>
            </w:r>
            <w:r>
              <w:rPr>
                <w:rFonts w:ascii="宋体" w:hAnsi="宋体" w:cs="宋体" w:eastAsia="宋体" w:hint="default"/>
                <w:spacing w:val="37"/>
                <w:sz w:val="18"/>
                <w:szCs w:val="18"/>
              </w:rPr>
              <w:t>对公司</w:t>
            </w:r>
            <w:r>
              <w:rPr>
                <w:rFonts w:ascii="宋体" w:hAnsi="宋体" w:cs="宋体" w:eastAsia="宋体" w:hint="default"/>
                <w:spacing w:val="-34"/>
                <w:sz w:val="18"/>
                <w:szCs w:val="18"/>
              </w:rPr>
              <w:t> </w:t>
            </w:r>
            <w:r>
              <w:rPr>
                <w:rFonts w:ascii="宋体" w:hAnsi="宋体" w:cs="宋体" w:eastAsia="宋体" w:hint="default"/>
                <w:spacing w:val="37"/>
                <w:sz w:val="18"/>
                <w:szCs w:val="18"/>
              </w:rPr>
              <w:t>业务连</w:t>
            </w:r>
            <w:r>
              <w:rPr>
                <w:rFonts w:ascii="宋体" w:hAnsi="宋体" w:cs="宋体" w:eastAsia="宋体" w:hint="default"/>
                <w:spacing w:val="-34"/>
                <w:sz w:val="18"/>
                <w:szCs w:val="18"/>
              </w:rPr>
              <w:t> </w:t>
            </w:r>
            <w:r>
              <w:rPr>
                <w:rFonts w:ascii="宋体" w:hAnsi="宋体" w:cs="宋体" w:eastAsia="宋体" w:hint="default"/>
                <w:spacing w:val="-17"/>
                <w:sz w:val="18"/>
                <w:szCs w:val="18"/>
              </w:rPr>
              <w:t>续性、管</w:t>
            </w:r>
            <w:r>
              <w:rPr>
                <w:rFonts w:ascii="宋体" w:hAnsi="宋体" w:cs="宋体" w:eastAsia="宋体" w:hint="default"/>
                <w:sz w:val="18"/>
                <w:szCs w:val="18"/>
              </w:rPr>
              <w:t> </w:t>
            </w:r>
            <w:r>
              <w:rPr>
                <w:rFonts w:ascii="宋体" w:hAnsi="宋体" w:cs="宋体" w:eastAsia="宋体" w:hint="default"/>
                <w:spacing w:val="37"/>
                <w:sz w:val="18"/>
                <w:szCs w:val="18"/>
              </w:rPr>
              <w:t>理层的</w:t>
            </w:r>
            <w:r>
              <w:rPr>
                <w:rFonts w:ascii="宋体" w:hAnsi="宋体" w:cs="宋体" w:eastAsia="宋体" w:hint="default"/>
                <w:spacing w:val="-34"/>
                <w:sz w:val="18"/>
                <w:szCs w:val="18"/>
              </w:rPr>
              <w:t> </w:t>
            </w:r>
            <w:r>
              <w:rPr>
                <w:rFonts w:ascii="宋体" w:hAnsi="宋体" w:cs="宋体" w:eastAsia="宋体" w:hint="default"/>
                <w:spacing w:val="37"/>
                <w:sz w:val="18"/>
                <w:szCs w:val="18"/>
              </w:rPr>
              <w:t>稳定性</w:t>
            </w:r>
            <w:r>
              <w:rPr>
                <w:rFonts w:ascii="宋体" w:hAnsi="宋体" w:cs="宋体" w:eastAsia="宋体" w:hint="default"/>
                <w:spacing w:val="-34"/>
                <w:sz w:val="18"/>
                <w:szCs w:val="18"/>
              </w:rPr>
              <w:t> </w:t>
            </w:r>
            <w:r>
              <w:rPr>
                <w:rFonts w:ascii="宋体" w:hAnsi="宋体" w:cs="宋体" w:eastAsia="宋体" w:hint="default"/>
                <w:spacing w:val="37"/>
                <w:sz w:val="18"/>
                <w:szCs w:val="18"/>
              </w:rPr>
              <w:t>没有影</w:t>
            </w:r>
            <w:r>
              <w:rPr>
                <w:rFonts w:ascii="宋体" w:hAnsi="宋体" w:cs="宋体" w:eastAsia="宋体" w:hint="default"/>
                <w:spacing w:val="-34"/>
                <w:sz w:val="18"/>
                <w:szCs w:val="18"/>
              </w:rPr>
              <w:t> </w:t>
            </w:r>
            <w:r>
              <w:rPr>
                <w:rFonts w:ascii="宋体" w:hAnsi="宋体" w:cs="宋体" w:eastAsia="宋体" w:hint="default"/>
                <w:spacing w:val="-17"/>
                <w:sz w:val="18"/>
                <w:szCs w:val="18"/>
              </w:rPr>
              <w:t>响，对公</w:t>
            </w:r>
            <w:r>
              <w:rPr>
                <w:rFonts w:ascii="宋体" w:hAnsi="宋体" w:cs="宋体" w:eastAsia="宋体" w:hint="default"/>
                <w:sz w:val="18"/>
                <w:szCs w:val="18"/>
              </w:rPr>
              <w:t> 司</w:t>
            </w:r>
            <w:r>
              <w:rPr>
                <w:rFonts w:ascii="宋体" w:hAnsi="宋体" w:cs="宋体" w:eastAsia="宋体" w:hint="default"/>
                <w:spacing w:val="22"/>
                <w:sz w:val="18"/>
                <w:szCs w:val="18"/>
              </w:rPr>
              <w:t> </w:t>
            </w:r>
            <w:r>
              <w:rPr>
                <w:rFonts w:ascii="宋体" w:hAnsi="宋体" w:cs="宋体" w:eastAsia="宋体" w:hint="default"/>
                <w:sz w:val="18"/>
                <w:szCs w:val="18"/>
              </w:rPr>
              <w:t>2018</w:t>
            </w:r>
          </w:p>
          <w:p>
            <w:pPr>
              <w:pStyle w:val="TableParagraph"/>
              <w:spacing w:line="319" w:lineRule="auto" w:before="19"/>
              <w:ind w:left="20" w:right="-35"/>
              <w:jc w:val="both"/>
              <w:rPr>
                <w:rFonts w:ascii="宋体" w:hAnsi="宋体" w:cs="宋体" w:eastAsia="宋体" w:hint="default"/>
                <w:sz w:val="18"/>
                <w:szCs w:val="18"/>
              </w:rPr>
            </w:pPr>
            <w:r>
              <w:rPr>
                <w:rFonts w:ascii="宋体" w:hAnsi="宋体" w:cs="宋体" w:eastAsia="宋体" w:hint="default"/>
                <w:spacing w:val="37"/>
                <w:sz w:val="18"/>
                <w:szCs w:val="18"/>
              </w:rPr>
              <w:t>年半年</w:t>
            </w:r>
            <w:r>
              <w:rPr>
                <w:rFonts w:ascii="宋体" w:hAnsi="宋体" w:cs="宋体" w:eastAsia="宋体" w:hint="default"/>
                <w:spacing w:val="-34"/>
                <w:sz w:val="18"/>
                <w:szCs w:val="18"/>
              </w:rPr>
              <w:t> </w:t>
            </w:r>
            <w:r>
              <w:rPr>
                <w:rFonts w:ascii="宋体" w:hAnsi="宋体" w:cs="宋体" w:eastAsia="宋体" w:hint="default"/>
                <w:spacing w:val="37"/>
                <w:sz w:val="18"/>
                <w:szCs w:val="18"/>
              </w:rPr>
              <w:t>度财务</w:t>
            </w:r>
            <w:r>
              <w:rPr>
                <w:rFonts w:ascii="宋体" w:hAnsi="宋体" w:cs="宋体" w:eastAsia="宋体" w:hint="default"/>
                <w:spacing w:val="-34"/>
                <w:sz w:val="18"/>
                <w:szCs w:val="18"/>
              </w:rPr>
              <w:t> </w:t>
            </w:r>
            <w:r>
              <w:rPr>
                <w:rFonts w:ascii="宋体" w:hAnsi="宋体" w:cs="宋体" w:eastAsia="宋体" w:hint="default"/>
                <w:spacing w:val="37"/>
                <w:sz w:val="18"/>
                <w:szCs w:val="18"/>
              </w:rPr>
              <w:t>状况和</w:t>
            </w:r>
            <w:r>
              <w:rPr>
                <w:rFonts w:ascii="宋体" w:hAnsi="宋体" w:cs="宋体" w:eastAsia="宋体" w:hint="default"/>
                <w:spacing w:val="-34"/>
                <w:sz w:val="18"/>
                <w:szCs w:val="18"/>
              </w:rPr>
              <w:t> </w:t>
            </w:r>
            <w:r>
              <w:rPr>
                <w:rFonts w:ascii="宋体" w:hAnsi="宋体" w:cs="宋体" w:eastAsia="宋体" w:hint="default"/>
                <w:spacing w:val="37"/>
                <w:sz w:val="18"/>
                <w:szCs w:val="18"/>
              </w:rPr>
              <w:t>经营成</w:t>
            </w:r>
            <w:r>
              <w:rPr>
                <w:rFonts w:ascii="宋体" w:hAnsi="宋体" w:cs="宋体" w:eastAsia="宋体" w:hint="default"/>
                <w:spacing w:val="-34"/>
                <w:sz w:val="18"/>
                <w:szCs w:val="18"/>
              </w:rPr>
              <w:t> </w:t>
            </w:r>
            <w:r>
              <w:rPr>
                <w:rFonts w:ascii="宋体" w:hAnsi="宋体" w:cs="宋体" w:eastAsia="宋体" w:hint="default"/>
                <w:spacing w:val="37"/>
                <w:sz w:val="18"/>
                <w:szCs w:val="18"/>
              </w:rPr>
              <w:t>果将产</w:t>
            </w:r>
            <w:r>
              <w:rPr>
                <w:rFonts w:ascii="宋体" w:hAnsi="宋体" w:cs="宋体" w:eastAsia="宋体" w:hint="default"/>
                <w:spacing w:val="-34"/>
                <w:sz w:val="18"/>
                <w:szCs w:val="18"/>
              </w:rPr>
              <w:t> </w:t>
            </w:r>
            <w:r>
              <w:rPr>
                <w:rFonts w:ascii="宋体" w:hAnsi="宋体" w:cs="宋体" w:eastAsia="宋体" w:hint="default"/>
                <w:spacing w:val="37"/>
                <w:sz w:val="18"/>
                <w:szCs w:val="18"/>
              </w:rPr>
              <w:t>生积极</w:t>
            </w:r>
            <w:r>
              <w:rPr>
                <w:rFonts w:ascii="宋体" w:hAnsi="宋体" w:cs="宋体" w:eastAsia="宋体" w:hint="default"/>
                <w:spacing w:val="-34"/>
                <w:sz w:val="18"/>
                <w:szCs w:val="18"/>
              </w:rPr>
              <w:t> </w:t>
            </w:r>
            <w:r>
              <w:rPr>
                <w:rFonts w:ascii="宋体" w:hAnsi="宋体" w:cs="宋体" w:eastAsia="宋体" w:hint="default"/>
                <w:sz w:val="18"/>
                <w:szCs w:val="18"/>
              </w:rPr>
              <w:t>影响。</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96" w:lineRule="exact"/>
              <w:ind w:right="-51"/>
              <w:jc w:val="left"/>
              <w:rPr>
                <w:rFonts w:ascii="宋体" w:hAnsi="宋体" w:cs="宋体" w:eastAsia="宋体" w:hint="default"/>
                <w:sz w:val="20"/>
                <w:szCs w:val="20"/>
              </w:rPr>
            </w:pPr>
            <w:r>
              <w:rPr>
                <w:rFonts w:ascii="宋体" w:hAnsi="宋体" w:cs="宋体" w:eastAsia="宋体" w:hint="default"/>
                <w:position w:val="-49"/>
                <w:sz w:val="20"/>
                <w:szCs w:val="20"/>
              </w:rPr>
              <w:pict>
                <v:group style="width:34.75pt;height:124.8pt;mso-position-horizontal-relative:char;mso-position-vertical-relative:line" coordorigin="0,0" coordsize="695,2496">
                  <v:group style="position:absolute;left:0;top:0;width:695;height:2496" coordorigin="0,0" coordsize="695,2496">
                    <v:shape style="position:absolute;left:0;top:0;width:695;height:2496" coordorigin="0,0" coordsize="695,2496" path="m0,2496l695,2496,695,0,0,0,0,2496xe" filled="true" fillcolor="#ffffff" stroked="false">
                      <v:path arrowok="t"/>
                      <v:fill type="solid"/>
                    </v:shape>
                  </v:group>
                </v:group>
              </w:pict>
            </w:r>
            <w:r>
              <w:rPr>
                <w:rFonts w:ascii="宋体" w:hAnsi="宋体" w:cs="宋体" w:eastAsia="宋体" w:hint="default"/>
                <w:position w:val="-49"/>
                <w:sz w:val="20"/>
                <w:szCs w:val="20"/>
              </w:rPr>
            </w:r>
          </w:p>
          <w:p>
            <w:pPr>
              <w:pStyle w:val="TableParagraph"/>
              <w:spacing w:line="240" w:lineRule="auto" w:before="58"/>
              <w:ind w:left="43" w:right="0"/>
              <w:jc w:val="left"/>
              <w:rPr>
                <w:rFonts w:ascii="宋体" w:hAnsi="宋体" w:cs="宋体" w:eastAsia="宋体" w:hint="default"/>
                <w:sz w:val="18"/>
                <w:szCs w:val="18"/>
              </w:rPr>
            </w:pPr>
            <w:r>
              <w:rPr>
                <w:rFonts w:ascii="宋体"/>
                <w:sz w:val="18"/>
              </w:rPr>
              <w:t>142.41%</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6" w:right="9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21" w:right="29"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single" w:sz="6" w:space="0" w:color="000000"/>
              <w:left w:val="single" w:sz="6" w:space="0" w:color="000000"/>
              <w:bottom w:val="single" w:sz="12" w:space="0" w:color="000000"/>
              <w:right w:val="single" w:sz="6" w:space="0" w:color="000000"/>
            </w:tcBorders>
          </w:tcPr>
          <w:p>
            <w:pPr/>
          </w:p>
        </w:tc>
        <w:tc>
          <w:tcPr>
            <w:tcW w:w="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319" w:lineRule="auto" w:before="76"/>
              <w:ind w:left="20" w:right="13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 </w:t>
            </w:r>
            <w:r>
              <w:rPr>
                <w:rFonts w:ascii="宋体" w:hAnsi="宋体" w:cs="宋体" w:eastAsia="宋体" w:hint="default"/>
                <w:sz w:val="18"/>
                <w:szCs w:val="18"/>
              </w:rPr>
              <w:t>日</w:t>
            </w:r>
          </w:p>
        </w:tc>
        <w:tc>
          <w:tcPr>
            <w:tcW w:w="6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 w:right="0"/>
              <w:jc w:val="both"/>
              <w:rPr>
                <w:rFonts w:ascii="宋体" w:hAnsi="宋体" w:cs="宋体" w:eastAsia="宋体" w:hint="default"/>
                <w:sz w:val="18"/>
                <w:szCs w:val="18"/>
              </w:rPr>
            </w:pPr>
            <w:r>
              <w:rPr>
                <w:rFonts w:ascii="宋体"/>
                <w:sz w:val="18"/>
              </w:rPr>
              <w:t>http:/</w:t>
            </w:r>
          </w:p>
          <w:p>
            <w:pPr>
              <w:pStyle w:val="TableParagraph"/>
              <w:spacing w:line="319" w:lineRule="auto" w:before="75"/>
              <w:ind w:left="20" w:right="44"/>
              <w:jc w:val="both"/>
              <w:rPr>
                <w:rFonts w:ascii="宋体" w:hAnsi="宋体" w:cs="宋体" w:eastAsia="宋体" w:hint="default"/>
                <w:sz w:val="18"/>
                <w:szCs w:val="18"/>
              </w:rPr>
            </w:pPr>
            <w:r>
              <w:rPr>
                <w:rFonts w:ascii="宋体"/>
                <w:sz w:val="18"/>
              </w:rPr>
              <w:t>/www.c ninfo. com.cn</w:t>
            </w:r>
          </w:p>
        </w:tc>
      </w:tr>
    </w:tbl>
    <w:p>
      <w:pPr>
        <w:pStyle w:val="Heading4"/>
        <w:spacing w:line="240" w:lineRule="auto" w:before="63"/>
        <w:ind w:left="734" w:right="0"/>
        <w:jc w:val="left"/>
        <w:rPr>
          <w:b w:val="0"/>
          <w:bCs w:val="0"/>
        </w:rPr>
      </w:pPr>
      <w:r>
        <w:rPr/>
        <w:pict>
          <v:group style="position:absolute;margin-left:262.660004pt;margin-top:-126.326332pt;width:34.75pt;height:124.85pt;mso-position-horizontal-relative:page;mso-position-vertical-relative:paragraph;z-index:-904216" coordorigin="5253,-2527" coordsize="695,2497">
            <v:shape style="position:absolute;left:5253;top:-2527;width:695;height:2497" coordorigin="5253,-2527" coordsize="695,2497" path="m5253,-30l5948,-30,5948,-2527,5253,-2527,5253,-30xe" filled="true" fillcolor="#ffffff" stroked="false">
              <v:path arrowok="t"/>
              <v:fill type="solid"/>
            </v:shape>
            <w10:wrap type="none"/>
          </v:group>
        </w:pict>
      </w:r>
      <w:bookmarkStart w:name="2、出售重大股权情况" w:id="56"/>
      <w:bookmarkEnd w:id="56"/>
      <w:r>
        <w:rPr>
          <w:b w:val="0"/>
          <w:bCs w:val="0"/>
        </w:rPr>
      </w:r>
      <w:r>
        <w:rPr>
          <w:rFonts w:ascii="宋体" w:hAnsi="宋体" w:cs="宋体" w:eastAsia="宋体" w:hint="default"/>
        </w:rPr>
        <w:t>2</w:t>
      </w:r>
      <w:r>
        <w:rPr/>
        <w:t>、出售重大股权情况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734" w:right="0"/>
        <w:jc w:val="left"/>
      </w:pPr>
      <w:r>
        <w:rPr/>
        <w:t>□ 适用 √</w:t>
      </w:r>
      <w:r>
        <w:rPr>
          <w:spacing w:val="-1"/>
        </w:rPr>
        <w:t> </w:t>
      </w:r>
      <w:r>
        <w:rPr/>
        <w:t>不适用</w:t>
      </w:r>
    </w:p>
    <w:p>
      <w:pPr>
        <w:pStyle w:val="Heading2"/>
        <w:spacing w:line="240" w:lineRule="auto" w:before="170"/>
        <w:ind w:left="734" w:right="0"/>
        <w:jc w:val="left"/>
        <w:rPr>
          <w:b w:val="0"/>
          <w:bCs w:val="0"/>
        </w:rPr>
      </w:pPr>
      <w:bookmarkStart w:name="七、主要控股参股公司分析" w:id="57"/>
      <w:bookmarkEnd w:id="57"/>
      <w:r>
        <w:rPr>
          <w:b w:val="0"/>
          <w:bCs w:val="0"/>
        </w:rPr>
      </w:r>
      <w:r>
        <w:rPr/>
        <w:t>七、主要控股参股公司分析</w:t>
      </w:r>
      <w:r>
        <w:rPr>
          <w:b w:val="0"/>
          <w:bCs w:val="0"/>
        </w:rPr>
      </w:r>
    </w:p>
    <w:p>
      <w:pPr>
        <w:pStyle w:val="BodyText"/>
        <w:spacing w:line="240" w:lineRule="auto" w:before="177"/>
        <w:ind w:left="73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before="0"/>
        <w:ind w:left="734" w:right="0"/>
        <w:jc w:val="left"/>
      </w:pPr>
      <w:r>
        <w:rPr/>
        <w:t>主要子公司及对公司净利润影响达</w:t>
      </w:r>
      <w:r>
        <w:rPr>
          <w:spacing w:val="-54"/>
        </w:rPr>
        <w:t> </w:t>
      </w:r>
      <w:r>
        <w:rPr>
          <w:rFonts w:ascii="宋体" w:hAnsi="宋体" w:cs="宋体" w:eastAsia="宋体" w:hint="default"/>
        </w:rPr>
        <w:t>10%</w:t>
      </w:r>
      <w:r>
        <w:rPr/>
        <w:t>以上的参股公司情况</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694"/>
        <w:gridCol w:w="516"/>
        <w:gridCol w:w="1666"/>
        <w:gridCol w:w="1150"/>
        <w:gridCol w:w="1320"/>
        <w:gridCol w:w="1406"/>
        <w:gridCol w:w="1332"/>
        <w:gridCol w:w="1352"/>
        <w:gridCol w:w="1232"/>
      </w:tblGrid>
      <w:tr>
        <w:trPr>
          <w:trHeight w:val="727" w:hRule="exact"/>
        </w:trPr>
        <w:tc>
          <w:tcPr>
            <w:tcW w:w="69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241" w:right="68" w:hanging="180"/>
              <w:jc w:val="left"/>
              <w:rPr>
                <w:rFonts w:ascii="宋体" w:hAnsi="宋体" w:cs="宋体" w:eastAsia="宋体" w:hint="default"/>
                <w:sz w:val="18"/>
                <w:szCs w:val="18"/>
              </w:rPr>
            </w:pPr>
            <w:r>
              <w:rPr>
                <w:rFonts w:ascii="宋体" w:hAnsi="宋体" w:cs="宋体" w:eastAsia="宋体" w:hint="default"/>
                <w:sz w:val="18"/>
                <w:szCs w:val="18"/>
              </w:rPr>
              <w:t>公司名 称</w:t>
            </w:r>
          </w:p>
        </w:tc>
        <w:tc>
          <w:tcPr>
            <w:tcW w:w="5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69" w:right="70"/>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6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40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33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3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51" w:hRule="exact"/>
        </w:trPr>
        <w:tc>
          <w:tcPr>
            <w:tcW w:w="694"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3"/>
              <w:ind w:left="13" w:right="116"/>
              <w:jc w:val="both"/>
              <w:rPr>
                <w:rFonts w:ascii="宋体" w:hAnsi="宋体" w:cs="宋体" w:eastAsia="宋体" w:hint="default"/>
                <w:sz w:val="18"/>
                <w:szCs w:val="18"/>
              </w:rPr>
            </w:pPr>
            <w:r>
              <w:rPr>
                <w:rFonts w:ascii="宋体" w:hAnsi="宋体" w:cs="宋体" w:eastAsia="宋体" w:hint="default"/>
                <w:sz w:val="18"/>
                <w:szCs w:val="18"/>
              </w:rPr>
              <w:t>湖北索 瑞电气 有限公 司</w:t>
            </w:r>
          </w:p>
        </w:tc>
        <w:tc>
          <w:tcPr>
            <w:tcW w:w="5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0" w:right="11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72"/>
              <w:ind w:left="20" w:right="8"/>
              <w:jc w:val="left"/>
              <w:rPr>
                <w:rFonts w:ascii="宋体" w:hAnsi="宋体" w:cs="宋体" w:eastAsia="宋体" w:hint="default"/>
                <w:sz w:val="18"/>
                <w:szCs w:val="18"/>
              </w:rPr>
            </w:pPr>
            <w:r>
              <w:rPr>
                <w:rFonts w:ascii="宋体" w:hAnsi="宋体" w:cs="宋体" w:eastAsia="宋体" w:hint="default"/>
                <w:sz w:val="18"/>
                <w:szCs w:val="18"/>
              </w:rPr>
              <w:t>电能计量箱的设计、 生产和销售，高低压 电气成套开关设备 及控制设备的设计、</w:t>
            </w:r>
          </w:p>
        </w:tc>
        <w:tc>
          <w:tcPr>
            <w:tcW w:w="11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2" w:right="0"/>
              <w:jc w:val="center"/>
              <w:rPr>
                <w:rFonts w:ascii="宋体" w:hAnsi="宋体" w:cs="宋体" w:eastAsia="宋体" w:hint="default"/>
                <w:sz w:val="18"/>
                <w:szCs w:val="18"/>
              </w:rPr>
            </w:pPr>
            <w:r>
              <w:rPr>
                <w:rFonts w:ascii="宋体"/>
                <w:sz w:val="18"/>
              </w:rPr>
              <w:t>101,000,000</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649,849,014.19</w:t>
            </w: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1" w:right="0"/>
              <w:jc w:val="center"/>
              <w:rPr>
                <w:rFonts w:ascii="宋体" w:hAnsi="宋体" w:cs="宋体" w:eastAsia="宋体" w:hint="default"/>
                <w:sz w:val="18"/>
                <w:szCs w:val="18"/>
              </w:rPr>
            </w:pPr>
            <w:r>
              <w:rPr>
                <w:rFonts w:ascii="宋体"/>
                <w:sz w:val="18"/>
              </w:rPr>
              <w:t>555,535,994.05</w:t>
            </w:r>
          </w:p>
        </w:tc>
        <w:tc>
          <w:tcPr>
            <w:tcW w:w="13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4" w:right="0"/>
              <w:jc w:val="center"/>
              <w:rPr>
                <w:rFonts w:ascii="宋体" w:hAnsi="宋体" w:cs="宋体" w:eastAsia="宋体" w:hint="default"/>
                <w:sz w:val="18"/>
                <w:szCs w:val="18"/>
              </w:rPr>
            </w:pPr>
            <w:r>
              <w:rPr>
                <w:rFonts w:ascii="宋体"/>
                <w:sz w:val="18"/>
              </w:rPr>
              <w:t>168,498,541.70</w:t>
            </w:r>
          </w:p>
        </w:tc>
        <w:tc>
          <w:tcPr>
            <w:tcW w:w="1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6" w:right="0"/>
              <w:jc w:val="left"/>
              <w:rPr>
                <w:rFonts w:ascii="宋体" w:hAnsi="宋体" w:cs="宋体" w:eastAsia="宋体" w:hint="default"/>
                <w:sz w:val="18"/>
                <w:szCs w:val="18"/>
              </w:rPr>
            </w:pPr>
            <w:r>
              <w:rPr>
                <w:rFonts w:ascii="宋体"/>
                <w:sz w:val="18"/>
              </w:rPr>
              <w:t>2,552,598.92</w:t>
            </w:r>
          </w:p>
        </w:tc>
        <w:tc>
          <w:tcPr>
            <w:tcW w:w="12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18"/>
                <w:szCs w:val="18"/>
              </w:rPr>
            </w:pPr>
            <w:r>
              <w:rPr>
                <w:rFonts w:ascii="宋体"/>
                <w:sz w:val="18"/>
              </w:rPr>
              <w:t>2,438,989.77</w:t>
            </w:r>
          </w:p>
        </w:tc>
      </w:tr>
    </w:tbl>
    <w:p>
      <w:pPr>
        <w:spacing w:after="0" w:line="240" w:lineRule="auto"/>
        <w:jc w:val="center"/>
        <w:rPr>
          <w:rFonts w:ascii="宋体" w:hAnsi="宋体" w:cs="宋体" w:eastAsia="宋体" w:hint="default"/>
          <w:sz w:val="18"/>
          <w:szCs w:val="18"/>
        </w:rPr>
        <w:sectPr>
          <w:pgSz w:w="11910" w:h="16840"/>
          <w:pgMar w:header="877" w:footer="1000" w:top="1100" w:bottom="1180" w:left="400" w:right="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694"/>
        <w:gridCol w:w="516"/>
        <w:gridCol w:w="1666"/>
        <w:gridCol w:w="1150"/>
        <w:gridCol w:w="1320"/>
        <w:gridCol w:w="1406"/>
        <w:gridCol w:w="1332"/>
        <w:gridCol w:w="1352"/>
        <w:gridCol w:w="1232"/>
      </w:tblGrid>
      <w:tr>
        <w:trPr>
          <w:trHeight w:val="1310" w:hRule="exact"/>
        </w:trPr>
        <w:tc>
          <w:tcPr>
            <w:tcW w:w="694" w:type="dxa"/>
            <w:tcBorders>
              <w:top w:val="single" w:sz="12" w:space="0" w:color="000000"/>
              <w:left w:val="single" w:sz="12" w:space="0" w:color="000000"/>
              <w:bottom w:val="single" w:sz="6" w:space="0" w:color="000000"/>
              <w:right w:val="single" w:sz="6" w:space="0" w:color="000000"/>
            </w:tcBorders>
          </w:tcPr>
          <w:p>
            <w:pPr/>
          </w:p>
        </w:tc>
        <w:tc>
          <w:tcPr>
            <w:tcW w:w="516" w:type="dxa"/>
            <w:tcBorders>
              <w:top w:val="single" w:sz="12" w:space="0" w:color="000000"/>
              <w:left w:val="single" w:sz="6" w:space="0" w:color="000000"/>
              <w:bottom w:val="single" w:sz="6" w:space="0" w:color="000000"/>
              <w:right w:val="single" w:sz="6" w:space="0" w:color="000000"/>
            </w:tcBorders>
          </w:tcPr>
          <w:p>
            <w:pP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18"/>
              <w:jc w:val="both"/>
              <w:rPr>
                <w:rFonts w:ascii="宋体" w:hAnsi="宋体" w:cs="宋体" w:eastAsia="宋体" w:hint="default"/>
                <w:sz w:val="18"/>
                <w:szCs w:val="18"/>
              </w:rPr>
            </w:pPr>
            <w:r>
              <w:rPr>
                <w:rFonts w:ascii="宋体" w:hAnsi="宋体" w:cs="宋体" w:eastAsia="宋体" w:hint="default"/>
                <w:sz w:val="18"/>
                <w:szCs w:val="18"/>
              </w:rPr>
              <w:t>生产和销售，电力电 子产品技术开发、应 用、销售，电力工程 安装服务</w:t>
            </w:r>
          </w:p>
        </w:tc>
        <w:tc>
          <w:tcPr>
            <w:tcW w:w="1150" w:type="dxa"/>
            <w:tcBorders>
              <w:top w:val="single" w:sz="12" w:space="0" w:color="000000"/>
              <w:left w:val="single" w:sz="6" w:space="0" w:color="000000"/>
              <w:bottom w:val="single" w:sz="6" w:space="0" w:color="000000"/>
              <w:right w:val="single" w:sz="6" w:space="0" w:color="000000"/>
            </w:tcBorders>
          </w:tcPr>
          <w:p>
            <w:pPr/>
          </w:p>
        </w:tc>
        <w:tc>
          <w:tcPr>
            <w:tcW w:w="1320" w:type="dxa"/>
            <w:tcBorders>
              <w:top w:val="single" w:sz="12" w:space="0" w:color="000000"/>
              <w:left w:val="single" w:sz="6" w:space="0" w:color="000000"/>
              <w:bottom w:val="single" w:sz="6" w:space="0" w:color="000000"/>
              <w:right w:val="single" w:sz="6" w:space="0" w:color="000000"/>
            </w:tcBorders>
          </w:tcPr>
          <w:p>
            <w:pPr/>
          </w:p>
        </w:tc>
        <w:tc>
          <w:tcPr>
            <w:tcW w:w="1406" w:type="dxa"/>
            <w:tcBorders>
              <w:top w:val="single" w:sz="12" w:space="0" w:color="000000"/>
              <w:left w:val="single" w:sz="6" w:space="0" w:color="000000"/>
              <w:bottom w:val="single" w:sz="6" w:space="0" w:color="000000"/>
              <w:right w:val="single" w:sz="6" w:space="0" w:color="000000"/>
            </w:tcBorders>
          </w:tcPr>
          <w:p>
            <w:pPr/>
          </w:p>
        </w:tc>
        <w:tc>
          <w:tcPr>
            <w:tcW w:w="1332" w:type="dxa"/>
            <w:tcBorders>
              <w:top w:val="single" w:sz="12" w:space="0" w:color="000000"/>
              <w:left w:val="single" w:sz="6" w:space="0" w:color="000000"/>
              <w:bottom w:val="single" w:sz="6" w:space="0" w:color="000000"/>
              <w:right w:val="single" w:sz="6" w:space="0" w:color="000000"/>
            </w:tcBorders>
          </w:tcPr>
          <w:p>
            <w:pPr/>
          </w:p>
        </w:tc>
        <w:tc>
          <w:tcPr>
            <w:tcW w:w="1352" w:type="dxa"/>
            <w:tcBorders>
              <w:top w:val="single" w:sz="12" w:space="0" w:color="000000"/>
              <w:left w:val="single" w:sz="6" w:space="0" w:color="000000"/>
              <w:bottom w:val="single" w:sz="6" w:space="0" w:color="000000"/>
              <w:right w:val="single" w:sz="6" w:space="0" w:color="000000"/>
            </w:tcBorders>
          </w:tcPr>
          <w:p>
            <w:pPr/>
          </w:p>
        </w:tc>
        <w:tc>
          <w:tcPr>
            <w:tcW w:w="1232" w:type="dxa"/>
            <w:tcBorders>
              <w:top w:val="single" w:sz="12" w:space="0" w:color="000000"/>
              <w:left w:val="single" w:sz="6" w:space="0" w:color="000000"/>
              <w:bottom w:val="single" w:sz="6" w:space="0" w:color="000000"/>
              <w:right w:val="single" w:sz="12" w:space="0" w:color="000000"/>
            </w:tcBorders>
          </w:tcPr>
          <w:p>
            <w:pPr/>
          </w:p>
        </w:tc>
      </w:tr>
      <w:tr>
        <w:trPr>
          <w:trHeight w:val="1343" w:hRule="exact"/>
        </w:trPr>
        <w:tc>
          <w:tcPr>
            <w:tcW w:w="69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3"/>
              <w:ind w:left="13" w:right="116"/>
              <w:jc w:val="both"/>
              <w:rPr>
                <w:rFonts w:ascii="宋体" w:hAnsi="宋体" w:cs="宋体" w:eastAsia="宋体" w:hint="default"/>
                <w:sz w:val="18"/>
                <w:szCs w:val="18"/>
              </w:rPr>
            </w:pPr>
            <w:r>
              <w:rPr>
                <w:rFonts w:ascii="宋体" w:hAnsi="宋体" w:cs="宋体" w:eastAsia="宋体" w:hint="default"/>
                <w:sz w:val="18"/>
                <w:szCs w:val="18"/>
              </w:rPr>
              <w:t>江苏苏 源光一 科技有 限公司</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0" w:right="11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3"/>
              <w:ind w:left="20" w:right="18"/>
              <w:jc w:val="left"/>
              <w:rPr>
                <w:rFonts w:ascii="宋体" w:hAnsi="宋体" w:cs="宋体" w:eastAsia="宋体" w:hint="default"/>
                <w:sz w:val="18"/>
                <w:szCs w:val="18"/>
              </w:rPr>
            </w:pPr>
            <w:r>
              <w:rPr>
                <w:rFonts w:ascii="宋体" w:hAnsi="宋体" w:cs="宋体" w:eastAsia="宋体" w:hint="default"/>
                <w:sz w:val="18"/>
                <w:szCs w:val="18"/>
              </w:rPr>
              <w:t>电子计算机软件系 统开发、生产和销 售；能源管理；设备 开发、生产、销售</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30,000,000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148,507,587.77</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128,584,519.46</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4" w:right="0"/>
              <w:jc w:val="center"/>
              <w:rPr>
                <w:rFonts w:ascii="宋体" w:hAnsi="宋体" w:cs="宋体" w:eastAsia="宋体" w:hint="default"/>
                <w:sz w:val="18"/>
                <w:szCs w:val="18"/>
              </w:rPr>
            </w:pPr>
            <w:r>
              <w:rPr>
                <w:rFonts w:ascii="宋体"/>
                <w:sz w:val="18"/>
              </w:rPr>
              <w:t>22,497,820.76</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37,786,269.31</w:t>
            </w:r>
          </w:p>
        </w:tc>
        <w:tc>
          <w:tcPr>
            <w:tcW w:w="12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5" w:right="0"/>
              <w:jc w:val="center"/>
              <w:rPr>
                <w:rFonts w:ascii="宋体" w:hAnsi="宋体" w:cs="宋体" w:eastAsia="宋体" w:hint="default"/>
                <w:sz w:val="18"/>
                <w:szCs w:val="18"/>
              </w:rPr>
            </w:pPr>
            <w:r>
              <w:rPr>
                <w:rFonts w:ascii="宋体"/>
                <w:sz w:val="18"/>
              </w:rPr>
              <w:t>34,002,485.14</w:t>
            </w:r>
          </w:p>
        </w:tc>
      </w:tr>
      <w:tr>
        <w:trPr>
          <w:trHeight w:val="1656" w:hRule="exact"/>
        </w:trPr>
        <w:tc>
          <w:tcPr>
            <w:tcW w:w="69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16"/>
              <w:jc w:val="both"/>
              <w:rPr>
                <w:rFonts w:ascii="宋体" w:hAnsi="宋体" w:cs="宋体" w:eastAsia="宋体" w:hint="default"/>
                <w:sz w:val="18"/>
                <w:szCs w:val="18"/>
              </w:rPr>
            </w:pPr>
            <w:r>
              <w:rPr>
                <w:rFonts w:ascii="宋体" w:hAnsi="宋体" w:cs="宋体" w:eastAsia="宋体" w:hint="default"/>
                <w:sz w:val="18"/>
                <w:szCs w:val="18"/>
              </w:rPr>
              <w:t>江苏光 一德能 电气工 程有限 公司</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0" w:right="11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8"/>
              <w:jc w:val="left"/>
              <w:rPr>
                <w:rFonts w:ascii="宋体" w:hAnsi="宋体" w:cs="宋体" w:eastAsia="宋体" w:hint="default"/>
                <w:sz w:val="18"/>
                <w:szCs w:val="18"/>
              </w:rPr>
            </w:pPr>
            <w:r>
              <w:rPr>
                <w:rFonts w:ascii="宋体" w:hAnsi="宋体" w:cs="宋体" w:eastAsia="宋体" w:hint="default"/>
                <w:sz w:val="18"/>
                <w:szCs w:val="18"/>
              </w:rPr>
              <w:t>承装</w:t>
            </w:r>
            <w:r>
              <w:rPr>
                <w:rFonts w:ascii="宋体" w:hAnsi="宋体" w:cs="宋体" w:eastAsia="宋体" w:hint="default"/>
                <w:sz w:val="18"/>
                <w:szCs w:val="18"/>
              </w:rPr>
              <w:t>(</w:t>
            </w:r>
            <w:r>
              <w:rPr>
                <w:rFonts w:ascii="宋体" w:hAnsi="宋体" w:cs="宋体" w:eastAsia="宋体" w:hint="default"/>
                <w:sz w:val="18"/>
                <w:szCs w:val="18"/>
              </w:rPr>
              <w:t>修</w:t>
            </w:r>
            <w:r>
              <w:rPr>
                <w:rFonts w:ascii="宋体" w:hAnsi="宋体" w:cs="宋体" w:eastAsia="宋体" w:hint="default"/>
                <w:sz w:val="18"/>
                <w:szCs w:val="18"/>
              </w:rPr>
              <w:t>)</w:t>
            </w:r>
            <w:r>
              <w:rPr>
                <w:rFonts w:ascii="宋体" w:hAnsi="宋体" w:cs="宋体" w:eastAsia="宋体" w:hint="default"/>
                <w:sz w:val="18"/>
                <w:szCs w:val="18"/>
              </w:rPr>
              <w:t>电力设施</w:t>
            </w:r>
            <w:r>
              <w:rPr>
                <w:rFonts w:ascii="宋体" w:hAnsi="宋体" w:cs="宋体" w:eastAsia="宋体" w:hint="default"/>
                <w:sz w:val="18"/>
                <w:szCs w:val="18"/>
              </w:rPr>
              <w:t>, </w:t>
            </w:r>
            <w:r>
              <w:rPr>
                <w:rFonts w:ascii="宋体" w:hAnsi="宋体" w:cs="宋体" w:eastAsia="宋体" w:hint="default"/>
                <w:sz w:val="18"/>
                <w:szCs w:val="18"/>
              </w:rPr>
              <w:t>电气工程、送变电工 程、机电设备安装工 程的施工</w:t>
            </w:r>
            <w:r>
              <w:rPr>
                <w:rFonts w:ascii="宋体" w:hAnsi="宋体" w:cs="宋体" w:eastAsia="宋体" w:hint="default"/>
                <w:sz w:val="18"/>
                <w:szCs w:val="18"/>
              </w:rPr>
              <w:t>,</w:t>
            </w:r>
            <w:r>
              <w:rPr>
                <w:rFonts w:ascii="宋体" w:hAnsi="宋体" w:cs="宋体" w:eastAsia="宋体" w:hint="default"/>
                <w:sz w:val="18"/>
                <w:szCs w:val="18"/>
              </w:rPr>
              <w:t>电力技术 咨询</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21,000,000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134,901,554.31</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12,753,989.33</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center"/>
              <w:rPr>
                <w:rFonts w:ascii="宋体" w:hAnsi="宋体" w:cs="宋体" w:eastAsia="宋体" w:hint="default"/>
                <w:sz w:val="18"/>
                <w:szCs w:val="18"/>
              </w:rPr>
            </w:pPr>
            <w:r>
              <w:rPr>
                <w:rFonts w:ascii="宋体"/>
                <w:sz w:val="18"/>
              </w:rPr>
              <w:t>62,841,120.92</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5,590,215.29</w:t>
            </w:r>
          </w:p>
        </w:tc>
        <w:tc>
          <w:tcPr>
            <w:tcW w:w="12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18"/>
                <w:szCs w:val="18"/>
              </w:rPr>
            </w:pPr>
            <w:r>
              <w:rPr>
                <w:rFonts w:ascii="宋体"/>
                <w:sz w:val="18"/>
              </w:rPr>
              <w:t>4,168,121.42</w:t>
            </w:r>
          </w:p>
        </w:tc>
      </w:tr>
      <w:tr>
        <w:trPr>
          <w:trHeight w:val="1975" w:hRule="exact"/>
        </w:trPr>
        <w:tc>
          <w:tcPr>
            <w:tcW w:w="69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 w:right="116"/>
              <w:jc w:val="both"/>
              <w:rPr>
                <w:rFonts w:ascii="宋体" w:hAnsi="宋体" w:cs="宋体" w:eastAsia="宋体" w:hint="default"/>
                <w:sz w:val="18"/>
                <w:szCs w:val="18"/>
              </w:rPr>
            </w:pPr>
            <w:r>
              <w:rPr>
                <w:rFonts w:ascii="宋体" w:hAnsi="宋体" w:cs="宋体" w:eastAsia="宋体" w:hint="default"/>
                <w:sz w:val="18"/>
                <w:szCs w:val="18"/>
              </w:rPr>
              <w:t>北京海 誉动想 科技股 份有限 公司</w:t>
            </w:r>
          </w:p>
        </w:tc>
        <w:tc>
          <w:tcPr>
            <w:tcW w:w="5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0" w:right="119"/>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0" w:right="18"/>
              <w:jc w:val="left"/>
              <w:rPr>
                <w:rFonts w:ascii="宋体" w:hAnsi="宋体" w:cs="宋体" w:eastAsia="宋体" w:hint="default"/>
                <w:sz w:val="18"/>
                <w:szCs w:val="18"/>
              </w:rPr>
            </w:pPr>
            <w:r>
              <w:rPr>
                <w:rFonts w:ascii="宋体" w:hAnsi="宋体" w:cs="宋体" w:eastAsia="宋体" w:hint="default"/>
                <w:sz w:val="18"/>
                <w:szCs w:val="18"/>
              </w:rPr>
              <w:t>面向政府和企业提 供移动内容大数据 服务；面向移动内容 分发和移动内容云 计算提供云运用 </w:t>
            </w:r>
            <w:r>
              <w:rPr>
                <w:rFonts w:ascii="宋体" w:hAnsi="宋体" w:cs="宋体" w:eastAsia="宋体" w:hint="default"/>
                <w:sz w:val="18"/>
                <w:szCs w:val="18"/>
              </w:rPr>
              <w:t>SaaS</w:t>
            </w:r>
            <w:r>
              <w:rPr>
                <w:rFonts w:ascii="宋体" w:hAnsi="宋体" w:cs="宋体" w:eastAsia="宋体" w:hint="default"/>
                <w:spacing w:val="-46"/>
                <w:sz w:val="18"/>
                <w:szCs w:val="18"/>
              </w:rPr>
              <w:t> </w:t>
            </w:r>
            <w:r>
              <w:rPr>
                <w:rFonts w:ascii="宋体" w:hAnsi="宋体" w:cs="宋体" w:eastAsia="宋体" w:hint="default"/>
                <w:sz w:val="18"/>
                <w:szCs w:val="18"/>
              </w:rPr>
              <w:t>服务</w:t>
            </w:r>
          </w:p>
        </w:tc>
        <w:tc>
          <w:tcPr>
            <w:tcW w:w="11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宋体" w:hAnsi="宋体" w:cs="宋体" w:eastAsia="宋体" w:hint="default"/>
                <w:sz w:val="18"/>
                <w:szCs w:val="18"/>
              </w:rPr>
            </w:pPr>
            <w:r>
              <w:rPr>
                <w:rFonts w:ascii="宋体"/>
                <w:sz w:val="18"/>
              </w:rPr>
              <w:t>38,079,141</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 w:right="0"/>
              <w:jc w:val="center"/>
              <w:rPr>
                <w:rFonts w:ascii="宋体" w:hAnsi="宋体" w:cs="宋体" w:eastAsia="宋体" w:hint="default"/>
                <w:sz w:val="18"/>
                <w:szCs w:val="18"/>
              </w:rPr>
            </w:pPr>
            <w:r>
              <w:rPr>
                <w:rFonts w:ascii="宋体"/>
                <w:sz w:val="18"/>
              </w:rPr>
              <w:t>704,917,546.20</w:t>
            </w: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8"/>
              <w:jc w:val="right"/>
              <w:rPr>
                <w:rFonts w:ascii="宋体" w:hAnsi="宋体" w:cs="宋体" w:eastAsia="宋体" w:hint="default"/>
                <w:sz w:val="18"/>
                <w:szCs w:val="18"/>
              </w:rPr>
            </w:pPr>
            <w:r>
              <w:rPr>
                <w:rFonts w:ascii="宋体"/>
                <w:sz w:val="18"/>
              </w:rPr>
              <w:t>506,933,499.37</w:t>
            </w:r>
          </w:p>
        </w:tc>
        <w:tc>
          <w:tcPr>
            <w:tcW w:w="13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 w:right="0"/>
              <w:jc w:val="center"/>
              <w:rPr>
                <w:rFonts w:ascii="宋体" w:hAnsi="宋体" w:cs="宋体" w:eastAsia="宋体" w:hint="default"/>
                <w:sz w:val="18"/>
                <w:szCs w:val="18"/>
              </w:rPr>
            </w:pPr>
            <w:r>
              <w:rPr>
                <w:rFonts w:ascii="宋体"/>
                <w:sz w:val="18"/>
              </w:rPr>
              <w:t>291,137,069.02</w:t>
            </w:r>
          </w:p>
        </w:tc>
        <w:tc>
          <w:tcPr>
            <w:tcW w:w="1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宋体" w:hAnsi="宋体" w:cs="宋体" w:eastAsia="宋体" w:hint="default"/>
                <w:sz w:val="18"/>
                <w:szCs w:val="18"/>
              </w:rPr>
            </w:pPr>
            <w:r>
              <w:rPr>
                <w:rFonts w:ascii="宋体"/>
                <w:sz w:val="18"/>
              </w:rPr>
              <w:t>90,608,406.57</w:t>
            </w:r>
          </w:p>
        </w:tc>
        <w:tc>
          <w:tcPr>
            <w:tcW w:w="12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center"/>
              <w:rPr>
                <w:rFonts w:ascii="宋体" w:hAnsi="宋体" w:cs="宋体" w:eastAsia="宋体" w:hint="default"/>
                <w:sz w:val="18"/>
                <w:szCs w:val="18"/>
              </w:rPr>
            </w:pPr>
            <w:r>
              <w:rPr>
                <w:rFonts w:ascii="宋体"/>
                <w:sz w:val="18"/>
              </w:rPr>
              <w:t>80,580,056.52</w:t>
            </w:r>
          </w:p>
        </w:tc>
      </w:tr>
    </w:tbl>
    <w:p>
      <w:pPr>
        <w:pStyle w:val="BodyText"/>
        <w:spacing w:line="240" w:lineRule="auto" w:before="63"/>
        <w:ind w:left="734" w:right="0"/>
        <w:jc w:val="left"/>
      </w:pPr>
      <w:r>
        <w:rPr/>
        <w:t>报告期内取得和处置子公司的情况</w:t>
      </w:r>
    </w:p>
    <w:p>
      <w:pPr>
        <w:spacing w:line="240" w:lineRule="auto" w:before="10"/>
        <w:rPr>
          <w:rFonts w:ascii="宋体" w:hAnsi="宋体" w:cs="宋体" w:eastAsia="宋体" w:hint="default"/>
          <w:sz w:val="14"/>
          <w:szCs w:val="14"/>
        </w:rPr>
      </w:pPr>
    </w:p>
    <w:p>
      <w:pPr>
        <w:pStyle w:val="BodyText"/>
        <w:spacing w:line="240" w:lineRule="auto" w:before="0"/>
        <w:ind w:left="734" w:right="0"/>
        <w:jc w:val="left"/>
      </w:pPr>
      <w:r>
        <w:rPr/>
        <w:t>□ 适用 √</w:t>
      </w:r>
      <w:r>
        <w:rPr>
          <w:spacing w:val="-1"/>
        </w:rPr>
        <w:t> </w:t>
      </w:r>
      <w:r>
        <w:rPr/>
        <w:t>不适用</w:t>
      </w:r>
    </w:p>
    <w:p>
      <w:pPr>
        <w:pStyle w:val="Heading2"/>
        <w:spacing w:line="240" w:lineRule="auto" w:before="170"/>
        <w:ind w:left="734"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pStyle w:val="BodyText"/>
        <w:spacing w:line="408" w:lineRule="auto" w:before="177"/>
        <w:ind w:left="1154" w:right="0" w:hanging="420"/>
        <w:jc w:val="left"/>
      </w:pPr>
      <w:r>
        <w:rPr/>
        <w:t>√ 适用 □</w:t>
      </w:r>
      <w:r>
        <w:rPr>
          <w:spacing w:val="-1"/>
        </w:rPr>
        <w:t> </w:t>
      </w:r>
      <w:r>
        <w:rPr/>
        <w:t>不适用</w:t>
      </w:r>
      <w:r>
        <w:rPr/>
        <w:t> </w:t>
      </w:r>
      <w:r>
        <w:rPr>
          <w:rFonts w:ascii="宋体" w:hAnsi="宋体" w:cs="宋体" w:eastAsia="宋体" w:hint="default"/>
          <w:spacing w:val="3"/>
        </w:rPr>
        <w:t>2018</w:t>
      </w:r>
      <w:r>
        <w:rPr>
          <w:spacing w:val="3"/>
        </w:rPr>
        <w:t>年公司通过子公司江苏光一贵仁股权投资基金管理有限公司与无锡金投领航产业升级并购投资</w:t>
      </w:r>
    </w:p>
    <w:p>
      <w:pPr>
        <w:pStyle w:val="BodyText"/>
        <w:spacing w:line="408" w:lineRule="auto"/>
        <w:ind w:left="734" w:right="0"/>
        <w:jc w:val="left"/>
      </w:pPr>
      <w:r>
        <w:rPr/>
        <w:t>企业（有限合伙）共同发起设立了产业并购基金“南京领航光一科技产业投资合伙企业（有限合伙）”，</w:t>
      </w:r>
      <w:r>
        <w:rPr>
          <w:spacing w:val="-24"/>
        </w:rPr>
        <w:t> </w:t>
      </w:r>
      <w:r>
        <w:rPr>
          <w:spacing w:val="-24"/>
        </w:rPr>
      </w:r>
      <w:r>
        <w:rPr/>
        <w:t>其中无锡金投领航产业升级并购投资企业（有限合伙）做为优先级合伙人出资</w:t>
      </w:r>
      <w:r>
        <w:rPr>
          <w:rFonts w:ascii="宋体" w:hAnsi="宋体" w:cs="宋体" w:eastAsia="宋体" w:hint="default"/>
        </w:rPr>
        <w:t>2</w:t>
      </w:r>
      <w:r>
        <w:rPr/>
        <w:t>亿元人民币，并享有复利</w:t>
      </w:r>
      <w:r>
        <w:rPr>
          <w:spacing w:val="-25"/>
        </w:rPr>
        <w:t> </w:t>
      </w:r>
      <w:r>
        <w:rPr>
          <w:spacing w:val="-25"/>
        </w:rPr>
      </w:r>
      <w:r>
        <w:rPr>
          <w:rFonts w:ascii="宋体" w:hAnsi="宋体" w:cs="宋体" w:eastAsia="宋体" w:hint="default"/>
        </w:rPr>
        <w:t>8%</w:t>
      </w:r>
      <w:r>
        <w:rPr/>
        <w:t>的门槛收益率，光一科技并为此提供了差额补足及远期回购增信的措施。其设立背景与意义对并购基金 运作方式、议事规则进行分析判断、根据投资标的的选取过程判断光一科技具备对该基金的控制权。将其 纳入合并范围。</w:t>
      </w:r>
    </w:p>
    <w:p>
      <w:pPr>
        <w:pStyle w:val="Heading2"/>
        <w:spacing w:line="240" w:lineRule="auto" w:before="23"/>
        <w:ind w:left="734" w:right="0"/>
        <w:jc w:val="left"/>
        <w:rPr>
          <w:b w:val="0"/>
          <w:bCs w:val="0"/>
        </w:rPr>
      </w:pPr>
      <w:bookmarkStart w:name="九、公司未来发展的展望" w:id="59"/>
      <w:bookmarkEnd w:id="59"/>
      <w:r>
        <w:rPr>
          <w:b w:val="0"/>
          <w:bCs w:val="0"/>
        </w:rPr>
      </w:r>
      <w:r>
        <w:rPr/>
        <w:t>九、公司未来发展的展望</w:t>
      </w:r>
      <w:r>
        <w:rPr>
          <w:b w:val="0"/>
          <w:bCs w:val="0"/>
        </w:rPr>
      </w:r>
    </w:p>
    <w:p>
      <w:pPr>
        <w:pStyle w:val="BodyText"/>
        <w:spacing w:line="408" w:lineRule="auto" w:before="177"/>
        <w:ind w:left="734" w:right="1131" w:firstLine="420"/>
        <w:jc w:val="both"/>
      </w:pPr>
      <w:r>
        <w:rPr>
          <w:rFonts w:ascii="宋体" w:hAnsi="宋体" w:cs="宋体" w:eastAsia="宋体" w:hint="default"/>
        </w:rPr>
        <w:t>2019</w:t>
      </w:r>
      <w:r>
        <w:rPr/>
        <w:t>年，公司将继续践行“1+3”发展战略，版权云业务实现较大的收入和利润增长；电力业务发挥 </w:t>
      </w:r>
      <w:r>
        <w:rPr>
          <w:spacing w:val="-1"/>
        </w:rPr>
        <w:t>电力信息化产品优势，深度融入泛在电力物联网建设；健康信息服务与重点医疗机构合作，推广医联体协</w:t>
      </w:r>
      <w:r>
        <w:rPr>
          <w:spacing w:val="-83"/>
        </w:rPr>
        <w:t> </w:t>
      </w:r>
      <w:r>
        <w:rPr>
          <w:spacing w:val="-83"/>
        </w:rPr>
      </w:r>
      <w:r>
        <w:rPr/>
        <w:t>同系统项目和衍生数据业务。</w:t>
      </w:r>
    </w:p>
    <w:p>
      <w:pPr>
        <w:pStyle w:val="BodyText"/>
        <w:spacing w:line="408" w:lineRule="auto"/>
        <w:ind w:left="1154" w:right="7287"/>
        <w:jc w:val="left"/>
      </w:pPr>
      <w:r>
        <w:rPr/>
        <w:t>（一）版权云业务 </w:t>
      </w:r>
      <w:r>
        <w:rPr>
          <w:rFonts w:ascii="宋体" w:hAnsi="宋体" w:cs="宋体" w:eastAsia="宋体" w:hint="default"/>
        </w:rPr>
        <w:t>1</w:t>
      </w:r>
      <w:r>
        <w:rPr/>
        <w:t>、落实全网内容巡检的服务能力</w:t>
      </w:r>
    </w:p>
    <w:p>
      <w:pPr>
        <w:spacing w:after="0" w:line="408" w:lineRule="auto"/>
        <w:jc w:val="left"/>
        <w:sectPr>
          <w:pgSz w:w="11910" w:h="16840"/>
          <w:pgMar w:header="877" w:footer="1000" w:top="1100" w:bottom="1180" w:left="400" w:right="0"/>
        </w:sectPr>
      </w:pPr>
    </w:p>
    <w:p>
      <w:pPr>
        <w:spacing w:line="240" w:lineRule="auto" w:before="8"/>
        <w:rPr>
          <w:rFonts w:ascii="宋体" w:hAnsi="宋体" w:cs="宋体" w:eastAsia="宋体" w:hint="default"/>
          <w:sz w:val="26"/>
          <w:szCs w:val="26"/>
        </w:rPr>
      </w:pPr>
    </w:p>
    <w:p>
      <w:pPr>
        <w:pStyle w:val="BodyText"/>
        <w:spacing w:line="408" w:lineRule="auto" w:before="35"/>
        <w:ind w:right="1131" w:firstLine="420"/>
        <w:jc w:val="both"/>
      </w:pPr>
      <w:r>
        <w:rPr>
          <w:rFonts w:ascii="宋体" w:hAnsi="宋体" w:cs="宋体" w:eastAsia="宋体" w:hint="default"/>
          <w:spacing w:val="-1"/>
        </w:rPr>
        <w:t>2019</w:t>
      </w:r>
      <w:r>
        <w:rPr>
          <w:spacing w:val="-1"/>
        </w:rPr>
        <w:t>年，利用多年为有关部门互联网内容合规性服务的积累和参投运营主体的技术优势，拓展内容巡</w:t>
      </w:r>
      <w:r>
        <w:rPr/>
        <w:t> </w:t>
      </w:r>
      <w:r>
        <w:rPr>
          <w:spacing w:val="-1"/>
        </w:rPr>
        <w:t>检业务，一方面继续为相关部门提供支持服务，；另一方面，与相关企业合作，为互联网公司提供内容风</w:t>
      </w:r>
      <w:r>
        <w:rPr>
          <w:spacing w:val="-82"/>
        </w:rPr>
        <w:t> </w:t>
      </w:r>
      <w:r>
        <w:rPr>
          <w:spacing w:val="-82"/>
        </w:rPr>
      </w:r>
      <w:r>
        <w:rPr/>
        <w:t>控服务，增厚收入和利润。</w:t>
      </w:r>
    </w:p>
    <w:p>
      <w:pPr>
        <w:pStyle w:val="BodyText"/>
        <w:spacing w:line="408" w:lineRule="auto"/>
        <w:ind w:left="574" w:right="1132"/>
        <w:jc w:val="left"/>
      </w:pPr>
      <w:r>
        <w:rPr>
          <w:rFonts w:ascii="宋体" w:hAnsi="宋体" w:cs="宋体" w:eastAsia="宋体" w:hint="default"/>
        </w:rPr>
        <w:t>2</w:t>
      </w:r>
      <w:r>
        <w:rPr/>
        <w:t>、依托成熟的</w:t>
      </w:r>
      <w:r>
        <w:rPr>
          <w:rFonts w:ascii="宋体" w:hAnsi="宋体" w:cs="宋体" w:eastAsia="宋体" w:hint="default"/>
        </w:rPr>
        <w:t>TO-G</w:t>
      </w:r>
      <w:r>
        <w:rPr/>
        <w:t>业务逐步拓展</w:t>
      </w:r>
      <w:r>
        <w:rPr>
          <w:rFonts w:ascii="宋体" w:hAnsi="宋体" w:cs="宋体" w:eastAsia="宋体" w:hint="default"/>
        </w:rPr>
        <w:t>TO-B</w:t>
      </w:r>
      <w:r>
        <w:rPr/>
        <w:t>业务 </w:t>
      </w:r>
      <w:r>
        <w:rPr>
          <w:spacing w:val="-1"/>
        </w:rPr>
        <w:t>继续围绕互联网内容安全，为国家相关部门提供支撑服务的同时，进一步拓展</w:t>
      </w:r>
      <w:r>
        <w:rPr>
          <w:rFonts w:ascii="宋体" w:hAnsi="宋体" w:cs="宋体" w:eastAsia="宋体" w:hint="default"/>
          <w:spacing w:val="-1"/>
        </w:rPr>
        <w:t>TO-B</w:t>
      </w:r>
      <w:r>
        <w:rPr>
          <w:spacing w:val="-1"/>
        </w:rPr>
        <w:t>业务，为互联网内</w:t>
      </w:r>
    </w:p>
    <w:p>
      <w:pPr>
        <w:pStyle w:val="BodyText"/>
        <w:spacing w:line="408" w:lineRule="auto"/>
        <w:ind w:right="1133"/>
        <w:jc w:val="both"/>
      </w:pPr>
      <w:r>
        <w:rPr>
          <w:spacing w:val="-1"/>
        </w:rPr>
        <w:t>容平台提供独立的第三方内容风控服务，构建自审、自查、第三方检测的多维度互联网内容安全服务，并</w:t>
      </w:r>
      <w:r>
        <w:rPr>
          <w:spacing w:val="-85"/>
        </w:rPr>
        <w:t> </w:t>
      </w:r>
      <w:r>
        <w:rPr>
          <w:spacing w:val="-85"/>
        </w:rPr>
      </w:r>
      <w:r>
        <w:rPr/>
        <w:t>提供相关的版权维权服务。</w:t>
      </w:r>
      <w:r>
        <w:rPr>
          <w:rFonts w:ascii="宋体" w:hAnsi="宋体" w:cs="宋体" w:eastAsia="宋体" w:hint="default"/>
        </w:rPr>
        <w:t>2019</w:t>
      </w:r>
      <w:r>
        <w:rPr/>
        <w:t>年计划增资天擎华媒、海誉动想，重点拓展内容风控服务业务。</w:t>
      </w:r>
    </w:p>
    <w:p>
      <w:pPr>
        <w:pStyle w:val="BodyText"/>
        <w:spacing w:line="408" w:lineRule="auto"/>
        <w:ind w:left="574" w:right="1122"/>
        <w:jc w:val="left"/>
      </w:pPr>
      <w:r>
        <w:rPr>
          <w:rFonts w:ascii="宋体" w:hAnsi="宋体" w:cs="宋体" w:eastAsia="宋体" w:hint="default"/>
        </w:rPr>
        <w:t>3</w:t>
      </w:r>
      <w:r>
        <w:rPr/>
        <w:t>、构建内容付费生态 </w:t>
      </w:r>
      <w:r>
        <w:rPr>
          <w:spacing w:val="-1"/>
        </w:rPr>
        <w:t>一方面基于版权云自有版权内容打造微版权、微付费的模式，贯通内容变现渠道；另一方面通过自建</w:t>
      </w:r>
    </w:p>
    <w:p>
      <w:pPr>
        <w:pStyle w:val="BodyText"/>
        <w:spacing w:line="408" w:lineRule="auto"/>
        <w:ind w:right="1132"/>
        <w:jc w:val="both"/>
      </w:pPr>
      <w:r>
        <w:rPr>
          <w:spacing w:val="-1"/>
        </w:rPr>
        <w:t>及资本合作的方式，在音乐、视频、图文等方面丰富公司数字版权内容资源。并在适当时机与有关各方发</w:t>
      </w:r>
      <w:r>
        <w:rPr>
          <w:spacing w:val="-85"/>
        </w:rPr>
        <w:t> </w:t>
      </w:r>
      <w:r>
        <w:rPr>
          <w:spacing w:val="-85"/>
        </w:rPr>
      </w:r>
      <w:r>
        <w:rPr/>
        <w:t>起创建版权交易中心，构建国内数字版权知识产权交易与保护平台。</w:t>
      </w:r>
    </w:p>
    <w:p>
      <w:pPr>
        <w:pStyle w:val="BodyText"/>
        <w:spacing w:line="408" w:lineRule="auto"/>
        <w:ind w:left="574" w:right="0"/>
        <w:jc w:val="left"/>
      </w:pPr>
      <w:r>
        <w:rPr/>
        <w:t>（二）电力业务 未来三至五年，重点围绕泛在电力物联网建设，以信息采集及处理为核心，发力智慧综合能源服务，</w:t>
      </w:r>
    </w:p>
    <w:p>
      <w:pPr>
        <w:pStyle w:val="BodyText"/>
        <w:spacing w:line="408" w:lineRule="auto"/>
        <w:ind w:left="574" w:right="6762" w:hanging="420"/>
        <w:jc w:val="left"/>
      </w:pPr>
      <w:r>
        <w:rPr/>
        <w:t>完成主营产品转型，形成新的利润增长点。 </w:t>
      </w:r>
      <w:r>
        <w:rPr>
          <w:rFonts w:ascii="宋体" w:hAnsi="宋体" w:cs="宋体" w:eastAsia="宋体" w:hint="default"/>
        </w:rPr>
        <w:t>1</w:t>
      </w:r>
      <w:r>
        <w:rPr/>
        <w:t>、发展战略</w:t>
      </w:r>
    </w:p>
    <w:p>
      <w:pPr>
        <w:pStyle w:val="BodyText"/>
        <w:spacing w:line="408" w:lineRule="auto"/>
        <w:ind w:right="1130" w:firstLine="420"/>
        <w:jc w:val="both"/>
      </w:pPr>
      <w:r>
        <w:rPr>
          <w:spacing w:val="-1"/>
        </w:rPr>
        <w:t>电力板块充分发挥自身研发和技术优势，深化信息采集技术和全面解决方案的研究与运用，以“泛在</w:t>
      </w:r>
      <w:r>
        <w:rPr/>
        <w:t> </w:t>
      </w:r>
      <w:r>
        <w:rPr>
          <w:spacing w:val="-1"/>
        </w:rPr>
        <w:t>电力物联网”发展为契机，贯通</w:t>
      </w:r>
      <w:r>
        <w:rPr>
          <w:rFonts w:ascii="宋体" w:hAnsi="宋体" w:cs="宋体" w:eastAsia="宋体" w:hint="default"/>
          <w:spacing w:val="-1"/>
        </w:rPr>
        <w:t>10kV</w:t>
      </w:r>
      <w:r>
        <w:rPr>
          <w:spacing w:val="-1"/>
        </w:rPr>
        <w:t>至</w:t>
      </w:r>
      <w:r>
        <w:rPr>
          <w:rFonts w:ascii="宋体" w:hAnsi="宋体" w:cs="宋体" w:eastAsia="宋体" w:hint="default"/>
          <w:spacing w:val="-1"/>
        </w:rPr>
        <w:t>400V</w:t>
      </w:r>
      <w:r>
        <w:rPr>
          <w:spacing w:val="-1"/>
        </w:rPr>
        <w:t>设备链条，以软件开发和软硬件相结合的感知层应用设备为主</w:t>
      </w:r>
      <w:r>
        <w:rPr>
          <w:spacing w:val="-80"/>
        </w:rPr>
        <w:t> </w:t>
      </w:r>
      <w:r>
        <w:rPr>
          <w:spacing w:val="-80"/>
        </w:rPr>
      </w:r>
      <w:r>
        <w:rPr/>
        <w:t>要产品，并以此为基础平台，布局完善专业运维、智慧综合能源服务等衍生业务。</w:t>
      </w:r>
    </w:p>
    <w:p>
      <w:pPr>
        <w:pStyle w:val="BodyText"/>
        <w:spacing w:line="408" w:lineRule="auto"/>
        <w:ind w:left="574" w:right="1122"/>
        <w:jc w:val="left"/>
      </w:pPr>
      <w:r>
        <w:rPr>
          <w:rFonts w:ascii="宋体" w:hAnsi="宋体" w:cs="宋体" w:eastAsia="宋体" w:hint="default"/>
        </w:rPr>
        <w:t>2</w:t>
      </w:r>
      <w:r>
        <w:rPr/>
        <w:t>、营销策略 </w:t>
      </w:r>
      <w:r>
        <w:rPr>
          <w:spacing w:val="-1"/>
        </w:rPr>
        <w:t>稳固现有终端设备市场，结合客户应用反馈利用价值工程学对现有产品进行功能优化和迭代升级，用</w:t>
      </w:r>
    </w:p>
    <w:p>
      <w:pPr>
        <w:pStyle w:val="BodyText"/>
        <w:spacing w:line="408" w:lineRule="auto"/>
        <w:ind w:right="1131"/>
        <w:jc w:val="both"/>
      </w:pPr>
      <w:r>
        <w:rPr>
          <w:spacing w:val="-1"/>
        </w:rPr>
        <w:t>“短平快”的方式解决客户“痛点”，形成对板块整体利润的有效支撑。拓展专业运维和安装工程项目承</w:t>
      </w:r>
      <w:r>
        <w:rPr>
          <w:spacing w:val="-81"/>
        </w:rPr>
        <w:t> </w:t>
      </w:r>
      <w:r>
        <w:rPr>
          <w:spacing w:val="-81"/>
        </w:rPr>
      </w:r>
      <w:r>
        <w:rPr>
          <w:spacing w:val="-1"/>
        </w:rPr>
        <w:t>接范围，以运维质量提升客户美誉度和粘性。智慧综合能源服务业务全面发力，打造多形态业务模板，为</w:t>
      </w:r>
      <w:r>
        <w:rPr>
          <w:spacing w:val="-85"/>
        </w:rPr>
        <w:t> </w:t>
      </w:r>
      <w:r>
        <w:rPr>
          <w:spacing w:val="-85"/>
        </w:rPr>
      </w:r>
      <w:r>
        <w:rPr/>
        <w:t>客户提供“套餐</w:t>
      </w:r>
      <w:r>
        <w:rPr>
          <w:rFonts w:ascii="宋体" w:hAnsi="宋体" w:cs="宋体" w:eastAsia="宋体" w:hint="default"/>
        </w:rPr>
        <w:t>+</w:t>
      </w:r>
      <w:r>
        <w:rPr/>
        <w:t>订单”式解决方案。</w:t>
      </w:r>
    </w:p>
    <w:p>
      <w:pPr>
        <w:pStyle w:val="BodyText"/>
        <w:spacing w:line="408" w:lineRule="auto"/>
        <w:ind w:left="574" w:right="1122"/>
        <w:jc w:val="left"/>
      </w:pPr>
      <w:r>
        <w:rPr>
          <w:rFonts w:ascii="宋体" w:hAnsi="宋体" w:cs="宋体" w:eastAsia="宋体" w:hint="default"/>
        </w:rPr>
        <w:t>3</w:t>
      </w:r>
      <w:r>
        <w:rPr/>
        <w:t>、技术开发策略 </w:t>
      </w:r>
      <w:r>
        <w:rPr>
          <w:spacing w:val="-1"/>
        </w:rPr>
        <w:t>整合电力板块研发力量，增加研发投入，使研发成果和应用前景以及产生效益挂钩，形成对研发的正</w:t>
      </w:r>
    </w:p>
    <w:p>
      <w:pPr>
        <w:pStyle w:val="BodyText"/>
        <w:spacing w:line="408" w:lineRule="auto"/>
        <w:ind w:right="1131"/>
        <w:jc w:val="both"/>
      </w:pPr>
      <w:r>
        <w:rPr>
          <w:spacing w:val="-1"/>
        </w:rPr>
        <w:t>反馈。充分利用“1＋3”布局中其他板块现有的技术成果，形成板块之间的优势互补。加强对前沿技术的</w:t>
      </w:r>
      <w:r>
        <w:rPr>
          <w:spacing w:val="-83"/>
        </w:rPr>
        <w:t> </w:t>
      </w:r>
      <w:r>
        <w:rPr>
          <w:spacing w:val="-83"/>
        </w:rPr>
      </w:r>
      <w:r>
        <w:rPr/>
        <w:t>研究和储备，注重专利申请和保护，适时开展技术并购。</w:t>
      </w:r>
    </w:p>
    <w:p>
      <w:pPr>
        <w:pStyle w:val="BodyText"/>
        <w:spacing w:line="408" w:lineRule="auto"/>
        <w:ind w:left="574" w:right="1122"/>
        <w:jc w:val="left"/>
      </w:pPr>
      <w:r>
        <w:rPr>
          <w:rFonts w:ascii="宋体" w:hAnsi="宋体" w:cs="宋体" w:eastAsia="宋体" w:hint="default"/>
        </w:rPr>
        <w:t>4</w:t>
      </w:r>
      <w:r>
        <w:rPr/>
        <w:t>、产品策略 </w:t>
      </w:r>
      <w:r>
        <w:rPr>
          <w:spacing w:val="-1"/>
        </w:rPr>
        <w:t>提升采集产品功能性和独创性，利用专利保障产品的技术壁垒，维持较高的利润率。</w:t>
      </w:r>
      <w:r>
        <w:rPr>
          <w:rFonts w:ascii="宋体" w:hAnsi="宋体" w:cs="宋体" w:eastAsia="宋体" w:hint="default"/>
          <w:spacing w:val="-1"/>
        </w:rPr>
        <w:t>2019</w:t>
      </w:r>
      <w:r>
        <w:rPr>
          <w:spacing w:val="-1"/>
        </w:rPr>
        <w:t>年在泛在电</w:t>
      </w:r>
    </w:p>
    <w:p>
      <w:pPr>
        <w:pStyle w:val="BodyText"/>
        <w:spacing w:line="240" w:lineRule="auto"/>
        <w:ind w:right="0"/>
        <w:jc w:val="both"/>
      </w:pPr>
      <w:r>
        <w:rPr/>
        <w:t>力物联网方面确定</w:t>
      </w:r>
      <w:r>
        <w:rPr>
          <w:rFonts w:ascii="宋体" w:hAnsi="宋体" w:cs="宋体" w:eastAsia="宋体" w:hint="default"/>
        </w:rPr>
        <w:t>2</w:t>
      </w:r>
      <w:r>
        <w:rPr/>
        <w:t>～</w:t>
      </w:r>
      <w:r>
        <w:rPr>
          <w:rFonts w:ascii="宋体" w:hAnsi="宋体" w:cs="宋体" w:eastAsia="宋体" w:hint="default"/>
        </w:rPr>
        <w:t>3</w:t>
      </w:r>
      <w:r>
        <w:rPr/>
        <w:t>个业务发展方向，开展前期技术研究，力争在</w:t>
      </w:r>
      <w:r>
        <w:rPr>
          <w:rFonts w:ascii="宋体" w:hAnsi="宋体" w:cs="宋体" w:eastAsia="宋体" w:hint="default"/>
        </w:rPr>
        <w:t>2021</w:t>
      </w:r>
      <w:r>
        <w:rPr/>
        <w:t>年实现公司电力板块主要产品升</w:t>
      </w:r>
    </w:p>
    <w:p>
      <w:pPr>
        <w:spacing w:after="0" w:line="240" w:lineRule="auto"/>
        <w:jc w:val="both"/>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级转型。</w:t>
      </w:r>
    </w:p>
    <w:p>
      <w:pPr>
        <w:spacing w:line="240" w:lineRule="auto" w:before="10"/>
        <w:rPr>
          <w:rFonts w:ascii="宋体" w:hAnsi="宋体" w:cs="宋体" w:eastAsia="宋体" w:hint="default"/>
          <w:sz w:val="14"/>
          <w:szCs w:val="14"/>
        </w:rPr>
      </w:pPr>
    </w:p>
    <w:p>
      <w:pPr>
        <w:pStyle w:val="BodyText"/>
        <w:spacing w:line="408" w:lineRule="auto" w:before="0"/>
        <w:ind w:left="574" w:right="6867"/>
        <w:jc w:val="left"/>
      </w:pPr>
      <w:r>
        <w:rPr/>
        <w:t>（三）健康信息服务业务 </w:t>
      </w:r>
      <w:r>
        <w:rPr>
          <w:rFonts w:ascii="宋体" w:hAnsi="宋体" w:cs="宋体" w:eastAsia="宋体" w:hint="default"/>
        </w:rPr>
        <w:t>1</w:t>
      </w:r>
      <w:r>
        <w:rPr/>
        <w:t>、继续深入推进医联体协同服务项目</w:t>
      </w:r>
    </w:p>
    <w:p>
      <w:pPr>
        <w:pStyle w:val="BodyText"/>
        <w:spacing w:line="408" w:lineRule="auto"/>
        <w:ind w:right="1126" w:firstLine="420"/>
        <w:jc w:val="both"/>
      </w:pPr>
      <w:r>
        <w:rPr>
          <w:spacing w:val="-1"/>
        </w:rPr>
        <w:t>云商天下继续以江苏省转化医学研究院（南京医科大学转化医学研究院）医工融合平台为抓手，深入</w:t>
      </w:r>
      <w:r>
        <w:rPr/>
        <w:t> 推进核心医院与基层医疗卫生机构、全科医生与专科医生的数据资源共享和业务协同，健全基于互联网</w:t>
      </w:r>
      <w:r>
        <w:rPr>
          <w:rFonts w:ascii="宋体" w:hAnsi="宋体" w:cs="宋体" w:eastAsia="宋体" w:hint="default"/>
        </w:rPr>
        <w:t>+</w:t>
      </w:r>
      <w:r>
        <w:rPr>
          <w:rFonts w:ascii="宋体" w:hAnsi="宋体" w:cs="宋体" w:eastAsia="宋体" w:hint="default"/>
          <w:spacing w:val="-24"/>
        </w:rPr>
        <w:t> </w:t>
      </w:r>
      <w:r>
        <w:rPr/>
        <w:t>的分级诊疗信息系统，延伸放大医疗卫生机构服务能力，有针对性地促进“重心下移、资源下沉”</w:t>
      </w:r>
      <w:r>
        <w:rPr>
          <w:rFonts w:ascii="宋体" w:hAnsi="宋体" w:cs="宋体" w:eastAsia="宋体" w:hint="default"/>
        </w:rPr>
        <w:t>,</w:t>
      </w:r>
      <w:r>
        <w:rPr/>
        <w:t>创建</w:t>
      </w:r>
      <w:r>
        <w:rPr>
          <w:spacing w:val="-23"/>
        </w:rPr>
        <w:t> </w:t>
      </w:r>
      <w:r>
        <w:rPr/>
        <w:t>“紧密型医联体”的模式。</w:t>
      </w:r>
      <w:r>
        <w:rPr>
          <w:rFonts w:ascii="宋体" w:hAnsi="宋体" w:cs="宋体" w:eastAsia="宋体" w:hint="default"/>
        </w:rPr>
        <w:t>2019</w:t>
      </w:r>
      <w:r>
        <w:rPr/>
        <w:t>年计划延伸到医联体集团成员医院</w:t>
      </w:r>
      <w:r>
        <w:rPr>
          <w:rFonts w:ascii="宋体" w:hAnsi="宋体" w:cs="宋体" w:eastAsia="宋体" w:hint="default"/>
        </w:rPr>
        <w:t>5</w:t>
      </w:r>
      <w:r>
        <w:rPr/>
        <w:t>家左右，并逐步建立起妇幼保健服务</w:t>
      </w:r>
      <w:r>
        <w:rPr>
          <w:spacing w:val="-29"/>
        </w:rPr>
        <w:t> </w:t>
      </w:r>
      <w:r>
        <w:rPr>
          <w:spacing w:val="-29"/>
        </w:rPr>
      </w:r>
      <w:r>
        <w:rPr/>
        <w:t>优质资源共享体系，向母婴市场参与者提供数据技术服务，实现业务升级。</w:t>
      </w:r>
    </w:p>
    <w:p>
      <w:pPr>
        <w:pStyle w:val="BodyText"/>
        <w:spacing w:line="408" w:lineRule="auto"/>
        <w:ind w:left="574" w:right="1122"/>
        <w:jc w:val="left"/>
      </w:pPr>
      <w:r>
        <w:rPr>
          <w:rFonts w:ascii="宋体" w:hAnsi="宋体" w:cs="宋体" w:eastAsia="宋体" w:hint="default"/>
        </w:rPr>
        <w:t>2</w:t>
      </w:r>
      <w:r>
        <w:rPr/>
        <w:t>、以区域家庭医生服务定制为基础，进行能力复制。 </w:t>
      </w:r>
      <w:r>
        <w:rPr>
          <w:spacing w:val="-3"/>
        </w:rPr>
        <w:t>通过互联网</w:t>
      </w:r>
      <w:r>
        <w:rPr>
          <w:rFonts w:ascii="宋体" w:hAnsi="宋体" w:cs="宋体" w:eastAsia="宋体" w:hint="default"/>
          <w:spacing w:val="-3"/>
        </w:rPr>
        <w:t>+</w:t>
      </w:r>
      <w:r>
        <w:rPr>
          <w:spacing w:val="-3"/>
        </w:rPr>
        <w:t>整合上下级医院，整合医疗和医药，为跨区域多家社区卫生服务中心提供医疗协作服务，</w:t>
      </w:r>
    </w:p>
    <w:p>
      <w:pPr>
        <w:pStyle w:val="BodyText"/>
        <w:spacing w:line="408" w:lineRule="auto"/>
        <w:ind w:right="1122"/>
        <w:jc w:val="left"/>
      </w:pPr>
      <w:r>
        <w:rPr>
          <w:spacing w:val="-1"/>
        </w:rPr>
        <w:t>提高基层诊疗水平，实现分级诊疗落地，以区域家庭医生服务定制为基础进行复制，小病在社区、大病在</w:t>
      </w:r>
      <w:r>
        <w:rPr>
          <w:spacing w:val="-86"/>
        </w:rPr>
        <w:t> </w:t>
      </w:r>
      <w:r>
        <w:rPr>
          <w:spacing w:val="-86"/>
        </w:rPr>
      </w:r>
      <w:r>
        <w:rPr/>
        <w:t>医院、康复再回社区。</w:t>
      </w:r>
    </w:p>
    <w:p>
      <w:pPr>
        <w:pStyle w:val="BodyText"/>
        <w:spacing w:line="408" w:lineRule="auto"/>
        <w:ind w:left="574" w:right="1130"/>
        <w:jc w:val="left"/>
      </w:pPr>
      <w:r>
        <w:rPr>
          <w:rFonts w:ascii="宋体" w:hAnsi="宋体" w:cs="宋体" w:eastAsia="宋体" w:hint="default"/>
        </w:rPr>
        <w:t>3</w:t>
      </w:r>
      <w:r>
        <w:rPr/>
        <w:t>、设立新型研发机构 云商天下向江苏省转化医学研究院代表南医大申请在在江宁区联合发起设立新型研发机构（东大</w:t>
      </w:r>
      <w:r>
        <w:rPr>
          <w:rFonts w:ascii="宋体" w:hAnsi="宋体" w:cs="宋体" w:eastAsia="宋体" w:hint="default"/>
        </w:rPr>
        <w:t>-</w:t>
      </w:r>
      <w:r>
        <w:rPr/>
        <w:t>南</w:t>
      </w:r>
    </w:p>
    <w:p>
      <w:pPr>
        <w:pStyle w:val="BodyText"/>
        <w:spacing w:line="408" w:lineRule="auto"/>
        <w:ind w:right="1130"/>
        <w:jc w:val="both"/>
      </w:pPr>
      <w:r>
        <w:rPr>
          <w:spacing w:val="-1"/>
        </w:rPr>
        <w:t>医大医工交叉创新研究院）东南大学—南京医科大学医工交叉创新研究院，聚焦于精准医学、生物医用材</w:t>
      </w:r>
      <w:r>
        <w:rPr>
          <w:spacing w:val="-83"/>
        </w:rPr>
        <w:t> </w:t>
      </w:r>
      <w:r>
        <w:rPr>
          <w:spacing w:val="-83"/>
        </w:rPr>
      </w:r>
      <w:r>
        <w:rPr>
          <w:spacing w:val="-5"/>
        </w:rPr>
        <w:t>料研发、数字化医疗、生物医学大数据、医疗机器人等研究领域，推动双方在科研资源共享等方面的合作，</w:t>
      </w:r>
      <w:r>
        <w:rPr>
          <w:spacing w:val="-102"/>
        </w:rPr>
        <w:t> </w:t>
      </w:r>
      <w:r>
        <w:rPr>
          <w:spacing w:val="-102"/>
        </w:rPr>
      </w:r>
      <w:r>
        <w:rPr>
          <w:spacing w:val="-1"/>
        </w:rPr>
        <w:t>促进原创性研究成果的产出和科技成果的落地转化。谋划重大项目，特别是要围绕生物医学大数据重大科</w:t>
      </w:r>
      <w:r>
        <w:rPr>
          <w:spacing w:val="-81"/>
        </w:rPr>
        <w:t> </w:t>
      </w:r>
      <w:r>
        <w:rPr>
          <w:spacing w:val="-81"/>
        </w:rPr>
      </w:r>
      <w:r>
        <w:rPr/>
        <w:t>技基础设施的筹建加强合作、共同推动。</w:t>
      </w:r>
    </w:p>
    <w:p>
      <w:pPr>
        <w:pStyle w:val="Heading2"/>
        <w:spacing w:line="240" w:lineRule="auto" w:before="179"/>
        <w:ind w:right="0"/>
        <w:jc w:val="both"/>
        <w:rPr>
          <w:b w:val="0"/>
          <w:bCs w:val="0"/>
        </w:rPr>
      </w:pPr>
      <w:bookmarkStart w:name="十、接待调研、沟通、采访等活动登记表" w:id="60"/>
      <w:bookmarkEnd w:id="60"/>
      <w:r>
        <w:rPr>
          <w:b w:val="0"/>
          <w:bCs w:val="0"/>
        </w:rPr>
      </w:r>
      <w:r>
        <w:rPr/>
        <w:t>十、接待调研、沟通、采访等活动登记表</w:t>
      </w:r>
      <w:r>
        <w:rPr>
          <w:b w:val="0"/>
          <w:bCs w:val="0"/>
        </w:rPr>
      </w:r>
    </w:p>
    <w:p>
      <w:pPr>
        <w:pStyle w:val="Heading4"/>
        <w:spacing w:line="240" w:lineRule="auto" w:before="177"/>
        <w:ind w:right="0"/>
        <w:jc w:val="both"/>
        <w:rPr>
          <w:b w:val="0"/>
          <w:bCs w:val="0"/>
        </w:rPr>
      </w:pPr>
      <w:bookmarkStart w:name="1、报告期内接待调研、沟通、采访等活动登记表" w:id="61"/>
      <w:bookmarkEnd w:id="61"/>
      <w:r>
        <w:rPr>
          <w:b w:val="0"/>
          <w:bCs w:val="0"/>
        </w:rPr>
      </w:r>
      <w:r>
        <w:rPr>
          <w:rFonts w:ascii="宋体" w:hAnsi="宋体" w:cs="宋体" w:eastAsia="宋体" w:hint="default"/>
        </w:rPr>
        <w:t>1</w:t>
      </w:r>
      <w:r>
        <w:rPr/>
        <w:t>、报告期内接待调研、沟通、采访等活动登记表</w:t>
      </w:r>
      <w:r>
        <w:rPr>
          <w:b w:val="0"/>
          <w:bCs w:val="0"/>
        </w:rPr>
      </w:r>
    </w:p>
    <w:p>
      <w:pPr>
        <w:spacing w:line="240" w:lineRule="auto" w:before="12"/>
        <w:rPr>
          <w:rFonts w:ascii="宋体" w:hAnsi="宋体" w:cs="宋体" w:eastAsia="宋体" w:hint="default"/>
          <w:b/>
          <w:bCs/>
          <w:sz w:val="17"/>
          <w:szCs w:val="17"/>
        </w:rPr>
      </w:pPr>
    </w:p>
    <w:p>
      <w:pPr>
        <w:pStyle w:val="BodyText"/>
        <w:spacing w:line="240" w:lineRule="auto" w:before="0"/>
        <w:ind w:right="0"/>
        <w:jc w:val="both"/>
      </w:pPr>
      <w:r>
        <w:rPr/>
        <w:t>□ 适用 √</w:t>
      </w:r>
      <w:r>
        <w:rPr>
          <w:spacing w:val="-1"/>
        </w:rPr>
        <w:t> </w:t>
      </w:r>
      <w:r>
        <w:rPr/>
        <w:t>不适用</w:t>
      </w:r>
    </w:p>
    <w:p>
      <w:pPr>
        <w:spacing w:after="0" w:line="240" w:lineRule="auto"/>
        <w:jc w:val="both"/>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五节 重要事项" w:id="62"/>
      <w:bookmarkEnd w:id="62"/>
      <w:r>
        <w:rPr>
          <w:b w:val="0"/>
          <w:bCs w:val="0"/>
        </w:rPr>
      </w:r>
      <w:bookmarkStart w:name="_bookmark3" w:id="63"/>
      <w:bookmarkEnd w:id="63"/>
      <w:r>
        <w:rPr>
          <w:b w:val="0"/>
          <w:bCs w:val="0"/>
        </w:rPr>
      </w:r>
      <w:r>
        <w:rPr/>
        <w:t>第五节</w:t>
      </w:r>
      <w:r>
        <w:rPr>
          <w:spacing w:val="-5"/>
        </w:rPr>
        <w:t> </w:t>
      </w:r>
      <w:r>
        <w:rPr/>
        <w:t>重要事项</w:t>
      </w:r>
      <w:r>
        <w:rPr>
          <w:b w:val="0"/>
          <w:bCs w:val="0"/>
        </w:rPr>
      </w:r>
    </w:p>
    <w:p>
      <w:pPr>
        <w:spacing w:line="240" w:lineRule="auto" w:before="10"/>
        <w:rPr>
          <w:rFonts w:ascii="宋体" w:hAnsi="宋体" w:cs="宋体" w:eastAsia="宋体" w:hint="default"/>
          <w:b/>
          <w:bCs/>
          <w:sz w:val="44"/>
          <w:szCs w:val="44"/>
        </w:rPr>
      </w:pPr>
    </w:p>
    <w:p>
      <w:pPr>
        <w:pStyle w:val="Heading2"/>
        <w:spacing w:line="240" w:lineRule="auto" w:before="0"/>
        <w:ind w:right="1122"/>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pStyle w:val="BodyText"/>
        <w:spacing w:line="240" w:lineRule="auto" w:before="177"/>
        <w:ind w:right="1122"/>
        <w:jc w:val="left"/>
      </w:pPr>
      <w:r>
        <w:rPr/>
        <w:t>报告期内普通股利润分配政策，特别是现金分红政策的制定、执行或调整情况</w:t>
      </w:r>
    </w:p>
    <w:p>
      <w:pPr>
        <w:spacing w:line="240" w:lineRule="auto" w:before="10"/>
        <w:rPr>
          <w:rFonts w:ascii="宋体" w:hAnsi="宋体" w:cs="宋体" w:eastAsia="宋体" w:hint="default"/>
          <w:sz w:val="14"/>
          <w:szCs w:val="14"/>
        </w:rPr>
      </w:pPr>
    </w:p>
    <w:p>
      <w:pPr>
        <w:pStyle w:val="BodyText"/>
        <w:spacing w:line="408" w:lineRule="auto" w:before="0"/>
        <w:ind w:right="1722"/>
        <w:jc w:val="left"/>
      </w:pPr>
      <w:r>
        <w:rPr/>
        <w:t>□ 适用 √</w:t>
      </w:r>
      <w:r>
        <w:rPr>
          <w:spacing w:val="-1"/>
        </w:rPr>
        <w:t> </w:t>
      </w:r>
      <w:r>
        <w:rPr/>
        <w:t>不适用</w:t>
      </w:r>
      <w:r>
        <w:rPr/>
        <w:t> 公司报告期利润分配预案及资本公积金转增股本预案与公司章程和分红管理办法等的相关规定一致</w:t>
      </w:r>
    </w:p>
    <w:p>
      <w:pPr>
        <w:pStyle w:val="BodyText"/>
        <w:spacing w:line="408" w:lineRule="auto"/>
        <w:ind w:right="3192"/>
        <w:jc w:val="left"/>
      </w:pPr>
      <w:r>
        <w:rPr/>
        <w:t>√ 是 □ 否 □</w:t>
      </w:r>
      <w:r>
        <w:rPr>
          <w:spacing w:val="-1"/>
        </w:rPr>
        <w:t> </w:t>
      </w:r>
      <w:r>
        <w:rPr/>
        <w:t>不适用</w:t>
      </w:r>
      <w:r>
        <w:rPr/>
        <w:t> 公司报告期利润分配预案及资本公积金转增股本预案符合公司章程等的相关规定。 本年度利润分配及资本公积金转增股本情况</w:t>
      </w:r>
    </w:p>
    <w:p>
      <w:pPr>
        <w:spacing w:before="7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4236"/>
        <w:gridCol w:w="5398"/>
      </w:tblGrid>
      <w:tr>
        <w:trPr>
          <w:trHeight w:val="412" w:hRule="exact"/>
        </w:trPr>
        <w:tc>
          <w:tcPr>
            <w:tcW w:w="423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398" w:type="dxa"/>
            <w:tcBorders>
              <w:top w:val="single" w:sz="12" w:space="0" w:color="000000"/>
              <w:left w:val="single" w:sz="13" w:space="0" w:color="D2D2D2"/>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r>
        <w:trPr>
          <w:trHeight w:val="402" w:hRule="exact"/>
        </w:trPr>
        <w:tc>
          <w:tcPr>
            <w:tcW w:w="42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股派息数（含税）</w:t>
            </w:r>
          </w:p>
        </w:tc>
        <w:tc>
          <w:tcPr>
            <w:tcW w:w="5398"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2" w:hRule="exact"/>
        </w:trPr>
        <w:tc>
          <w:tcPr>
            <w:tcW w:w="42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398"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r>
        <w:trPr>
          <w:trHeight w:val="402" w:hRule="exact"/>
        </w:trPr>
        <w:tc>
          <w:tcPr>
            <w:tcW w:w="42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398"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411,118,370</w:t>
            </w:r>
          </w:p>
        </w:tc>
      </w:tr>
      <w:tr>
        <w:trPr>
          <w:trHeight w:val="402" w:hRule="exact"/>
        </w:trPr>
        <w:tc>
          <w:tcPr>
            <w:tcW w:w="42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5398"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2" w:hRule="exact"/>
        </w:trPr>
        <w:tc>
          <w:tcPr>
            <w:tcW w:w="42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398"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2" w:hRule="exact"/>
        </w:trPr>
        <w:tc>
          <w:tcPr>
            <w:tcW w:w="42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p>
        </w:tc>
        <w:tc>
          <w:tcPr>
            <w:tcW w:w="5398"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2" w:hRule="exact"/>
        </w:trPr>
        <w:tc>
          <w:tcPr>
            <w:tcW w:w="42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可分配利润</w:t>
            </w:r>
          </w:p>
        </w:tc>
        <w:tc>
          <w:tcPr>
            <w:tcW w:w="5398"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-172,607,606.14</w:t>
            </w:r>
          </w:p>
        </w:tc>
      </w:tr>
      <w:tr>
        <w:trPr>
          <w:trHeight w:val="407" w:hRule="exact"/>
        </w:trPr>
        <w:tc>
          <w:tcPr>
            <w:tcW w:w="42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398"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397" w:hRule="exact"/>
        </w:trPr>
        <w:tc>
          <w:tcPr>
            <w:tcW w:w="9634"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634" w:type="dxa"/>
            <w:gridSpan w:val="2"/>
            <w:tcBorders>
              <w:top w:val="single" w:sz="4" w:space="0" w:color="000000"/>
              <w:left w:val="single" w:sz="12" w:space="0" w:color="000000"/>
              <w:bottom w:val="single" w:sz="4" w:space="0" w:color="000000"/>
              <w:right w:val="single" w:sz="12"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634"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left="290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721" w:hRule="exact"/>
        </w:trPr>
        <w:tc>
          <w:tcPr>
            <w:tcW w:w="9634" w:type="dxa"/>
            <w:gridSpan w:val="2"/>
            <w:tcBorders>
              <w:top w:val="single" w:sz="4" w:space="0" w:color="000000"/>
              <w:left w:val="single" w:sz="12" w:space="0" w:color="000000"/>
              <w:bottom w:val="single" w:sz="12" w:space="0" w:color="000000"/>
              <w:right w:val="single" w:sz="12" w:space="0" w:color="000000"/>
            </w:tcBorders>
          </w:tcPr>
          <w:p>
            <w:pPr>
              <w:pStyle w:val="TableParagraph"/>
              <w:spacing w:line="316" w:lineRule="auto" w:before="81"/>
              <w:ind w:left="6" w:right="13" w:firstLine="420"/>
              <w:jc w:val="left"/>
              <w:rPr>
                <w:rFonts w:ascii="宋体" w:hAnsi="宋体" w:cs="宋体" w:eastAsia="宋体" w:hint="default"/>
                <w:sz w:val="18"/>
                <w:szCs w:val="18"/>
              </w:rPr>
            </w:pPr>
            <w:r>
              <w:rPr>
                <w:rFonts w:ascii="宋体" w:hAnsi="宋体" w:cs="宋体" w:eastAsia="宋体" w:hint="default"/>
                <w:sz w:val="18"/>
                <w:szCs w:val="18"/>
              </w:rPr>
              <w:t>经众华会计师事务所（特殊普通合伙）审计，公司</w:t>
            </w:r>
            <w:r>
              <w:rPr>
                <w:rFonts w:ascii="宋体" w:hAnsi="宋体" w:cs="宋体" w:eastAsia="宋体" w:hint="default"/>
                <w:sz w:val="18"/>
                <w:szCs w:val="18"/>
              </w:rPr>
              <w:t>2018</w:t>
            </w:r>
            <w:r>
              <w:rPr>
                <w:rFonts w:ascii="宋体" w:hAnsi="宋体" w:cs="宋体" w:eastAsia="宋体" w:hint="default"/>
                <w:sz w:val="18"/>
                <w:szCs w:val="18"/>
              </w:rPr>
              <w:t>年度归属于上市公司股东的净利润</w:t>
            </w:r>
            <w:r>
              <w:rPr>
                <w:rFonts w:ascii="宋体" w:hAnsi="宋体" w:cs="宋体" w:eastAsia="宋体" w:hint="default"/>
                <w:sz w:val="18"/>
                <w:szCs w:val="18"/>
              </w:rPr>
              <w:t>23,403,488.93</w:t>
            </w:r>
            <w:r>
              <w:rPr>
                <w:rFonts w:ascii="宋体" w:hAnsi="宋体" w:cs="宋体" w:eastAsia="宋体" w:hint="default"/>
                <w:sz w:val="18"/>
                <w:szCs w:val="18"/>
              </w:rPr>
              <w:t>元；母公司 </w:t>
            </w:r>
            <w:r>
              <w:rPr>
                <w:rFonts w:ascii="宋体" w:hAnsi="宋体" w:cs="宋体" w:eastAsia="宋体" w:hint="default"/>
                <w:spacing w:val="4"/>
                <w:sz w:val="18"/>
                <w:szCs w:val="18"/>
              </w:rPr>
              <w:t>实现净利润</w:t>
            </w:r>
            <w:r>
              <w:rPr>
                <w:rFonts w:ascii="宋体" w:hAnsi="宋体" w:cs="宋体" w:eastAsia="宋体" w:hint="default"/>
                <w:spacing w:val="4"/>
                <w:sz w:val="18"/>
                <w:szCs w:val="18"/>
              </w:rPr>
              <w:t>-6,744,103.06</w:t>
            </w:r>
            <w:r>
              <w:rPr>
                <w:rFonts w:ascii="宋体" w:hAnsi="宋体" w:cs="宋体" w:eastAsia="宋体" w:hint="default"/>
                <w:spacing w:val="4"/>
                <w:sz w:val="18"/>
                <w:szCs w:val="18"/>
              </w:rPr>
              <w:t>元</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5"/>
                <w:sz w:val="18"/>
                <w:szCs w:val="18"/>
              </w:rPr>
              <w:t>期初未分配利润</w:t>
            </w:r>
            <w:r>
              <w:rPr>
                <w:rFonts w:ascii="宋体" w:hAnsi="宋体" w:cs="宋体" w:eastAsia="宋体" w:hint="default"/>
                <w:spacing w:val="5"/>
                <w:sz w:val="18"/>
                <w:szCs w:val="18"/>
              </w:rPr>
              <w:t>-165,863,503.08</w:t>
            </w:r>
            <w:r>
              <w:rPr>
                <w:rFonts w:ascii="宋体" w:hAnsi="宋体" w:cs="宋体" w:eastAsia="宋体" w:hint="default"/>
                <w:spacing w:val="5"/>
                <w:sz w:val="18"/>
                <w:szCs w:val="18"/>
              </w:rPr>
              <w:t>元；</w:t>
            </w:r>
            <w:r>
              <w:rPr>
                <w:rFonts w:ascii="宋体" w:hAnsi="宋体" w:cs="宋体" w:eastAsia="宋体" w:hint="default"/>
                <w:spacing w:val="-67"/>
                <w:sz w:val="18"/>
                <w:szCs w:val="18"/>
              </w:rPr>
              <w:t> </w:t>
            </w:r>
            <w:r>
              <w:rPr>
                <w:rFonts w:ascii="宋体" w:hAnsi="宋体" w:cs="宋体" w:eastAsia="宋体" w:hint="default"/>
                <w:spacing w:val="8"/>
                <w:sz w:val="18"/>
                <w:szCs w:val="18"/>
              </w:rPr>
              <w:t>截至</w:t>
            </w:r>
            <w:r>
              <w:rPr>
                <w:rFonts w:ascii="宋体" w:hAnsi="宋体" w:cs="宋体" w:eastAsia="宋体" w:hint="default"/>
                <w:spacing w:val="-67"/>
                <w:sz w:val="18"/>
                <w:szCs w:val="18"/>
              </w:rPr>
              <w:t> </w:t>
            </w:r>
            <w:r>
              <w:rPr>
                <w:rFonts w:ascii="宋体" w:hAnsi="宋体" w:cs="宋体" w:eastAsia="宋体" w:hint="default"/>
                <w:spacing w:val="5"/>
                <w:sz w:val="18"/>
                <w:szCs w:val="18"/>
              </w:rPr>
              <w:t>2018</w:t>
            </w:r>
            <w:r>
              <w:rPr>
                <w:rFonts w:ascii="宋体" w:hAnsi="宋体" w:cs="宋体" w:eastAsia="宋体" w:hint="default"/>
                <w:spacing w:val="5"/>
                <w:sz w:val="18"/>
                <w:szCs w:val="18"/>
              </w:rPr>
              <w:t>年</w:t>
            </w:r>
            <w:r>
              <w:rPr>
                <w:rFonts w:ascii="宋体" w:hAnsi="宋体" w:cs="宋体" w:eastAsia="宋体" w:hint="default"/>
                <w:spacing w:val="5"/>
                <w:sz w:val="18"/>
                <w:szCs w:val="18"/>
              </w:rPr>
              <w:t>12</w:t>
            </w:r>
            <w:r>
              <w:rPr>
                <w:rFonts w:ascii="宋体" w:hAnsi="宋体" w:cs="宋体" w:eastAsia="宋体" w:hint="default"/>
                <w:spacing w:val="5"/>
                <w:sz w:val="18"/>
                <w:szCs w:val="18"/>
              </w:rPr>
              <w:t>月</w:t>
            </w:r>
            <w:r>
              <w:rPr>
                <w:rFonts w:ascii="宋体" w:hAnsi="宋体" w:cs="宋体" w:eastAsia="宋体" w:hint="default"/>
                <w:spacing w:val="-65"/>
                <w:sz w:val="18"/>
                <w:szCs w:val="18"/>
              </w:rPr>
              <w:t> </w:t>
            </w:r>
            <w:r>
              <w:rPr>
                <w:rFonts w:ascii="宋体" w:hAnsi="宋体" w:cs="宋体" w:eastAsia="宋体" w:hint="default"/>
                <w:spacing w:val="7"/>
                <w:sz w:val="18"/>
                <w:szCs w:val="18"/>
              </w:rPr>
              <w:t>31</w:t>
            </w:r>
            <w:r>
              <w:rPr>
                <w:rFonts w:ascii="宋体" w:hAnsi="宋体" w:cs="宋体" w:eastAsia="宋体" w:hint="default"/>
                <w:spacing w:val="7"/>
                <w:sz w:val="18"/>
                <w:szCs w:val="18"/>
              </w:rPr>
              <w:t>日可</w:t>
            </w:r>
            <w:r>
              <w:rPr>
                <w:rFonts w:ascii="宋体" w:hAnsi="宋体" w:cs="宋体" w:eastAsia="宋体" w:hint="default"/>
                <w:spacing w:val="-67"/>
                <w:sz w:val="18"/>
                <w:szCs w:val="18"/>
              </w:rPr>
              <w:t> </w:t>
            </w:r>
            <w:r>
              <w:rPr>
                <w:rFonts w:ascii="宋体" w:hAnsi="宋体" w:cs="宋体" w:eastAsia="宋体" w:hint="default"/>
                <w:spacing w:val="14"/>
                <w:sz w:val="18"/>
                <w:szCs w:val="18"/>
              </w:rPr>
              <w:t>供公司股东分配的利润</w:t>
            </w:r>
          </w:p>
          <w:p>
            <w:pPr>
              <w:pStyle w:val="TableParagraph"/>
              <w:spacing w:line="316" w:lineRule="auto" w:before="19"/>
              <w:ind w:left="426" w:right="11" w:hanging="420"/>
              <w:jc w:val="left"/>
              <w:rPr>
                <w:rFonts w:ascii="宋体" w:hAnsi="宋体" w:cs="宋体" w:eastAsia="宋体" w:hint="default"/>
                <w:sz w:val="18"/>
                <w:szCs w:val="18"/>
              </w:rPr>
            </w:pPr>
            <w:r>
              <w:rPr>
                <w:rFonts w:ascii="宋体" w:hAnsi="宋体" w:cs="宋体" w:eastAsia="宋体" w:hint="default"/>
                <w:sz w:val="18"/>
                <w:szCs w:val="18"/>
              </w:rPr>
              <w:t>-172,607,606.14</w:t>
            </w:r>
            <w:r>
              <w:rPr>
                <w:rFonts w:ascii="宋体" w:hAnsi="宋体" w:cs="宋体" w:eastAsia="宋体" w:hint="default"/>
                <w:sz w:val="18"/>
                <w:szCs w:val="18"/>
              </w:rPr>
              <w:t>元，公司资本公积金余额</w:t>
            </w:r>
            <w:r>
              <w:rPr>
                <w:rFonts w:ascii="宋体" w:hAnsi="宋体" w:cs="宋体" w:eastAsia="宋体" w:hint="default"/>
                <w:sz w:val="18"/>
                <w:szCs w:val="18"/>
              </w:rPr>
              <w:t>759,666,154.68</w:t>
            </w:r>
            <w:r>
              <w:rPr>
                <w:rFonts w:ascii="宋体" w:hAnsi="宋体" w:cs="宋体" w:eastAsia="宋体" w:hint="default"/>
                <w:sz w:val="18"/>
                <w:szCs w:val="18"/>
              </w:rPr>
              <w:t>元。 根据《公司法》、《公司章程》的有关规定，为增强公司抵御风险的能力，实现公司持续、稳定、健康发展，更好地</w:t>
            </w:r>
          </w:p>
          <w:p>
            <w:pPr>
              <w:pStyle w:val="TableParagraph"/>
              <w:spacing w:line="240" w:lineRule="auto" w:before="19"/>
              <w:ind w:left="6" w:right="0"/>
              <w:jc w:val="left"/>
              <w:rPr>
                <w:rFonts w:ascii="宋体" w:hAnsi="宋体" w:cs="宋体" w:eastAsia="宋体" w:hint="default"/>
                <w:sz w:val="18"/>
                <w:szCs w:val="18"/>
              </w:rPr>
            </w:pPr>
            <w:r>
              <w:rPr>
                <w:rFonts w:ascii="宋体" w:hAnsi="宋体" w:cs="宋体" w:eastAsia="宋体" w:hint="default"/>
                <w:sz w:val="18"/>
                <w:szCs w:val="18"/>
              </w:rPr>
              <w:t>维护全体股东的长远利益，从公司实际出发，公司董事会提议</w:t>
            </w:r>
            <w:r>
              <w:rPr>
                <w:rFonts w:ascii="宋体" w:hAnsi="宋体" w:cs="宋体" w:eastAsia="宋体" w:hint="default"/>
                <w:sz w:val="18"/>
                <w:szCs w:val="18"/>
              </w:rPr>
              <w:t>2018</w:t>
            </w:r>
            <w:r>
              <w:rPr>
                <w:rFonts w:ascii="宋体" w:hAnsi="宋体" w:cs="宋体" w:eastAsia="宋体" w:hint="default"/>
                <w:sz w:val="18"/>
                <w:szCs w:val="18"/>
              </w:rPr>
              <w:t>年度不进行利润分配，也不进行资本公积金转增股本。</w:t>
            </w:r>
          </w:p>
        </w:tc>
      </w:tr>
    </w:tbl>
    <w:p>
      <w:pPr>
        <w:pStyle w:val="BodyText"/>
        <w:spacing w:line="240" w:lineRule="auto" w:before="63"/>
        <w:ind w:right="1122"/>
        <w:jc w:val="left"/>
      </w:pPr>
      <w:r>
        <w:rPr/>
        <w:t>公司近</w:t>
      </w:r>
      <w:r>
        <w:rPr>
          <w:spacing w:val="-52"/>
        </w:rPr>
        <w:t> </w:t>
      </w:r>
      <w:r>
        <w:rPr>
          <w:rFonts w:ascii="宋体" w:hAnsi="宋体" w:cs="宋体" w:eastAsia="宋体" w:hint="default"/>
        </w:rPr>
        <w:t>3</w:t>
      </w:r>
      <w:r>
        <w:rPr>
          <w:rFonts w:ascii="宋体" w:hAnsi="宋体" w:cs="宋体" w:eastAsia="宋体" w:hint="default"/>
          <w:spacing w:val="-52"/>
        </w:rPr>
        <w:t> </w:t>
      </w:r>
      <w:r>
        <w:rPr>
          <w:spacing w:val="-2"/>
        </w:rPr>
        <w:t>年</w:t>
      </w:r>
      <w:r>
        <w:rPr/>
        <w:t>（包括本报告期）的普通股股利分配方案（预案</w:t>
      </w:r>
      <w:r>
        <w:rPr>
          <w:spacing w:val="-105"/>
        </w:rPr>
        <w:t>）</w:t>
      </w:r>
      <w:r>
        <w:rPr/>
        <w:t>、资本</w:t>
      </w:r>
      <w:r>
        <w:rPr>
          <w:spacing w:val="-2"/>
        </w:rPr>
        <w:t>公</w:t>
      </w:r>
      <w:r>
        <w:rPr/>
        <w:t>积金转增股本方案（预案）情况</w:t>
      </w:r>
    </w:p>
    <w:p>
      <w:pPr>
        <w:spacing w:line="240" w:lineRule="auto" w:before="10"/>
        <w:rPr>
          <w:rFonts w:ascii="宋体" w:hAnsi="宋体" w:cs="宋体" w:eastAsia="宋体" w:hint="default"/>
          <w:sz w:val="14"/>
          <w:szCs w:val="14"/>
        </w:rPr>
      </w:pPr>
    </w:p>
    <w:p>
      <w:pPr>
        <w:pStyle w:val="BodyText"/>
        <w:spacing w:line="408" w:lineRule="auto" w:before="0"/>
        <w:ind w:right="1122" w:firstLine="420"/>
        <w:jc w:val="left"/>
      </w:pPr>
      <w:r>
        <w:rPr>
          <w:spacing w:val="-1"/>
        </w:rPr>
        <w:t>①</w:t>
      </w:r>
      <w:r>
        <w:rPr>
          <w:rFonts w:ascii="宋体" w:hAnsi="宋体" w:cs="宋体" w:eastAsia="宋体" w:hint="default"/>
          <w:spacing w:val="-1"/>
        </w:rPr>
        <w:t>2018</w:t>
      </w:r>
      <w:r>
        <w:rPr>
          <w:spacing w:val="-1"/>
        </w:rPr>
        <w:t>年度利润分配预案：</w:t>
      </w:r>
      <w:r>
        <w:rPr>
          <w:rFonts w:ascii="宋体" w:hAnsi="宋体" w:cs="宋体" w:eastAsia="宋体" w:hint="default"/>
          <w:spacing w:val="-1"/>
        </w:rPr>
        <w:t>2018</w:t>
      </w:r>
      <w:r>
        <w:rPr>
          <w:spacing w:val="-1"/>
        </w:rPr>
        <w:t>年度不进行利润分配，也不进行资本公积金转增股本，公司未分配利</w:t>
      </w:r>
      <w:r>
        <w:rPr/>
        <w:t> 润用于补充公司流动资金。</w:t>
      </w:r>
    </w:p>
    <w:p>
      <w:pPr>
        <w:pStyle w:val="BodyText"/>
        <w:spacing w:line="408" w:lineRule="auto"/>
        <w:ind w:right="1122" w:firstLine="420"/>
        <w:jc w:val="left"/>
      </w:pPr>
      <w:r>
        <w:rPr>
          <w:spacing w:val="-1"/>
        </w:rPr>
        <w:t>②</w:t>
      </w:r>
      <w:r>
        <w:rPr>
          <w:rFonts w:ascii="宋体" w:hAnsi="宋体" w:cs="宋体" w:eastAsia="宋体" w:hint="default"/>
          <w:spacing w:val="-1"/>
        </w:rPr>
        <w:t>2017</w:t>
      </w:r>
      <w:r>
        <w:rPr>
          <w:spacing w:val="-1"/>
        </w:rPr>
        <w:t>年度利润分配方案：</w:t>
      </w:r>
      <w:r>
        <w:rPr>
          <w:rFonts w:ascii="宋体" w:hAnsi="宋体" w:cs="宋体" w:eastAsia="宋体" w:hint="default"/>
          <w:spacing w:val="-1"/>
        </w:rPr>
        <w:t>2017</w:t>
      </w:r>
      <w:r>
        <w:rPr>
          <w:spacing w:val="-1"/>
        </w:rPr>
        <w:t>年度不进行利润分配，也不进行资本公积金转增股本，公司未分配利</w:t>
      </w:r>
      <w:r>
        <w:rPr/>
        <w:t> 润用于补充公司流动资金。</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22" w:firstLine="420"/>
        <w:jc w:val="left"/>
      </w:pPr>
      <w:r>
        <w:rPr/>
        <w:t>③</w:t>
      </w:r>
      <w:r>
        <w:rPr>
          <w:rFonts w:ascii="宋体" w:hAnsi="宋体" w:cs="宋体" w:eastAsia="宋体" w:hint="default"/>
        </w:rPr>
        <w:t>2016</w:t>
      </w:r>
      <w:r>
        <w:rPr/>
        <w:t>年度利润分配及资本公积金转增股本方案：以总股本</w:t>
      </w:r>
      <w:r>
        <w:rPr>
          <w:rFonts w:ascii="宋体" w:hAnsi="宋体" w:cs="宋体" w:eastAsia="宋体" w:hint="default"/>
        </w:rPr>
        <w:t>166,121,848</w:t>
      </w:r>
      <w:r>
        <w:rPr/>
        <w:t>股为基数，向全体股东每</w:t>
      </w:r>
      <w:r>
        <w:rPr>
          <w:rFonts w:ascii="宋体" w:hAnsi="宋体" w:cs="宋体" w:eastAsia="宋体" w:hint="default"/>
        </w:rPr>
        <w:t>10</w:t>
      </w:r>
      <w:r>
        <w:rPr>
          <w:rFonts w:ascii="宋体" w:hAnsi="宋体" w:cs="宋体" w:eastAsia="宋体" w:hint="default"/>
          <w:spacing w:val="1"/>
        </w:rPr>
        <w:t> </w:t>
      </w:r>
      <w:r>
        <w:rPr>
          <w:spacing w:val="-1"/>
        </w:rPr>
        <w:t>股派发现金红利</w:t>
      </w:r>
      <w:r>
        <w:rPr>
          <w:rFonts w:ascii="宋体" w:hAnsi="宋体" w:cs="宋体" w:eastAsia="宋体" w:hint="default"/>
          <w:spacing w:val="-1"/>
        </w:rPr>
        <w:t>0.30</w:t>
      </w:r>
      <w:r>
        <w:rPr>
          <w:spacing w:val="-1"/>
        </w:rPr>
        <w:t>元（含税），共计派发现金红利</w:t>
      </w:r>
      <w:r>
        <w:rPr>
          <w:rFonts w:ascii="宋体" w:hAnsi="宋体" w:cs="宋体" w:eastAsia="宋体" w:hint="default"/>
          <w:spacing w:val="-1"/>
        </w:rPr>
        <w:t>4,983,655.44</w:t>
      </w:r>
      <w:r>
        <w:rPr>
          <w:spacing w:val="-1"/>
        </w:rPr>
        <w:t>元（含税）；同时以资本公积金转增股</w:t>
      </w:r>
      <w:r>
        <w:rPr>
          <w:spacing w:val="-77"/>
        </w:rPr>
        <w:t> </w:t>
      </w:r>
      <w:r>
        <w:rPr>
          <w:spacing w:val="-77"/>
        </w:rPr>
      </w:r>
      <w:r>
        <w:rPr/>
        <w:t>本，向全体股东每</w:t>
      </w:r>
      <w:r>
        <w:rPr>
          <w:rFonts w:ascii="宋体" w:hAnsi="宋体" w:cs="宋体" w:eastAsia="宋体" w:hint="default"/>
        </w:rPr>
        <w:t>10</w:t>
      </w:r>
      <w:r>
        <w:rPr/>
        <w:t>股转增</w:t>
      </w:r>
      <w:r>
        <w:rPr>
          <w:rFonts w:ascii="宋体" w:hAnsi="宋体" w:cs="宋体" w:eastAsia="宋体" w:hint="default"/>
        </w:rPr>
        <w:t>15</w:t>
      </w:r>
      <w:r>
        <w:rPr/>
        <w:t>股，共计转增</w:t>
      </w:r>
      <w:r>
        <w:rPr>
          <w:rFonts w:ascii="宋体" w:hAnsi="宋体" w:cs="宋体" w:eastAsia="宋体" w:hint="default"/>
        </w:rPr>
        <w:t>249,182,772</w:t>
      </w:r>
      <w:r>
        <w:rPr/>
        <w:t>股。</w:t>
      </w:r>
      <w:r>
        <w:rPr>
          <w:spacing w:val="-2"/>
        </w:rPr>
        <w:t> </w:t>
      </w:r>
      <w:r>
        <w:rPr/>
        <w:t>公司近三年（包括本报告期）普通股现金分红情况表</w:t>
      </w:r>
    </w:p>
    <w:p>
      <w:pPr>
        <w:spacing w:before="7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995"/>
        <w:gridCol w:w="1274"/>
        <w:gridCol w:w="1712"/>
        <w:gridCol w:w="972"/>
        <w:gridCol w:w="1028"/>
        <w:gridCol w:w="1187"/>
        <w:gridCol w:w="1217"/>
        <w:gridCol w:w="1178"/>
      </w:tblGrid>
      <w:tr>
        <w:trPr>
          <w:trHeight w:val="171" w:hRule="exact"/>
        </w:trPr>
        <w:tc>
          <w:tcPr>
            <w:tcW w:w="995" w:type="dxa"/>
            <w:vMerge w:val="restart"/>
            <w:tcBorders>
              <w:top w:val="single" w:sz="12" w:space="0" w:color="000000"/>
              <w:left w:val="single" w:sz="12" w:space="0" w:color="000000"/>
              <w:right w:val="single" w:sz="6" w:space="0" w:color="000000"/>
            </w:tcBorders>
            <w:shd w:val="clear" w:color="auto" w:fill="D2D2D2"/>
          </w:tcPr>
          <w:p>
            <w:pPr/>
          </w:p>
        </w:tc>
        <w:tc>
          <w:tcPr>
            <w:tcW w:w="1274" w:type="dxa"/>
            <w:vMerge w:val="restart"/>
            <w:tcBorders>
              <w:top w:val="single" w:sz="12" w:space="0" w:color="000000"/>
              <w:left w:val="single" w:sz="6" w:space="0" w:color="000000"/>
              <w:right w:val="single" w:sz="6" w:space="0" w:color="000000"/>
            </w:tcBorders>
            <w:shd w:val="clear" w:color="auto" w:fill="D2D2D2"/>
          </w:tcPr>
          <w:p>
            <w:pPr/>
          </w:p>
        </w:tc>
        <w:tc>
          <w:tcPr>
            <w:tcW w:w="1712" w:type="dxa"/>
            <w:vMerge w:val="restart"/>
            <w:tcBorders>
              <w:top w:val="single" w:sz="12" w:space="0" w:color="000000"/>
              <w:left w:val="single" w:sz="6" w:space="0" w:color="000000"/>
              <w:right w:val="single" w:sz="6" w:space="0" w:color="000000"/>
            </w:tcBorders>
            <w:shd w:val="clear" w:color="auto" w:fill="D2D2D2"/>
          </w:tcPr>
          <w:p>
            <w:pPr/>
          </w:p>
        </w:tc>
        <w:tc>
          <w:tcPr>
            <w:tcW w:w="972"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28" w:right="27"/>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028" w:type="dxa"/>
            <w:vMerge w:val="restart"/>
            <w:tcBorders>
              <w:top w:val="single" w:sz="12" w:space="0" w:color="000000"/>
              <w:left w:val="single" w:sz="6" w:space="0" w:color="000000"/>
              <w:right w:val="single" w:sz="6" w:space="0" w:color="000000"/>
            </w:tcBorders>
            <w:shd w:val="clear" w:color="auto" w:fill="D2D2D2"/>
          </w:tcPr>
          <w:p>
            <w:pPr/>
          </w:p>
        </w:tc>
        <w:tc>
          <w:tcPr>
            <w:tcW w:w="1187" w:type="dxa"/>
            <w:tcBorders>
              <w:top w:val="single" w:sz="12" w:space="0" w:color="000000"/>
              <w:left w:val="single" w:sz="6" w:space="0" w:color="000000"/>
              <w:bottom w:val="nil" w:sz="6" w:space="0" w:color="auto"/>
              <w:right w:val="single" w:sz="6" w:space="0" w:color="000000"/>
            </w:tcBorders>
            <w:shd w:val="clear" w:color="auto" w:fill="D2D2D2"/>
          </w:tcPr>
          <w:p>
            <w:pPr/>
          </w:p>
        </w:tc>
        <w:tc>
          <w:tcPr>
            <w:tcW w:w="1217" w:type="dxa"/>
            <w:vMerge w:val="restart"/>
            <w:tcBorders>
              <w:top w:val="single" w:sz="12" w:space="0" w:color="000000"/>
              <w:left w:val="single" w:sz="6" w:space="0" w:color="000000"/>
              <w:right w:val="single" w:sz="6" w:space="0" w:color="000000"/>
            </w:tcBorders>
            <w:shd w:val="clear" w:color="auto" w:fill="D2D2D2"/>
          </w:tcPr>
          <w:p>
            <w:pPr/>
          </w:p>
        </w:tc>
        <w:tc>
          <w:tcPr>
            <w:tcW w:w="1178"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0" w:right="35"/>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2" w:hRule="exact"/>
        </w:trPr>
        <w:tc>
          <w:tcPr>
            <w:tcW w:w="995" w:type="dxa"/>
            <w:vMerge/>
            <w:tcBorders>
              <w:left w:val="single" w:sz="12"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712" w:type="dxa"/>
            <w:vMerge/>
            <w:tcBorders>
              <w:left w:val="single" w:sz="6" w:space="0" w:color="000000"/>
              <w:right w:val="single" w:sz="6" w:space="0" w:color="000000"/>
            </w:tcBorders>
            <w:shd w:val="clear" w:color="auto" w:fill="D2D2D2"/>
          </w:tcPr>
          <w:p>
            <w:pPr/>
          </w:p>
        </w:tc>
        <w:tc>
          <w:tcPr>
            <w:tcW w:w="972" w:type="dxa"/>
            <w:vMerge/>
            <w:tcBorders>
              <w:left w:val="single" w:sz="6" w:space="0" w:color="000000"/>
              <w:right w:val="single" w:sz="6" w:space="0" w:color="000000"/>
            </w:tcBorders>
            <w:shd w:val="clear" w:color="auto" w:fill="D2D2D2"/>
          </w:tcPr>
          <w:p>
            <w:pPr/>
          </w:p>
        </w:tc>
        <w:tc>
          <w:tcPr>
            <w:tcW w:w="1028" w:type="dxa"/>
            <w:vMerge/>
            <w:tcBorders>
              <w:left w:val="single" w:sz="6" w:space="0" w:color="000000"/>
              <w:bottom w:val="nil" w:sz="6" w:space="0" w:color="auto"/>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51"/>
              <w:ind w:left="51" w:right="38"/>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7" w:type="dxa"/>
            <w:vMerge/>
            <w:tcBorders>
              <w:left w:val="single" w:sz="6" w:space="0" w:color="000000"/>
              <w:right w:val="single" w:sz="6" w:space="0" w:color="000000"/>
            </w:tcBorders>
            <w:shd w:val="clear" w:color="auto" w:fill="D2D2D2"/>
          </w:tcPr>
          <w:p>
            <w:pPr/>
          </w:p>
        </w:tc>
        <w:tc>
          <w:tcPr>
            <w:tcW w:w="1178" w:type="dxa"/>
            <w:vMerge/>
            <w:tcBorders>
              <w:left w:val="single" w:sz="6" w:space="0" w:color="000000"/>
              <w:right w:val="single" w:sz="12" w:space="0" w:color="000000"/>
            </w:tcBorders>
            <w:shd w:val="clear" w:color="auto" w:fill="D2D2D2"/>
          </w:tcPr>
          <w:p>
            <w:pPr/>
          </w:p>
        </w:tc>
      </w:tr>
      <w:tr>
        <w:trPr>
          <w:trHeight w:val="156" w:hRule="exact"/>
        </w:trPr>
        <w:tc>
          <w:tcPr>
            <w:tcW w:w="995" w:type="dxa"/>
            <w:vMerge/>
            <w:tcBorders>
              <w:left w:val="single" w:sz="12"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712" w:type="dxa"/>
            <w:vMerge/>
            <w:tcBorders>
              <w:left w:val="single" w:sz="6" w:space="0" w:color="000000"/>
              <w:bottom w:val="nil" w:sz="6" w:space="0" w:color="auto"/>
              <w:right w:val="single" w:sz="6" w:space="0" w:color="000000"/>
            </w:tcBorders>
            <w:shd w:val="clear" w:color="auto" w:fill="D2D2D2"/>
          </w:tcPr>
          <w:p>
            <w:pPr/>
          </w:p>
        </w:tc>
        <w:tc>
          <w:tcPr>
            <w:tcW w:w="972" w:type="dxa"/>
            <w:vMerge/>
            <w:tcBorders>
              <w:left w:val="single" w:sz="6" w:space="0" w:color="000000"/>
              <w:right w:val="single" w:sz="6" w:space="0" w:color="000000"/>
            </w:tcBorders>
            <w:shd w:val="clear" w:color="auto" w:fill="D2D2D2"/>
          </w:tcPr>
          <w:p>
            <w:pPr/>
          </w:p>
        </w:tc>
        <w:tc>
          <w:tcPr>
            <w:tcW w:w="102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61"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61" w:right="49"/>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87"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bottom w:val="nil" w:sz="6" w:space="0" w:color="auto"/>
              <w:right w:val="single" w:sz="6" w:space="0" w:color="000000"/>
            </w:tcBorders>
            <w:shd w:val="clear" w:color="auto" w:fill="D2D2D2"/>
          </w:tcPr>
          <w:p>
            <w:pPr/>
          </w:p>
        </w:tc>
        <w:tc>
          <w:tcPr>
            <w:tcW w:w="1178" w:type="dxa"/>
            <w:vMerge/>
            <w:tcBorders>
              <w:left w:val="single" w:sz="6" w:space="0" w:color="000000"/>
              <w:right w:val="single" w:sz="12" w:space="0" w:color="000000"/>
            </w:tcBorders>
            <w:shd w:val="clear" w:color="auto" w:fill="D2D2D2"/>
          </w:tcPr>
          <w:p>
            <w:pPr/>
          </w:p>
        </w:tc>
      </w:tr>
      <w:tr>
        <w:trPr>
          <w:trHeight w:val="156" w:hRule="exact"/>
        </w:trPr>
        <w:tc>
          <w:tcPr>
            <w:tcW w:w="995" w:type="dxa"/>
            <w:vMerge/>
            <w:tcBorders>
              <w:left w:val="single" w:sz="12" w:space="0" w:color="000000"/>
              <w:right w:val="single" w:sz="6" w:space="0" w:color="000000"/>
            </w:tcBorders>
            <w:shd w:val="clear" w:color="auto" w:fill="D2D2D2"/>
          </w:tcPr>
          <w:p>
            <w:pPr/>
          </w:p>
        </w:tc>
        <w:tc>
          <w:tcPr>
            <w:tcW w:w="1274" w:type="dxa"/>
            <w:vMerge/>
            <w:tcBorders>
              <w:left w:val="single" w:sz="6" w:space="0" w:color="000000"/>
              <w:bottom w:val="nil" w:sz="6" w:space="0" w:color="auto"/>
              <w:right w:val="single" w:sz="6" w:space="0" w:color="000000"/>
            </w:tcBorders>
            <w:shd w:val="clear" w:color="auto" w:fill="D2D2D2"/>
          </w:tcPr>
          <w:p>
            <w:pPr/>
          </w:p>
        </w:tc>
        <w:tc>
          <w:tcPr>
            <w:tcW w:w="1712"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51"/>
              <w:ind w:left="32" w:right="43"/>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972" w:type="dxa"/>
            <w:vMerge/>
            <w:tcBorders>
              <w:left w:val="single" w:sz="6" w:space="0" w:color="000000"/>
              <w:right w:val="single" w:sz="6" w:space="0" w:color="000000"/>
            </w:tcBorders>
            <w:shd w:val="clear" w:color="auto" w:fill="D2D2D2"/>
          </w:tcPr>
          <w:p>
            <w:pPr/>
          </w:p>
        </w:tc>
        <w:tc>
          <w:tcPr>
            <w:tcW w:w="1028"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1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0" w:right="149"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8" w:type="dxa"/>
            <w:vMerge/>
            <w:tcBorders>
              <w:left w:val="single" w:sz="6" w:space="0" w:color="000000"/>
              <w:right w:val="single" w:sz="12" w:space="0" w:color="000000"/>
            </w:tcBorders>
            <w:shd w:val="clear" w:color="auto" w:fill="D2D2D2"/>
          </w:tcPr>
          <w:p>
            <w:pPr/>
          </w:p>
        </w:tc>
      </w:tr>
      <w:tr>
        <w:trPr>
          <w:trHeight w:val="156" w:hRule="exact"/>
        </w:trPr>
        <w:tc>
          <w:tcPr>
            <w:tcW w:w="995" w:type="dxa"/>
            <w:vMerge/>
            <w:tcBorders>
              <w:left w:val="single" w:sz="12" w:space="0" w:color="000000"/>
              <w:bottom w:val="nil" w:sz="6" w:space="0" w:color="auto"/>
              <w:right w:val="single" w:sz="6" w:space="0" w:color="000000"/>
            </w:tcBorders>
            <w:shd w:val="clear" w:color="auto" w:fill="D2D2D2"/>
          </w:tcPr>
          <w:p>
            <w:pPr/>
          </w:p>
        </w:tc>
        <w:tc>
          <w:tcPr>
            <w:tcW w:w="127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712" w:type="dxa"/>
            <w:vMerge/>
            <w:tcBorders>
              <w:left w:val="single" w:sz="6" w:space="0" w:color="000000"/>
              <w:right w:val="single" w:sz="6" w:space="0" w:color="000000"/>
            </w:tcBorders>
            <w:shd w:val="clear" w:color="auto" w:fill="D2D2D2"/>
          </w:tcPr>
          <w:p>
            <w:pPr/>
          </w:p>
        </w:tc>
        <w:tc>
          <w:tcPr>
            <w:tcW w:w="972" w:type="dxa"/>
            <w:vMerge/>
            <w:tcBorders>
              <w:left w:val="single" w:sz="6" w:space="0" w:color="000000"/>
              <w:right w:val="single" w:sz="6" w:space="0" w:color="000000"/>
            </w:tcBorders>
            <w:shd w:val="clear" w:color="auto" w:fill="D2D2D2"/>
          </w:tcPr>
          <w:p>
            <w:pPr/>
          </w:p>
        </w:tc>
        <w:tc>
          <w:tcPr>
            <w:tcW w:w="1028"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8" w:type="dxa"/>
            <w:vMerge/>
            <w:tcBorders>
              <w:left w:val="single" w:sz="6" w:space="0" w:color="000000"/>
              <w:right w:val="single" w:sz="12" w:space="0" w:color="000000"/>
            </w:tcBorders>
            <w:shd w:val="clear" w:color="auto" w:fill="D2D2D2"/>
          </w:tcPr>
          <w:p>
            <w:pPr/>
          </w:p>
        </w:tc>
      </w:tr>
      <w:tr>
        <w:trPr>
          <w:trHeight w:val="392" w:hRule="exact"/>
        </w:trPr>
        <w:tc>
          <w:tcPr>
            <w:tcW w:w="99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分红年度</w:t>
            </w:r>
          </w:p>
        </w:tc>
        <w:tc>
          <w:tcPr>
            <w:tcW w:w="1274" w:type="dxa"/>
            <w:vMerge/>
            <w:tcBorders>
              <w:left w:val="single" w:sz="6" w:space="0" w:color="000000"/>
              <w:right w:val="single" w:sz="6" w:space="0" w:color="000000"/>
            </w:tcBorders>
            <w:shd w:val="clear" w:color="auto" w:fill="D2D2D2"/>
          </w:tcPr>
          <w:p>
            <w:pPr/>
          </w:p>
        </w:tc>
        <w:tc>
          <w:tcPr>
            <w:tcW w:w="1712" w:type="dxa"/>
            <w:vMerge/>
            <w:tcBorders>
              <w:left w:val="single" w:sz="6" w:space="0" w:color="000000"/>
              <w:right w:val="single" w:sz="6" w:space="0" w:color="000000"/>
            </w:tcBorders>
            <w:shd w:val="clear" w:color="auto" w:fill="D2D2D2"/>
          </w:tcPr>
          <w:p>
            <w:pPr/>
          </w:p>
        </w:tc>
        <w:tc>
          <w:tcPr>
            <w:tcW w:w="972" w:type="dxa"/>
            <w:vMerge/>
            <w:tcBorders>
              <w:left w:val="single" w:sz="6" w:space="0" w:color="000000"/>
              <w:right w:val="single" w:sz="6" w:space="0" w:color="000000"/>
            </w:tcBorders>
            <w:shd w:val="clear" w:color="auto" w:fill="D2D2D2"/>
          </w:tcPr>
          <w:p>
            <w:pPr/>
          </w:p>
        </w:tc>
        <w:tc>
          <w:tcPr>
            <w:tcW w:w="1028"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8" w:type="dxa"/>
            <w:vMerge/>
            <w:tcBorders>
              <w:left w:val="single" w:sz="6" w:space="0" w:color="000000"/>
              <w:right w:val="single" w:sz="12" w:space="0" w:color="000000"/>
            </w:tcBorders>
            <w:shd w:val="clear" w:color="auto" w:fill="D2D2D2"/>
          </w:tcPr>
          <w:p>
            <w:pPr/>
          </w:p>
        </w:tc>
      </w:tr>
      <w:tr>
        <w:trPr>
          <w:trHeight w:val="156" w:hRule="exact"/>
        </w:trPr>
        <w:tc>
          <w:tcPr>
            <w:tcW w:w="995" w:type="dxa"/>
            <w:vMerge w:val="restart"/>
            <w:tcBorders>
              <w:top w:val="nil" w:sz="6" w:space="0" w:color="auto"/>
              <w:left w:val="single" w:sz="12" w:space="0" w:color="000000"/>
              <w:right w:val="single" w:sz="6" w:space="0" w:color="000000"/>
            </w:tcBorders>
            <w:shd w:val="clear" w:color="auto" w:fill="D2D2D2"/>
          </w:tcPr>
          <w:p>
            <w:pPr/>
          </w:p>
        </w:tc>
        <w:tc>
          <w:tcPr>
            <w:tcW w:w="1274" w:type="dxa"/>
            <w:vMerge/>
            <w:tcBorders>
              <w:left w:val="single" w:sz="6" w:space="0" w:color="000000"/>
              <w:bottom w:val="nil" w:sz="6" w:space="0" w:color="auto"/>
              <w:right w:val="single" w:sz="6" w:space="0" w:color="000000"/>
            </w:tcBorders>
            <w:shd w:val="clear" w:color="auto" w:fill="D2D2D2"/>
          </w:tcPr>
          <w:p>
            <w:pPr/>
          </w:p>
        </w:tc>
        <w:tc>
          <w:tcPr>
            <w:tcW w:w="1712" w:type="dxa"/>
            <w:vMerge/>
            <w:tcBorders>
              <w:left w:val="single" w:sz="6" w:space="0" w:color="000000"/>
              <w:right w:val="single" w:sz="6" w:space="0" w:color="000000"/>
            </w:tcBorders>
            <w:shd w:val="clear" w:color="auto" w:fill="D2D2D2"/>
          </w:tcPr>
          <w:p>
            <w:pPr/>
          </w:p>
        </w:tc>
        <w:tc>
          <w:tcPr>
            <w:tcW w:w="972" w:type="dxa"/>
            <w:vMerge/>
            <w:tcBorders>
              <w:left w:val="single" w:sz="6" w:space="0" w:color="000000"/>
              <w:right w:val="single" w:sz="6" w:space="0" w:color="000000"/>
            </w:tcBorders>
            <w:shd w:val="clear" w:color="auto" w:fill="D2D2D2"/>
          </w:tcPr>
          <w:p>
            <w:pPr/>
          </w:p>
        </w:tc>
        <w:tc>
          <w:tcPr>
            <w:tcW w:w="1028"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8" w:type="dxa"/>
            <w:vMerge/>
            <w:tcBorders>
              <w:left w:val="single" w:sz="6" w:space="0" w:color="000000"/>
              <w:right w:val="single" w:sz="12" w:space="0" w:color="000000"/>
            </w:tcBorders>
            <w:shd w:val="clear" w:color="auto" w:fill="D2D2D2"/>
          </w:tcPr>
          <w:p>
            <w:pPr/>
          </w:p>
        </w:tc>
      </w:tr>
      <w:tr>
        <w:trPr>
          <w:trHeight w:val="156" w:hRule="exact"/>
        </w:trPr>
        <w:tc>
          <w:tcPr>
            <w:tcW w:w="995" w:type="dxa"/>
            <w:vMerge/>
            <w:tcBorders>
              <w:left w:val="single" w:sz="12" w:space="0" w:color="000000"/>
              <w:right w:val="single" w:sz="6" w:space="0" w:color="000000"/>
            </w:tcBorders>
            <w:shd w:val="clear" w:color="auto" w:fill="D2D2D2"/>
          </w:tcPr>
          <w:p>
            <w:pPr/>
          </w:p>
        </w:tc>
        <w:tc>
          <w:tcPr>
            <w:tcW w:w="1274" w:type="dxa"/>
            <w:vMerge w:val="restart"/>
            <w:tcBorders>
              <w:top w:val="nil" w:sz="6" w:space="0" w:color="auto"/>
              <w:left w:val="single" w:sz="6" w:space="0" w:color="000000"/>
              <w:right w:val="single" w:sz="6" w:space="0" w:color="000000"/>
            </w:tcBorders>
            <w:shd w:val="clear" w:color="auto" w:fill="D2D2D2"/>
          </w:tcPr>
          <w:p>
            <w:pPr/>
          </w:p>
        </w:tc>
        <w:tc>
          <w:tcPr>
            <w:tcW w:w="1712" w:type="dxa"/>
            <w:vMerge/>
            <w:tcBorders>
              <w:left w:val="single" w:sz="6" w:space="0" w:color="000000"/>
              <w:bottom w:val="nil" w:sz="6" w:space="0" w:color="auto"/>
              <w:right w:val="single" w:sz="6" w:space="0" w:color="000000"/>
            </w:tcBorders>
            <w:shd w:val="clear" w:color="auto" w:fill="D2D2D2"/>
          </w:tcPr>
          <w:p>
            <w:pPr/>
          </w:p>
        </w:tc>
        <w:tc>
          <w:tcPr>
            <w:tcW w:w="972" w:type="dxa"/>
            <w:vMerge/>
            <w:tcBorders>
              <w:left w:val="single" w:sz="6" w:space="0" w:color="000000"/>
              <w:right w:val="single" w:sz="6" w:space="0" w:color="000000"/>
            </w:tcBorders>
            <w:shd w:val="clear" w:color="auto" w:fill="D2D2D2"/>
          </w:tcPr>
          <w:p>
            <w:pPr/>
          </w:p>
        </w:tc>
        <w:tc>
          <w:tcPr>
            <w:tcW w:w="1028"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bottom w:val="nil" w:sz="6" w:space="0" w:color="auto"/>
              <w:right w:val="single" w:sz="6" w:space="0" w:color="000000"/>
            </w:tcBorders>
            <w:shd w:val="clear" w:color="auto" w:fill="D2D2D2"/>
          </w:tcPr>
          <w:p>
            <w:pPr/>
          </w:p>
        </w:tc>
        <w:tc>
          <w:tcPr>
            <w:tcW w:w="1178" w:type="dxa"/>
            <w:vMerge/>
            <w:tcBorders>
              <w:left w:val="single" w:sz="6" w:space="0" w:color="000000"/>
              <w:right w:val="single" w:sz="12" w:space="0" w:color="000000"/>
            </w:tcBorders>
            <w:shd w:val="clear" w:color="auto" w:fill="D2D2D2"/>
          </w:tcPr>
          <w:p>
            <w:pPr/>
          </w:p>
        </w:tc>
      </w:tr>
      <w:tr>
        <w:trPr>
          <w:trHeight w:val="156" w:hRule="exact"/>
        </w:trPr>
        <w:tc>
          <w:tcPr>
            <w:tcW w:w="995" w:type="dxa"/>
            <w:vMerge/>
            <w:tcBorders>
              <w:left w:val="single" w:sz="12"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712" w:type="dxa"/>
            <w:vMerge w:val="restart"/>
            <w:tcBorders>
              <w:top w:val="nil" w:sz="6" w:space="0" w:color="auto"/>
              <w:left w:val="single" w:sz="6" w:space="0" w:color="000000"/>
              <w:right w:val="single" w:sz="6" w:space="0" w:color="000000"/>
            </w:tcBorders>
            <w:shd w:val="clear" w:color="auto" w:fill="D2D2D2"/>
          </w:tcPr>
          <w:p>
            <w:pPr/>
          </w:p>
        </w:tc>
        <w:tc>
          <w:tcPr>
            <w:tcW w:w="972" w:type="dxa"/>
            <w:vMerge/>
            <w:tcBorders>
              <w:left w:val="single" w:sz="6" w:space="0" w:color="000000"/>
              <w:right w:val="single" w:sz="6" w:space="0" w:color="000000"/>
            </w:tcBorders>
            <w:shd w:val="clear" w:color="auto" w:fill="D2D2D2"/>
          </w:tcPr>
          <w:p>
            <w:pPr/>
          </w:p>
        </w:tc>
        <w:tc>
          <w:tcPr>
            <w:tcW w:w="1028" w:type="dxa"/>
            <w:vMerge/>
            <w:tcBorders>
              <w:left w:val="single" w:sz="6" w:space="0" w:color="000000"/>
              <w:bottom w:val="nil" w:sz="6" w:space="0" w:color="auto"/>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17" w:type="dxa"/>
            <w:vMerge w:val="restart"/>
            <w:tcBorders>
              <w:top w:val="nil" w:sz="6" w:space="0" w:color="auto"/>
              <w:left w:val="single" w:sz="6" w:space="0" w:color="000000"/>
              <w:right w:val="single" w:sz="6" w:space="0" w:color="000000"/>
            </w:tcBorders>
            <w:shd w:val="clear" w:color="auto" w:fill="D2D2D2"/>
          </w:tcPr>
          <w:p>
            <w:pPr/>
          </w:p>
        </w:tc>
        <w:tc>
          <w:tcPr>
            <w:tcW w:w="1178" w:type="dxa"/>
            <w:vMerge/>
            <w:tcBorders>
              <w:left w:val="single" w:sz="6" w:space="0" w:color="000000"/>
              <w:right w:val="single" w:sz="12" w:space="0" w:color="000000"/>
            </w:tcBorders>
            <w:shd w:val="clear" w:color="auto" w:fill="D2D2D2"/>
          </w:tcPr>
          <w:p>
            <w:pPr/>
          </w:p>
        </w:tc>
      </w:tr>
      <w:tr>
        <w:trPr>
          <w:trHeight w:val="312" w:hRule="exact"/>
        </w:trPr>
        <w:tc>
          <w:tcPr>
            <w:tcW w:w="995" w:type="dxa"/>
            <w:vMerge/>
            <w:tcBorders>
              <w:left w:val="single" w:sz="12"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712" w:type="dxa"/>
            <w:vMerge/>
            <w:tcBorders>
              <w:left w:val="single" w:sz="6" w:space="0" w:color="000000"/>
              <w:right w:val="single" w:sz="6" w:space="0" w:color="000000"/>
            </w:tcBorders>
            <w:shd w:val="clear" w:color="auto" w:fill="D2D2D2"/>
          </w:tcPr>
          <w:p>
            <w:pPr/>
          </w:p>
        </w:tc>
        <w:tc>
          <w:tcPr>
            <w:tcW w:w="972" w:type="dxa"/>
            <w:vMerge/>
            <w:tcBorders>
              <w:left w:val="single" w:sz="6" w:space="0" w:color="000000"/>
              <w:right w:val="single" w:sz="6" w:space="0" w:color="000000"/>
            </w:tcBorders>
            <w:shd w:val="clear" w:color="auto" w:fill="D2D2D2"/>
          </w:tcPr>
          <w:p>
            <w:pPr/>
          </w:p>
        </w:tc>
        <w:tc>
          <w:tcPr>
            <w:tcW w:w="1028" w:type="dxa"/>
            <w:vMerge w:val="restart"/>
            <w:tcBorders>
              <w:top w:val="nil" w:sz="6" w:space="0" w:color="auto"/>
              <w:left w:val="single" w:sz="6" w:space="0" w:color="000000"/>
              <w:right w:val="single" w:sz="6" w:space="0" w:color="000000"/>
            </w:tcBorders>
            <w:shd w:val="clear" w:color="auto" w:fill="D2D2D2"/>
          </w:tcPr>
          <w:p>
            <w:pPr/>
          </w:p>
        </w:tc>
        <w:tc>
          <w:tcPr>
            <w:tcW w:w="1187" w:type="dxa"/>
            <w:vMerge/>
            <w:tcBorders>
              <w:left w:val="single" w:sz="6" w:space="0" w:color="000000"/>
              <w:bottom w:val="nil" w:sz="6" w:space="0" w:color="auto"/>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8" w:type="dxa"/>
            <w:vMerge/>
            <w:tcBorders>
              <w:left w:val="single" w:sz="6" w:space="0" w:color="000000"/>
              <w:right w:val="single" w:sz="12" w:space="0" w:color="000000"/>
            </w:tcBorders>
            <w:shd w:val="clear" w:color="auto" w:fill="D2D2D2"/>
          </w:tcPr>
          <w:p>
            <w:pPr/>
          </w:p>
        </w:tc>
      </w:tr>
      <w:tr>
        <w:trPr>
          <w:trHeight w:val="163" w:hRule="exact"/>
        </w:trPr>
        <w:tc>
          <w:tcPr>
            <w:tcW w:w="995" w:type="dxa"/>
            <w:vMerge/>
            <w:tcBorders>
              <w:left w:val="single" w:sz="12" w:space="0" w:color="000000"/>
              <w:bottom w:val="single" w:sz="6" w:space="0" w:color="000000"/>
              <w:right w:val="single" w:sz="6" w:space="0" w:color="000000"/>
            </w:tcBorders>
            <w:shd w:val="clear" w:color="auto" w:fill="D2D2D2"/>
          </w:tcPr>
          <w:p>
            <w:pPr/>
          </w:p>
        </w:tc>
        <w:tc>
          <w:tcPr>
            <w:tcW w:w="1274" w:type="dxa"/>
            <w:vMerge/>
            <w:tcBorders>
              <w:left w:val="single" w:sz="6" w:space="0" w:color="000000"/>
              <w:bottom w:val="single" w:sz="6" w:space="0" w:color="000000"/>
              <w:right w:val="single" w:sz="6" w:space="0" w:color="000000"/>
            </w:tcBorders>
            <w:shd w:val="clear" w:color="auto" w:fill="D2D2D2"/>
          </w:tcPr>
          <w:p>
            <w:pPr/>
          </w:p>
        </w:tc>
        <w:tc>
          <w:tcPr>
            <w:tcW w:w="1712" w:type="dxa"/>
            <w:vMerge/>
            <w:tcBorders>
              <w:left w:val="single" w:sz="6" w:space="0" w:color="000000"/>
              <w:bottom w:val="single" w:sz="6" w:space="0" w:color="000000"/>
              <w:right w:val="single" w:sz="6" w:space="0" w:color="000000"/>
            </w:tcBorders>
            <w:shd w:val="clear" w:color="auto" w:fill="D2D2D2"/>
          </w:tcPr>
          <w:p>
            <w:pPr/>
          </w:p>
        </w:tc>
        <w:tc>
          <w:tcPr>
            <w:tcW w:w="972" w:type="dxa"/>
            <w:vMerge/>
            <w:tcBorders>
              <w:left w:val="single" w:sz="6" w:space="0" w:color="000000"/>
              <w:bottom w:val="single" w:sz="6" w:space="0" w:color="000000"/>
              <w:right w:val="single" w:sz="6" w:space="0" w:color="000000"/>
            </w:tcBorders>
            <w:shd w:val="clear" w:color="auto" w:fill="D2D2D2"/>
          </w:tcPr>
          <w:p>
            <w:pPr/>
          </w:p>
        </w:tc>
        <w:tc>
          <w:tcPr>
            <w:tcW w:w="1028" w:type="dxa"/>
            <w:vMerge/>
            <w:tcBorders>
              <w:left w:val="single" w:sz="6" w:space="0" w:color="000000"/>
              <w:bottom w:val="single" w:sz="6" w:space="0" w:color="000000"/>
              <w:right w:val="single" w:sz="6" w:space="0" w:color="000000"/>
            </w:tcBorders>
            <w:shd w:val="clear" w:color="auto" w:fill="D2D2D2"/>
          </w:tcPr>
          <w:p>
            <w:pPr/>
          </w:p>
        </w:tc>
        <w:tc>
          <w:tcPr>
            <w:tcW w:w="118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17" w:type="dxa"/>
            <w:vMerge/>
            <w:tcBorders>
              <w:left w:val="single" w:sz="6" w:space="0" w:color="000000"/>
              <w:bottom w:val="single" w:sz="6" w:space="0" w:color="000000"/>
              <w:right w:val="single" w:sz="6" w:space="0" w:color="000000"/>
            </w:tcBorders>
            <w:shd w:val="clear" w:color="auto" w:fill="D2D2D2"/>
          </w:tcPr>
          <w:p>
            <w:pPr/>
          </w:p>
        </w:tc>
        <w:tc>
          <w:tcPr>
            <w:tcW w:w="1178"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0"/>
              <w:jc w:val="right"/>
              <w:rPr>
                <w:rFonts w:ascii="宋体" w:hAnsi="宋体" w:cs="宋体" w:eastAsia="宋体" w:hint="default"/>
                <w:sz w:val="18"/>
                <w:szCs w:val="18"/>
              </w:rPr>
            </w:pPr>
            <w:r>
              <w:rPr>
                <w:rFonts w:ascii="宋体"/>
                <w:sz w:val="18"/>
              </w:rPr>
              <w:t>23,403,488.93</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0.00%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0.00</w:t>
            </w:r>
          </w:p>
        </w:tc>
        <w:tc>
          <w:tcPr>
            <w:tcW w:w="11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5"/>
              <w:jc w:val="right"/>
              <w:rPr>
                <w:rFonts w:ascii="宋体" w:hAnsi="宋体" w:cs="宋体" w:eastAsia="宋体" w:hint="default"/>
                <w:sz w:val="18"/>
                <w:szCs w:val="18"/>
              </w:rPr>
            </w:pPr>
            <w:r>
              <w:rPr>
                <w:rFonts w:ascii="宋体"/>
                <w:sz w:val="18"/>
              </w:rPr>
              <w:t>0.00%</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0"/>
              <w:jc w:val="right"/>
              <w:rPr>
                <w:rFonts w:ascii="宋体" w:hAnsi="宋体" w:cs="宋体" w:eastAsia="宋体" w:hint="default"/>
                <w:sz w:val="18"/>
                <w:szCs w:val="18"/>
              </w:rPr>
            </w:pPr>
            <w:r>
              <w:rPr>
                <w:rFonts w:ascii="宋体"/>
                <w:sz w:val="18"/>
              </w:rPr>
              <w:t>-392,404,175.23</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0.00%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0.00</w:t>
            </w:r>
          </w:p>
        </w:tc>
        <w:tc>
          <w:tcPr>
            <w:tcW w:w="11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5"/>
              <w:jc w:val="right"/>
              <w:rPr>
                <w:rFonts w:ascii="宋体" w:hAnsi="宋体" w:cs="宋体" w:eastAsia="宋体" w:hint="default"/>
                <w:sz w:val="18"/>
                <w:szCs w:val="18"/>
              </w:rPr>
            </w:pPr>
            <w:r>
              <w:rPr>
                <w:rFonts w:ascii="宋体"/>
                <w:sz w:val="18"/>
              </w:rPr>
              <w:t>0.00%</w:t>
            </w:r>
          </w:p>
        </w:tc>
      </w:tr>
      <w:tr>
        <w:trPr>
          <w:trHeight w:val="415" w:hRule="exact"/>
        </w:trPr>
        <w:tc>
          <w:tcPr>
            <w:tcW w:w="9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4"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4,983,655.44</w:t>
            </w:r>
          </w:p>
        </w:tc>
        <w:tc>
          <w:tcPr>
            <w:tcW w:w="17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30"/>
              <w:jc w:val="right"/>
              <w:rPr>
                <w:rFonts w:ascii="宋体" w:hAnsi="宋体" w:cs="宋体" w:eastAsia="宋体" w:hint="default"/>
                <w:sz w:val="18"/>
                <w:szCs w:val="18"/>
              </w:rPr>
            </w:pPr>
            <w:r>
              <w:rPr>
                <w:rFonts w:ascii="宋体"/>
                <w:sz w:val="18"/>
              </w:rPr>
              <w:t>63,786,713.83</w:t>
            </w:r>
          </w:p>
        </w:tc>
        <w:tc>
          <w:tcPr>
            <w:tcW w:w="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7.81%</w:t>
            </w:r>
          </w:p>
        </w:tc>
        <w:tc>
          <w:tcPr>
            <w:tcW w:w="10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1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0.00%</w:t>
            </w:r>
          </w:p>
        </w:tc>
        <w:tc>
          <w:tcPr>
            <w:tcW w:w="12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0.00</w:t>
            </w:r>
          </w:p>
        </w:tc>
        <w:tc>
          <w:tcPr>
            <w:tcW w:w="11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5"/>
              <w:jc w:val="right"/>
              <w:rPr>
                <w:rFonts w:ascii="宋体" w:hAnsi="宋体" w:cs="宋体" w:eastAsia="宋体" w:hint="default"/>
                <w:sz w:val="18"/>
                <w:szCs w:val="18"/>
              </w:rPr>
            </w:pPr>
            <w:r>
              <w:rPr>
                <w:rFonts w:ascii="宋体"/>
                <w:sz w:val="18"/>
              </w:rPr>
              <w:t>0.00%</w:t>
            </w:r>
          </w:p>
        </w:tc>
      </w:tr>
    </w:tbl>
    <w:p>
      <w:pPr>
        <w:pStyle w:val="BodyText"/>
        <w:spacing w:line="240" w:lineRule="auto" w:before="63"/>
        <w:ind w:right="1122"/>
        <w:jc w:val="left"/>
      </w:pPr>
      <w:r>
        <w:rPr/>
        <w:t>公司报告期内盈利且母公司可供普通股股东分配利润为正但未提出普通股现金红利分配预案</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适用 √</w:t>
      </w:r>
      <w:r>
        <w:rPr>
          <w:spacing w:val="-1"/>
        </w:rPr>
        <w:t> </w:t>
      </w:r>
      <w:r>
        <w:rPr/>
        <w:t>不适用</w:t>
      </w:r>
    </w:p>
    <w:p>
      <w:pPr>
        <w:pStyle w:val="Heading4"/>
        <w:spacing w:line="381" w:lineRule="auto" w:before="170"/>
        <w:ind w:right="1122"/>
        <w:jc w:val="left"/>
        <w:rPr>
          <w:b w:val="0"/>
          <w:bCs w:val="0"/>
        </w:rPr>
      </w:pPr>
      <w:bookmarkStart w:name="二、承诺事项履行情况" w:id="65"/>
      <w:bookmarkEnd w:id="65"/>
      <w:r>
        <w:rPr>
          <w:b w:val="0"/>
          <w:bCs w:val="0"/>
        </w:rPr>
      </w:r>
      <w:r>
        <w:rPr>
          <w:sz w:val="24"/>
          <w:szCs w:val="24"/>
        </w:rPr>
        <w:t>二、承诺事项履行情况</w:t>
      </w:r>
      <w:r>
        <w:rPr>
          <w:w w:val="99"/>
          <w:sz w:val="24"/>
          <w:szCs w:val="24"/>
        </w:rPr>
        <w:t> </w:t>
      </w:r>
      <w:bookmarkStart w:name="1、公司实际控制人、股东、关联方、收购人以及公司等承诺相关方在报告期内履行完毕及" w:id="66"/>
      <w:bookmarkEnd w:id="66"/>
      <w:r>
        <w:rPr>
          <w:w w:val="99"/>
          <w:sz w:val="24"/>
          <w:szCs w:val="24"/>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pStyle w:val="BodyText"/>
        <w:spacing w:line="240" w:lineRule="auto" w:before="69"/>
        <w:ind w:right="1122"/>
        <w:jc w:val="left"/>
      </w:pPr>
      <w:r>
        <w:rPr/>
        <w:pict>
          <v:shape style="position:absolute;margin-left:292.037018pt;margin-top:112.673676pt;width:147.15pt;height:61.45pt;mso-position-horizontal-relative:page;mso-position-vertical-relative:paragraph;z-index:-9041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则本人承诺按照关于董事、</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135"/>
        <w:gridCol w:w="1276"/>
        <w:gridCol w:w="852"/>
        <w:gridCol w:w="3543"/>
        <w:gridCol w:w="851"/>
        <w:gridCol w:w="805"/>
        <w:gridCol w:w="1107"/>
      </w:tblGrid>
      <w:tr>
        <w:trPr>
          <w:trHeight w:val="415" w:hRule="exact"/>
        </w:trPr>
        <w:tc>
          <w:tcPr>
            <w:tcW w:w="113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0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8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43" w:hRule="exact"/>
        </w:trPr>
        <w:tc>
          <w:tcPr>
            <w:tcW w:w="11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197"/>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276" w:type="dxa"/>
            <w:tcBorders>
              <w:top w:val="single" w:sz="6" w:space="0" w:color="000000"/>
              <w:left w:val="single" w:sz="14" w:space="0" w:color="D2D2D2"/>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3543"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107" w:type="dxa"/>
            <w:tcBorders>
              <w:top w:val="single" w:sz="6" w:space="0" w:color="000000"/>
              <w:left w:val="single" w:sz="6" w:space="0" w:color="000000"/>
              <w:bottom w:val="single" w:sz="6" w:space="0" w:color="000000"/>
              <w:right w:val="single" w:sz="12" w:space="0" w:color="000000"/>
            </w:tcBorders>
          </w:tcPr>
          <w:p>
            <w:pPr/>
          </w:p>
        </w:tc>
      </w:tr>
      <w:tr>
        <w:trPr>
          <w:trHeight w:val="1236" w:hRule="exact"/>
        </w:trPr>
        <w:tc>
          <w:tcPr>
            <w:tcW w:w="1135" w:type="dxa"/>
            <w:tcBorders>
              <w:top w:val="single" w:sz="6" w:space="0" w:color="000000"/>
              <w:left w:val="single" w:sz="12"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8"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pacing w:val="-6"/>
                <w:sz w:val="18"/>
                <w:szCs w:val="18"/>
              </w:rPr>
              <w:t>任昌兆、任晶晶</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1"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vMerge w:val="restart"/>
            <w:tcBorders>
              <w:top w:val="single" w:sz="6" w:space="0" w:color="000000"/>
              <w:left w:val="single" w:sz="6" w:space="0" w:color="000000"/>
              <w:right w:val="single" w:sz="6" w:space="0" w:color="000000"/>
            </w:tcBorders>
          </w:tcPr>
          <w:p>
            <w:pPr>
              <w:pStyle w:val="TableParagraph"/>
              <w:spacing w:line="316" w:lineRule="auto" w:before="51"/>
              <w:ind w:left="20" w:right="1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 </w:t>
            </w:r>
            <w:r>
              <w:rPr>
                <w:rFonts w:ascii="宋体" w:hAnsi="宋体" w:cs="宋体" w:eastAsia="宋体" w:hint="default"/>
                <w:sz w:val="18"/>
                <w:szCs w:val="18"/>
              </w:rPr>
              <w:t>36</w:t>
            </w:r>
            <w:r>
              <w:rPr>
                <w:rFonts w:ascii="宋体" w:hAnsi="宋体" w:cs="宋体" w:eastAsia="宋体" w:hint="default"/>
                <w:spacing w:val="-23"/>
                <w:sz w:val="18"/>
                <w:szCs w:val="18"/>
              </w:rPr>
              <w:t> </w:t>
            </w:r>
            <w:r>
              <w:rPr>
                <w:rFonts w:ascii="宋体" w:hAnsi="宋体" w:cs="宋体" w:eastAsia="宋体" w:hint="default"/>
                <w:sz w:val="18"/>
                <w:szCs w:val="18"/>
              </w:rPr>
              <w:t>个月内不转让本 </w:t>
            </w:r>
            <w:r>
              <w:rPr>
                <w:rFonts w:ascii="宋体" w:hAnsi="宋体" w:cs="宋体" w:eastAsia="宋体" w:hint="default"/>
                <w:spacing w:val="3"/>
                <w:sz w:val="18"/>
                <w:szCs w:val="18"/>
              </w:rPr>
              <w:t>人因本次交易所取得的所支付股份。本人今</w:t>
            </w:r>
            <w:r>
              <w:rPr>
                <w:rFonts w:ascii="宋体" w:hAnsi="宋体" w:cs="宋体" w:eastAsia="宋体" w:hint="default"/>
                <w:sz w:val="18"/>
                <w:szCs w:val="18"/>
              </w:rPr>
              <w:t> </w:t>
            </w:r>
            <w:r>
              <w:rPr>
                <w:rFonts w:ascii="宋体" w:hAnsi="宋体" w:cs="宋体" w:eastAsia="宋体" w:hint="default"/>
                <w:spacing w:val="3"/>
                <w:sz w:val="18"/>
                <w:szCs w:val="18"/>
              </w:rPr>
              <w:t>后如被光一科技选举为董事、监事或者聘任</w:t>
            </w:r>
            <w:r>
              <w:rPr>
                <w:rFonts w:ascii="宋体" w:hAnsi="宋体" w:cs="宋体" w:eastAsia="宋体" w:hint="default"/>
                <w:sz w:val="18"/>
                <w:szCs w:val="18"/>
              </w:rPr>
              <w:t> 为高级管理人员， </w:t>
            </w:r>
            <w:r>
              <w:rPr>
                <w:rFonts w:ascii="宋体" w:hAnsi="宋体" w:cs="宋体" w:eastAsia="宋体" w:hint="default"/>
                <w:spacing w:val="3"/>
                <w:sz w:val="18"/>
                <w:szCs w:val="18"/>
              </w:rPr>
              <w:t>监事及高管持股及减持的规定履行持股锁定</w:t>
            </w:r>
            <w:r>
              <w:rPr>
                <w:rFonts w:ascii="宋体" w:hAnsi="宋体" w:cs="宋体" w:eastAsia="宋体" w:hint="default"/>
                <w:sz w:val="18"/>
                <w:szCs w:val="18"/>
              </w:rPr>
              <w:t> </w:t>
            </w:r>
            <w:r>
              <w:rPr>
                <w:rFonts w:ascii="宋体" w:hAnsi="宋体" w:cs="宋体" w:eastAsia="宋体" w:hint="default"/>
                <w:spacing w:val="-2"/>
                <w:sz w:val="18"/>
                <w:szCs w:val="18"/>
              </w:rPr>
              <w:t>及减持义务。（</w:t>
            </w:r>
            <w:r>
              <w:rPr>
                <w:rFonts w:ascii="宋体" w:hAnsi="宋体" w:cs="宋体" w:eastAsia="宋体" w:hint="default"/>
                <w:spacing w:val="-2"/>
                <w:sz w:val="18"/>
                <w:szCs w:val="18"/>
              </w:rPr>
              <w:t>2</w:t>
            </w:r>
            <w:r>
              <w:rPr>
                <w:rFonts w:ascii="宋体" w:hAnsi="宋体" w:cs="宋体" w:eastAsia="宋体" w:hint="default"/>
                <w:spacing w:val="-2"/>
                <w:sz w:val="18"/>
                <w:szCs w:val="18"/>
              </w:rPr>
              <w:t>）为保证本次交易盈利预测</w:t>
            </w:r>
            <w:r>
              <w:rPr>
                <w:rFonts w:ascii="宋体" w:hAnsi="宋体" w:cs="宋体" w:eastAsia="宋体" w:hint="default"/>
                <w:spacing w:val="-80"/>
                <w:sz w:val="18"/>
                <w:szCs w:val="18"/>
              </w:rPr>
              <w:t> </w:t>
            </w:r>
            <w:r>
              <w:rPr>
                <w:rFonts w:ascii="宋体" w:hAnsi="宋体" w:cs="宋体" w:eastAsia="宋体" w:hint="default"/>
                <w:spacing w:val="3"/>
                <w:sz w:val="18"/>
                <w:szCs w:val="18"/>
              </w:rPr>
              <w:t>补偿承诺的可实现性，本人进一步承诺，如</w:t>
            </w:r>
            <w:r>
              <w:rPr>
                <w:rFonts w:ascii="宋体" w:hAnsi="宋体" w:cs="宋体" w:eastAsia="宋体" w:hint="default"/>
                <w:sz w:val="18"/>
                <w:szCs w:val="18"/>
              </w:rPr>
              <w:t> 果在前述</w:t>
            </w:r>
            <w:r>
              <w:rPr>
                <w:rFonts w:ascii="宋体" w:hAnsi="宋体" w:cs="宋体" w:eastAsia="宋体" w:hint="default"/>
                <w:spacing w:val="-55"/>
                <w:sz w:val="18"/>
                <w:szCs w:val="18"/>
              </w:rPr>
              <w:t> </w:t>
            </w:r>
            <w:r>
              <w:rPr>
                <w:rFonts w:ascii="宋体" w:hAnsi="宋体" w:cs="宋体" w:eastAsia="宋体" w:hint="default"/>
                <w:sz w:val="18"/>
                <w:szCs w:val="18"/>
              </w:rPr>
              <w:t>36</w:t>
            </w:r>
            <w:r>
              <w:rPr>
                <w:rFonts w:ascii="宋体" w:hAnsi="宋体" w:cs="宋体" w:eastAsia="宋体" w:hint="default"/>
                <w:spacing w:val="-55"/>
                <w:sz w:val="18"/>
                <w:szCs w:val="18"/>
              </w:rPr>
              <w:t> </w:t>
            </w:r>
            <w:r>
              <w:rPr>
                <w:rFonts w:ascii="宋体" w:hAnsi="宋体" w:cs="宋体" w:eastAsia="宋体" w:hint="default"/>
                <w:sz w:val="18"/>
                <w:szCs w:val="18"/>
              </w:rPr>
              <w:t>个月锁定期届满后本人按照《发 </w:t>
            </w:r>
            <w:r>
              <w:rPr>
                <w:rFonts w:ascii="宋体" w:hAnsi="宋体" w:cs="宋体" w:eastAsia="宋体" w:hint="default"/>
                <w:spacing w:val="3"/>
                <w:sz w:val="18"/>
                <w:szCs w:val="18"/>
              </w:rPr>
              <w:t>行股份及支付现金购买资产协议》约定负有</w:t>
            </w:r>
            <w:r>
              <w:rPr>
                <w:rFonts w:ascii="宋体" w:hAnsi="宋体" w:cs="宋体" w:eastAsia="宋体" w:hint="default"/>
                <w:sz w:val="18"/>
                <w:szCs w:val="18"/>
              </w:rPr>
              <w:t> </w:t>
            </w:r>
            <w:r>
              <w:rPr>
                <w:rFonts w:ascii="宋体" w:hAnsi="宋体" w:cs="宋体" w:eastAsia="宋体" w:hint="default"/>
                <w:spacing w:val="3"/>
                <w:sz w:val="18"/>
                <w:szCs w:val="18"/>
              </w:rPr>
              <w:t>股份补偿义务未履行的，则锁定期自动延期</w:t>
            </w:r>
          </w:p>
        </w:tc>
        <w:tc>
          <w:tcPr>
            <w:tcW w:w="851" w:type="dxa"/>
            <w:vMerge w:val="restart"/>
            <w:tcBorders>
              <w:top w:val="single" w:sz="6" w:space="0" w:color="000000"/>
              <w:left w:val="single" w:sz="6" w:space="0" w:color="000000"/>
              <w:right w:val="single" w:sz="6" w:space="0" w:color="000000"/>
            </w:tcBorders>
          </w:tcPr>
          <w:p>
            <w:pPr>
              <w:pStyle w:val="TableParagraph"/>
              <w:spacing w:line="1228" w:lineRule="exact"/>
              <w:ind w:right="-51"/>
              <w:jc w:val="left"/>
              <w:rPr>
                <w:rFonts w:ascii="宋体" w:hAnsi="宋体" w:cs="宋体" w:eastAsia="宋体" w:hint="default"/>
                <w:sz w:val="20"/>
                <w:szCs w:val="20"/>
              </w:rPr>
            </w:pPr>
            <w:r>
              <w:rPr>
                <w:rFonts w:ascii="宋体" w:hAnsi="宋体" w:cs="宋体" w:eastAsia="宋体" w:hint="default"/>
                <w:position w:val="-24"/>
                <w:sz w:val="20"/>
                <w:szCs w:val="20"/>
              </w:rPr>
              <w:pict>
                <v:group style="width:41.85pt;height:61.45pt;mso-position-horizontal-relative:char;mso-position-vertical-relative:line" coordorigin="0,0" coordsize="837,1229">
                  <v:group style="position:absolute;left:0;top:0;width:837;height:1229" coordorigin="0,0" coordsize="837,1229">
                    <v:shape style="position:absolute;left:0;top:0;width:837;height:1229" coordorigin="0,0" coordsize="837,1229" path="m0,1229l837,1229,837,0,0,0,0,1229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7"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75"/>
              <w:ind w:left="20" w:right="7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 履行完毕；</w:t>
            </w:r>
          </w:p>
          <w:p>
            <w:pPr>
              <w:pStyle w:val="TableParagraph"/>
              <w:spacing w:line="319" w:lineRule="auto" w:before="19"/>
              <w:ind w:left="20" w:right="25"/>
              <w:jc w:val="left"/>
              <w:rPr>
                <w:rFonts w:ascii="宋体" w:hAnsi="宋体" w:cs="宋体" w:eastAsia="宋体" w:hint="default"/>
                <w:sz w:val="18"/>
                <w:szCs w:val="18"/>
              </w:rPr>
            </w:pPr>
            <w:r>
              <w:rPr>
                <w:rFonts w:ascii="宋体" w:hAnsi="宋体" w:cs="宋体" w:eastAsia="宋体" w:hint="default"/>
                <w:spacing w:val="-29"/>
                <w:sz w:val="18"/>
                <w:szCs w:val="18"/>
              </w:rPr>
              <w:t>（</w:t>
            </w:r>
            <w:r>
              <w:rPr>
                <w:rFonts w:ascii="宋体" w:hAnsi="宋体" w:cs="宋体" w:eastAsia="宋体" w:hint="default"/>
                <w:spacing w:val="-29"/>
                <w:sz w:val="18"/>
                <w:szCs w:val="18"/>
              </w:rPr>
              <w:t>4</w:t>
            </w:r>
            <w:r>
              <w:rPr>
                <w:rFonts w:ascii="宋体" w:hAnsi="宋体" w:cs="宋体" w:eastAsia="宋体" w:hint="default"/>
                <w:spacing w:val="-29"/>
                <w:sz w:val="18"/>
                <w:szCs w:val="18"/>
              </w:rPr>
              <w:t>）、（</w:t>
            </w:r>
            <w:r>
              <w:rPr>
                <w:rFonts w:ascii="宋体" w:hAnsi="宋体" w:cs="宋体" w:eastAsia="宋体" w:hint="default"/>
                <w:spacing w:val="-29"/>
                <w:sz w:val="18"/>
                <w:szCs w:val="18"/>
              </w:rPr>
              <w:t>7</w:t>
            </w:r>
            <w:r>
              <w:rPr>
                <w:rFonts w:ascii="宋体" w:hAnsi="宋体" w:cs="宋体" w:eastAsia="宋体" w:hint="default"/>
                <w:spacing w:val="-29"/>
                <w:sz w:val="18"/>
                <w:szCs w:val="18"/>
              </w:rPr>
              <w:t>）严</w:t>
            </w:r>
            <w:r>
              <w:rPr>
                <w:rFonts w:ascii="宋体" w:hAnsi="宋体" w:cs="宋体" w:eastAsia="宋体" w:hint="default"/>
                <w:spacing w:val="-83"/>
                <w:sz w:val="18"/>
                <w:szCs w:val="18"/>
              </w:rPr>
              <w:t> </w:t>
            </w:r>
            <w:r>
              <w:rPr>
                <w:rFonts w:ascii="宋体" w:hAnsi="宋体" w:cs="宋体" w:eastAsia="宋体" w:hint="default"/>
                <w:sz w:val="18"/>
                <w:szCs w:val="18"/>
              </w:rPr>
              <w:t>格履行</w:t>
            </w:r>
          </w:p>
        </w:tc>
      </w:tr>
      <w:tr>
        <w:trPr>
          <w:trHeight w:val="703" w:hRule="exact"/>
        </w:trPr>
        <w:tc>
          <w:tcPr>
            <w:tcW w:w="113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51"/>
              <w:ind w:left="13" w:right="197"/>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276" w:type="dxa"/>
            <w:vMerge/>
            <w:tcBorders>
              <w:left w:val="single" w:sz="8" w:space="0" w:color="D2D2D2"/>
              <w:right w:val="single" w:sz="6" w:space="0" w:color="000000"/>
            </w:tcBorders>
          </w:tcPr>
          <w:p>
            <w:pPr/>
          </w:p>
        </w:tc>
        <w:tc>
          <w:tcPr>
            <w:tcW w:w="852" w:type="dxa"/>
            <w:vMerge/>
            <w:tcBorders>
              <w:left w:val="single" w:sz="6" w:space="0" w:color="000000"/>
              <w:right w:val="single" w:sz="6" w:space="0" w:color="000000"/>
            </w:tcBorders>
          </w:tcPr>
          <w:p>
            <w:pPr/>
          </w:p>
        </w:tc>
        <w:tc>
          <w:tcPr>
            <w:tcW w:w="3543"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1244" w:hRule="exact"/>
        </w:trPr>
        <w:tc>
          <w:tcPr>
            <w:tcW w:w="1135"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276" w:type="dxa"/>
            <w:vMerge/>
            <w:tcBorders>
              <w:left w:val="single" w:sz="8" w:space="0" w:color="D2D2D2"/>
              <w:bottom w:val="single" w:sz="12" w:space="0" w:color="000000"/>
              <w:right w:val="single" w:sz="6" w:space="0" w:color="000000"/>
            </w:tcBorders>
          </w:tcPr>
          <w:p>
            <w:pPr/>
          </w:p>
        </w:tc>
        <w:tc>
          <w:tcPr>
            <w:tcW w:w="852" w:type="dxa"/>
            <w:vMerge/>
            <w:tcBorders>
              <w:left w:val="single" w:sz="6" w:space="0" w:color="000000"/>
              <w:bottom w:val="single" w:sz="12" w:space="0" w:color="000000"/>
              <w:right w:val="single" w:sz="6" w:space="0" w:color="000000"/>
            </w:tcBorders>
          </w:tcPr>
          <w:p>
            <w:pPr/>
          </w:p>
        </w:tc>
        <w:tc>
          <w:tcPr>
            <w:tcW w:w="3543" w:type="dxa"/>
            <w:vMerge/>
            <w:tcBorders>
              <w:left w:val="single" w:sz="6" w:space="0" w:color="000000"/>
              <w:bottom w:val="single" w:sz="12" w:space="0" w:color="000000"/>
              <w:right w:val="single" w:sz="6" w:space="0" w:color="000000"/>
            </w:tcBorders>
          </w:tcPr>
          <w:p>
            <w:pPr/>
          </w:p>
        </w:tc>
        <w:tc>
          <w:tcPr>
            <w:tcW w:w="851" w:type="dxa"/>
            <w:vMerge/>
            <w:tcBorders>
              <w:left w:val="single" w:sz="6" w:space="0" w:color="000000"/>
              <w:bottom w:val="single" w:sz="12" w:space="0" w:color="000000"/>
              <w:right w:val="single" w:sz="6" w:space="0" w:color="000000"/>
            </w:tcBorders>
          </w:tcPr>
          <w:p>
            <w:pPr/>
          </w:p>
        </w:tc>
        <w:tc>
          <w:tcPr>
            <w:tcW w:w="805" w:type="dxa"/>
            <w:vMerge/>
            <w:tcBorders>
              <w:left w:val="single" w:sz="6" w:space="0" w:color="000000"/>
              <w:bottom w:val="single" w:sz="12" w:space="0" w:color="000000"/>
              <w:right w:val="single" w:sz="6" w:space="0" w:color="000000"/>
            </w:tcBorders>
          </w:tcPr>
          <w:p>
            <w:pPr/>
          </w:p>
        </w:tc>
        <w:tc>
          <w:tcPr>
            <w:tcW w:w="1107"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1000" w:top="1100" w:bottom="1180" w:left="980" w:right="0"/>
        </w:sectPr>
      </w:pPr>
    </w:p>
    <w:p>
      <w:pPr>
        <w:spacing w:line="240" w:lineRule="auto" w:before="2"/>
        <w:rPr>
          <w:rFonts w:ascii="Times New Roman" w:hAnsi="Times New Roman" w:cs="Times New Roman" w:eastAsia="Times New Roman" w:hint="default"/>
          <w:sz w:val="29"/>
          <w:szCs w:val="29"/>
        </w:rPr>
      </w:pPr>
      <w:r>
        <w:rPr/>
        <w:pict>
          <v:shape style="position:absolute;margin-left:391.046021pt;margin-top:73.499985pt;width:48.1pt;height:485.65pt;mso-position-horizontal-relative:page;mso-position-vertical-relative:page;z-index:-904120"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38" w:type="dxa"/>
        <w:tblLayout w:type="fixed"/>
        <w:tblCellMar>
          <w:top w:w="0" w:type="dxa"/>
          <w:left w:w="0" w:type="dxa"/>
          <w:bottom w:w="0" w:type="dxa"/>
          <w:right w:w="0" w:type="dxa"/>
        </w:tblCellMar>
        <w:tblLook w:val="01E0"/>
      </w:tblPr>
      <w:tblGrid>
        <w:gridCol w:w="1135"/>
        <w:gridCol w:w="1276"/>
        <w:gridCol w:w="852"/>
        <w:gridCol w:w="3543"/>
        <w:gridCol w:w="851"/>
        <w:gridCol w:w="805"/>
        <w:gridCol w:w="1115"/>
      </w:tblGrid>
      <w:tr>
        <w:trPr>
          <w:trHeight w:val="9735" w:hRule="exact"/>
        </w:trPr>
        <w:tc>
          <w:tcPr>
            <w:tcW w:w="1135"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852" w:type="dxa"/>
            <w:tcBorders>
              <w:top w:val="single" w:sz="12" w:space="0" w:color="000000"/>
              <w:left w:val="single" w:sz="6" w:space="0" w:color="000000"/>
              <w:bottom w:val="single" w:sz="6" w:space="0" w:color="000000"/>
              <w:right w:val="single" w:sz="6" w:space="0" w:color="000000"/>
            </w:tcBorders>
          </w:tcPr>
          <w:p>
            <w:pPr/>
          </w:p>
        </w:tc>
        <w:tc>
          <w:tcPr>
            <w:tcW w:w="354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0" w:right="13"/>
              <w:jc w:val="left"/>
              <w:rPr>
                <w:rFonts w:ascii="宋体" w:hAnsi="宋体" w:cs="宋体" w:eastAsia="宋体" w:hint="default"/>
                <w:sz w:val="18"/>
                <w:szCs w:val="18"/>
              </w:rPr>
            </w:pPr>
            <w:r>
              <w:rPr>
                <w:rFonts w:ascii="宋体" w:hAnsi="宋体" w:cs="宋体" w:eastAsia="宋体" w:hint="default"/>
                <w:spacing w:val="-6"/>
                <w:sz w:val="18"/>
                <w:szCs w:val="18"/>
              </w:rPr>
              <w:t>至本人所负股份补偿义务履行完毕时止。（</w:t>
            </w:r>
            <w:r>
              <w:rPr>
                <w:rFonts w:ascii="宋体" w:hAnsi="宋体" w:cs="宋体" w:eastAsia="宋体" w:hint="default"/>
                <w:spacing w:val="-6"/>
                <w:sz w:val="18"/>
                <w:szCs w:val="18"/>
              </w:rPr>
              <w:t>3</w:t>
            </w:r>
            <w:r>
              <w:rPr>
                <w:rFonts w:ascii="宋体" w:hAnsi="宋体" w:cs="宋体" w:eastAsia="宋体" w:hint="default"/>
                <w:spacing w:val="-83"/>
                <w:sz w:val="18"/>
                <w:szCs w:val="18"/>
              </w:rPr>
              <w:t> </w:t>
            </w:r>
            <w:r>
              <w:rPr>
                <w:rFonts w:ascii="宋体" w:hAnsi="宋体" w:cs="宋体" w:eastAsia="宋体" w:hint="default"/>
                <w:spacing w:val="8"/>
                <w:sz w:val="18"/>
                <w:szCs w:val="18"/>
              </w:rPr>
              <w:t>本函第一条所述</w:t>
            </w:r>
            <w:r>
              <w:rPr>
                <w:rFonts w:ascii="宋体" w:hAnsi="宋体" w:cs="宋体" w:eastAsia="宋体" w:hint="default"/>
                <w:spacing w:val="8"/>
                <w:sz w:val="18"/>
                <w:szCs w:val="18"/>
              </w:rPr>
              <w:t>"</w:t>
            </w:r>
            <w:r>
              <w:rPr>
                <w:rFonts w:ascii="宋体" w:hAnsi="宋体" w:cs="宋体" w:eastAsia="宋体" w:hint="default"/>
                <w:spacing w:val="8"/>
                <w:sz w:val="18"/>
                <w:szCs w:val="18"/>
              </w:rPr>
              <w:t>因本次交易所取得的所支</w:t>
            </w:r>
            <w:r>
              <w:rPr>
                <w:rFonts w:ascii="宋体" w:hAnsi="宋体" w:cs="宋体" w:eastAsia="宋体" w:hint="default"/>
                <w:sz w:val="18"/>
                <w:szCs w:val="18"/>
              </w:rPr>
              <w:t> </w:t>
            </w:r>
            <w:r>
              <w:rPr>
                <w:rFonts w:ascii="宋体" w:hAnsi="宋体" w:cs="宋体" w:eastAsia="宋体" w:hint="default"/>
                <w:spacing w:val="7"/>
                <w:sz w:val="18"/>
                <w:szCs w:val="18"/>
              </w:rPr>
              <w:t>付股份</w:t>
            </w:r>
            <w:r>
              <w:rPr>
                <w:rFonts w:ascii="宋体" w:hAnsi="宋体" w:cs="宋体" w:eastAsia="宋体" w:hint="default"/>
                <w:spacing w:val="7"/>
                <w:sz w:val="18"/>
                <w:szCs w:val="18"/>
              </w:rPr>
              <w:t>"</w:t>
            </w:r>
            <w:r>
              <w:rPr>
                <w:rFonts w:ascii="宋体" w:hAnsi="宋体" w:cs="宋体" w:eastAsia="宋体" w:hint="default"/>
                <w:spacing w:val="7"/>
                <w:sz w:val="18"/>
                <w:szCs w:val="18"/>
              </w:rPr>
              <w:t>包括锁定期内本人依据所支付股份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按照光一科技分配股票股利、资本公积转增</w:t>
            </w:r>
            <w:r>
              <w:rPr>
                <w:rFonts w:ascii="宋体" w:hAnsi="宋体" w:cs="宋体" w:eastAsia="宋体" w:hint="default"/>
                <w:sz w:val="18"/>
                <w:szCs w:val="18"/>
              </w:rPr>
              <w:t> </w:t>
            </w:r>
            <w:r>
              <w:rPr>
                <w:rFonts w:ascii="宋体" w:hAnsi="宋体" w:cs="宋体" w:eastAsia="宋体" w:hint="default"/>
                <w:spacing w:val="-2"/>
                <w:sz w:val="18"/>
                <w:szCs w:val="18"/>
              </w:rPr>
              <w:t>股本等原因所取得的股份。（</w:t>
            </w:r>
            <w:r>
              <w:rPr>
                <w:rFonts w:ascii="宋体" w:hAnsi="宋体" w:cs="宋体" w:eastAsia="宋体" w:hint="default"/>
                <w:spacing w:val="-2"/>
                <w:sz w:val="18"/>
                <w:szCs w:val="18"/>
              </w:rPr>
              <w:t>4</w:t>
            </w:r>
            <w:r>
              <w:rPr>
                <w:rFonts w:ascii="宋体" w:hAnsi="宋体" w:cs="宋体" w:eastAsia="宋体" w:hint="default"/>
                <w:spacing w:val="-2"/>
                <w:sz w:val="18"/>
                <w:szCs w:val="18"/>
              </w:rPr>
              <w:t>）本人特别承</w:t>
            </w:r>
            <w:r>
              <w:rPr>
                <w:rFonts w:ascii="宋体" w:hAnsi="宋体" w:cs="宋体" w:eastAsia="宋体" w:hint="default"/>
                <w:spacing w:val="-80"/>
                <w:sz w:val="18"/>
                <w:szCs w:val="18"/>
              </w:rPr>
              <w:t> </w:t>
            </w:r>
            <w:r>
              <w:rPr>
                <w:rFonts w:ascii="宋体" w:hAnsi="宋体" w:cs="宋体" w:eastAsia="宋体" w:hint="default"/>
                <w:spacing w:val="13"/>
                <w:sz w:val="18"/>
                <w:szCs w:val="18"/>
              </w:rPr>
              <w:t>诺：自本次交易所获得股份锁定期结束至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2020</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z w:val="18"/>
                <w:szCs w:val="18"/>
              </w:rPr>
              <w:t>日，本人每年可减持的光一 </w:t>
            </w:r>
            <w:r>
              <w:rPr>
                <w:rFonts w:ascii="宋体" w:hAnsi="宋体" w:cs="宋体" w:eastAsia="宋体" w:hint="default"/>
                <w:spacing w:val="3"/>
                <w:sz w:val="18"/>
                <w:szCs w:val="18"/>
              </w:rPr>
              <w:t>科技股份数量不超过上年末本人持有光一科</w:t>
            </w:r>
            <w:r>
              <w:rPr>
                <w:rFonts w:ascii="宋体" w:hAnsi="宋体" w:cs="宋体" w:eastAsia="宋体" w:hint="default"/>
                <w:sz w:val="18"/>
                <w:szCs w:val="18"/>
              </w:rPr>
              <w:t> 技股份总数的</w:t>
            </w:r>
            <w:r>
              <w:rPr>
                <w:rFonts w:ascii="宋体" w:hAnsi="宋体" w:cs="宋体" w:eastAsia="宋体" w:hint="default"/>
                <w:spacing w:val="-42"/>
                <w:sz w:val="18"/>
                <w:szCs w:val="18"/>
              </w:rPr>
              <w:t> </w:t>
            </w:r>
            <w:r>
              <w:rPr>
                <w:rFonts w:ascii="宋体" w:hAnsi="宋体" w:cs="宋体" w:eastAsia="宋体" w:hint="default"/>
                <w:spacing w:val="-5"/>
                <w:sz w:val="18"/>
                <w:szCs w:val="18"/>
              </w:rPr>
              <w:t>25%</w:t>
            </w:r>
            <w:r>
              <w:rPr>
                <w:rFonts w:ascii="宋体" w:hAnsi="宋体" w:cs="宋体" w:eastAsia="宋体" w:hint="default"/>
                <w:spacing w:val="-5"/>
                <w:sz w:val="18"/>
                <w:szCs w:val="18"/>
              </w:rPr>
              <w:t>；在锁定期内，本人持有的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光一科技股份可用于股份质押融资的总数不</w:t>
            </w:r>
            <w:r>
              <w:rPr>
                <w:rFonts w:ascii="宋体" w:hAnsi="宋体" w:cs="宋体" w:eastAsia="宋体" w:hint="default"/>
                <w:sz w:val="18"/>
                <w:szCs w:val="18"/>
              </w:rPr>
              <w:t> 超过本人持有全部光一科技股份数量的</w:t>
            </w:r>
            <w:r>
              <w:rPr>
                <w:rFonts w:ascii="宋体" w:hAnsi="宋体" w:cs="宋体" w:eastAsia="宋体" w:hint="default"/>
                <w:spacing w:val="-23"/>
                <w:sz w:val="18"/>
                <w:szCs w:val="18"/>
              </w:rPr>
              <w:t> </w:t>
            </w:r>
            <w:r>
              <w:rPr>
                <w:rFonts w:ascii="宋体" w:hAnsi="宋体" w:cs="宋体" w:eastAsia="宋体" w:hint="default"/>
                <w:sz w:val="18"/>
                <w:szCs w:val="18"/>
              </w:rPr>
              <w:t>85%</w:t>
            </w:r>
          </w:p>
          <w:p>
            <w:pPr>
              <w:pStyle w:val="TableParagraph"/>
              <w:spacing w:line="316" w:lineRule="auto" w:before="19"/>
              <w:ind w:left="20" w:right="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5</w:t>
            </w:r>
            <w:r>
              <w:rPr>
                <w:rFonts w:ascii="宋体" w:hAnsi="宋体" w:cs="宋体" w:eastAsia="宋体" w:hint="default"/>
                <w:spacing w:val="-2"/>
                <w:sz w:val="18"/>
                <w:szCs w:val="18"/>
              </w:rPr>
              <w:t>）如果中国证监会及或深圳证券交易所对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于上述锁定期安排有不同意见及或要求的，</w:t>
            </w:r>
            <w:r>
              <w:rPr>
                <w:rFonts w:ascii="宋体" w:hAnsi="宋体" w:cs="宋体" w:eastAsia="宋体" w:hint="default"/>
                <w:sz w:val="18"/>
                <w:szCs w:val="18"/>
              </w:rPr>
              <w:t> </w:t>
            </w:r>
            <w:r>
              <w:rPr>
                <w:rFonts w:ascii="宋体" w:hAnsi="宋体" w:cs="宋体" w:eastAsia="宋体" w:hint="default"/>
                <w:spacing w:val="3"/>
                <w:sz w:val="18"/>
                <w:szCs w:val="18"/>
              </w:rPr>
              <w:t>本人将按照中国证监会及或深圳证券交易所</w:t>
            </w:r>
            <w:r>
              <w:rPr>
                <w:rFonts w:ascii="宋体" w:hAnsi="宋体" w:cs="宋体" w:eastAsia="宋体" w:hint="default"/>
                <w:sz w:val="18"/>
                <w:szCs w:val="18"/>
              </w:rPr>
              <w:t> </w:t>
            </w:r>
            <w:r>
              <w:rPr>
                <w:rFonts w:ascii="宋体" w:hAnsi="宋体" w:cs="宋体" w:eastAsia="宋体" w:hint="default"/>
                <w:spacing w:val="14"/>
                <w:sz w:val="18"/>
                <w:szCs w:val="18"/>
              </w:rPr>
              <w:t>的意见对上述锁定期安排进行修订并予执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行。（</w:t>
            </w:r>
            <w:r>
              <w:rPr>
                <w:rFonts w:ascii="宋体" w:hAnsi="宋体" w:cs="宋体" w:eastAsia="宋体" w:hint="default"/>
                <w:spacing w:val="-2"/>
                <w:sz w:val="18"/>
                <w:szCs w:val="18"/>
              </w:rPr>
              <w:t>6</w:t>
            </w:r>
            <w:r>
              <w:rPr>
                <w:rFonts w:ascii="宋体" w:hAnsi="宋体" w:cs="宋体" w:eastAsia="宋体" w:hint="default"/>
                <w:spacing w:val="-2"/>
                <w:sz w:val="18"/>
                <w:szCs w:val="18"/>
              </w:rPr>
              <w:t>）如本人根据《发行股份及支付现金</w:t>
            </w:r>
            <w:r>
              <w:rPr>
                <w:rFonts w:ascii="宋体" w:hAnsi="宋体" w:cs="宋体" w:eastAsia="宋体" w:hint="default"/>
                <w:spacing w:val="-80"/>
                <w:sz w:val="18"/>
                <w:szCs w:val="18"/>
              </w:rPr>
              <w:t> </w:t>
            </w:r>
            <w:r>
              <w:rPr>
                <w:rFonts w:ascii="宋体" w:hAnsi="宋体" w:cs="宋体" w:eastAsia="宋体" w:hint="default"/>
                <w:spacing w:val="3"/>
                <w:sz w:val="18"/>
                <w:szCs w:val="18"/>
              </w:rPr>
              <w:t>购买资产协议》约定负有股份补偿义务，则</w:t>
            </w:r>
            <w:r>
              <w:rPr>
                <w:rFonts w:ascii="宋体" w:hAnsi="宋体" w:cs="宋体" w:eastAsia="宋体" w:hint="default"/>
                <w:sz w:val="18"/>
                <w:szCs w:val="18"/>
              </w:rPr>
              <w:t> </w:t>
            </w:r>
            <w:r>
              <w:rPr>
                <w:rFonts w:ascii="宋体" w:hAnsi="宋体" w:cs="宋体" w:eastAsia="宋体" w:hint="default"/>
                <w:spacing w:val="3"/>
                <w:sz w:val="18"/>
                <w:szCs w:val="18"/>
              </w:rPr>
              <w:t>本人将在《专项审核报告》及《减值测试报</w:t>
            </w:r>
            <w:r>
              <w:rPr>
                <w:rFonts w:ascii="宋体" w:hAnsi="宋体" w:cs="宋体" w:eastAsia="宋体" w:hint="default"/>
                <w:sz w:val="18"/>
                <w:szCs w:val="18"/>
              </w:rPr>
              <w:t> </w:t>
            </w:r>
            <w:r>
              <w:rPr>
                <w:rFonts w:ascii="宋体" w:hAnsi="宋体" w:cs="宋体" w:eastAsia="宋体" w:hint="default"/>
                <w:spacing w:val="-6"/>
                <w:sz w:val="18"/>
                <w:szCs w:val="18"/>
              </w:rPr>
              <w:t>告》（如有）披露后十个工作日内向登记结算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公司发出将本人应补偿的股份划转至光一科</w:t>
            </w:r>
            <w:r>
              <w:rPr>
                <w:rFonts w:ascii="宋体" w:hAnsi="宋体" w:cs="宋体" w:eastAsia="宋体" w:hint="default"/>
                <w:sz w:val="18"/>
                <w:szCs w:val="18"/>
              </w:rPr>
              <w:t> </w:t>
            </w:r>
            <w:r>
              <w:rPr>
                <w:rFonts w:ascii="宋体" w:hAnsi="宋体" w:cs="宋体" w:eastAsia="宋体" w:hint="default"/>
                <w:spacing w:val="3"/>
                <w:sz w:val="18"/>
                <w:szCs w:val="18"/>
              </w:rPr>
              <w:t>技董事会设立的专门账户并对该等用于支付</w:t>
            </w:r>
            <w:r>
              <w:rPr>
                <w:rFonts w:ascii="宋体" w:hAnsi="宋体" w:cs="宋体" w:eastAsia="宋体" w:hint="default"/>
                <w:sz w:val="18"/>
                <w:szCs w:val="18"/>
              </w:rPr>
              <w:t> </w:t>
            </w:r>
            <w:r>
              <w:rPr>
                <w:rFonts w:ascii="宋体" w:hAnsi="宋体" w:cs="宋体" w:eastAsia="宋体" w:hint="default"/>
                <w:spacing w:val="3"/>
                <w:sz w:val="18"/>
                <w:szCs w:val="18"/>
              </w:rPr>
              <w:t>补偿的股份进行锁定的指令，并明确说明只</w:t>
            </w:r>
            <w:r>
              <w:rPr>
                <w:rFonts w:ascii="宋体" w:hAnsi="宋体" w:cs="宋体" w:eastAsia="宋体" w:hint="default"/>
                <w:sz w:val="18"/>
                <w:szCs w:val="18"/>
              </w:rPr>
              <w:t> </w:t>
            </w:r>
            <w:r>
              <w:rPr>
                <w:rFonts w:ascii="宋体" w:hAnsi="宋体" w:cs="宋体" w:eastAsia="宋体" w:hint="default"/>
                <w:spacing w:val="3"/>
                <w:sz w:val="18"/>
                <w:szCs w:val="18"/>
              </w:rPr>
              <w:t>有光一科技有权做出解除该等锁定的指令。</w:t>
            </w:r>
            <w:r>
              <w:rPr>
                <w:rFonts w:ascii="宋体" w:hAnsi="宋体" w:cs="宋体" w:eastAsia="宋体" w:hint="default"/>
                <w:sz w:val="18"/>
                <w:szCs w:val="18"/>
              </w:rPr>
              <w:t> </w:t>
            </w:r>
            <w:r>
              <w:rPr>
                <w:rFonts w:ascii="宋体" w:hAnsi="宋体" w:cs="宋体" w:eastAsia="宋体" w:hint="default"/>
                <w:spacing w:val="3"/>
                <w:sz w:val="18"/>
                <w:szCs w:val="18"/>
              </w:rPr>
              <w:t>光一科技应为本人办理《发行股份及支付现</w:t>
            </w:r>
            <w:r>
              <w:rPr>
                <w:rFonts w:ascii="宋体" w:hAnsi="宋体" w:cs="宋体" w:eastAsia="宋体" w:hint="default"/>
                <w:sz w:val="18"/>
                <w:szCs w:val="18"/>
              </w:rPr>
              <w:t> </w:t>
            </w:r>
            <w:r>
              <w:rPr>
                <w:rFonts w:ascii="宋体" w:hAnsi="宋体" w:cs="宋体" w:eastAsia="宋体" w:hint="default"/>
                <w:spacing w:val="3"/>
                <w:sz w:val="18"/>
                <w:szCs w:val="18"/>
              </w:rPr>
              <w:t>金购买资产协议》约定的补偿股份划转手续</w:t>
            </w:r>
            <w:r>
              <w:rPr>
                <w:rFonts w:ascii="宋体" w:hAnsi="宋体" w:cs="宋体" w:eastAsia="宋体" w:hint="default"/>
                <w:sz w:val="18"/>
                <w:szCs w:val="18"/>
              </w:rPr>
              <w:t> </w:t>
            </w:r>
            <w:r>
              <w:rPr>
                <w:rFonts w:ascii="宋体" w:hAnsi="宋体" w:cs="宋体" w:eastAsia="宋体" w:hint="default"/>
                <w:spacing w:val="-2"/>
                <w:sz w:val="18"/>
                <w:szCs w:val="18"/>
              </w:rPr>
              <w:t>提供协助及便利。（</w:t>
            </w:r>
            <w:r>
              <w:rPr>
                <w:rFonts w:ascii="宋体" w:hAnsi="宋体" w:cs="宋体" w:eastAsia="宋体" w:hint="default"/>
                <w:spacing w:val="-2"/>
                <w:sz w:val="18"/>
                <w:szCs w:val="18"/>
              </w:rPr>
              <w:t>7</w:t>
            </w:r>
            <w:r>
              <w:rPr>
                <w:rFonts w:ascii="宋体" w:hAnsi="宋体" w:cs="宋体" w:eastAsia="宋体" w:hint="default"/>
                <w:spacing w:val="-2"/>
                <w:sz w:val="18"/>
                <w:szCs w:val="18"/>
              </w:rPr>
              <w:t>）本人进一步承诺，本</w:t>
            </w:r>
            <w:r>
              <w:rPr>
                <w:rFonts w:ascii="宋体" w:hAnsi="宋体" w:cs="宋体" w:eastAsia="宋体" w:hint="default"/>
                <w:spacing w:val="-80"/>
                <w:sz w:val="18"/>
                <w:szCs w:val="18"/>
              </w:rPr>
              <w:t> </w:t>
            </w:r>
            <w:r>
              <w:rPr>
                <w:rFonts w:ascii="宋体" w:hAnsi="宋体" w:cs="宋体" w:eastAsia="宋体" w:hint="default"/>
                <w:spacing w:val="3"/>
                <w:sz w:val="18"/>
                <w:szCs w:val="18"/>
              </w:rPr>
              <w:t>人因本次交易所取得的所支付股份在转让时</w:t>
            </w:r>
            <w:r>
              <w:rPr>
                <w:rFonts w:ascii="宋体" w:hAnsi="宋体" w:cs="宋体" w:eastAsia="宋体" w:hint="default"/>
                <w:sz w:val="18"/>
                <w:szCs w:val="18"/>
              </w:rPr>
              <w:t> </w:t>
            </w:r>
            <w:r>
              <w:rPr>
                <w:rFonts w:ascii="宋体" w:hAnsi="宋体" w:cs="宋体" w:eastAsia="宋体" w:hint="default"/>
                <w:spacing w:val="-14"/>
                <w:sz w:val="18"/>
                <w:szCs w:val="18"/>
              </w:rPr>
              <w:t>会同时遵守当时有效的《公司法》、《证券法》</w:t>
            </w:r>
          </w:p>
          <w:p>
            <w:pPr>
              <w:pStyle w:val="TableParagraph"/>
              <w:spacing w:line="319" w:lineRule="auto" w:before="19"/>
              <w:ind w:left="20" w:right="20"/>
              <w:jc w:val="both"/>
              <w:rPr>
                <w:rFonts w:ascii="宋体" w:hAnsi="宋体" w:cs="宋体" w:eastAsia="宋体" w:hint="default"/>
                <w:sz w:val="18"/>
                <w:szCs w:val="18"/>
              </w:rPr>
            </w:pPr>
            <w:r>
              <w:rPr>
                <w:rFonts w:ascii="宋体" w:hAnsi="宋体" w:cs="宋体" w:eastAsia="宋体" w:hint="default"/>
                <w:spacing w:val="3"/>
                <w:sz w:val="18"/>
                <w:szCs w:val="18"/>
              </w:rPr>
              <w:t>《深圳证券交易所创业板股票上市规则》等</w:t>
            </w:r>
            <w:r>
              <w:rPr>
                <w:rFonts w:ascii="宋体" w:hAnsi="宋体" w:cs="宋体" w:eastAsia="宋体" w:hint="default"/>
                <w:sz w:val="18"/>
                <w:szCs w:val="18"/>
              </w:rPr>
              <w:t> </w:t>
            </w:r>
            <w:r>
              <w:rPr>
                <w:rFonts w:ascii="宋体" w:hAnsi="宋体" w:cs="宋体" w:eastAsia="宋体" w:hint="default"/>
                <w:spacing w:val="3"/>
                <w:sz w:val="18"/>
                <w:szCs w:val="18"/>
              </w:rPr>
              <w:t>法律、法规、规章和规范性文件以及光一科</w:t>
            </w:r>
            <w:r>
              <w:rPr>
                <w:rFonts w:ascii="宋体" w:hAnsi="宋体" w:cs="宋体" w:eastAsia="宋体" w:hint="default"/>
                <w:sz w:val="18"/>
                <w:szCs w:val="18"/>
              </w:rPr>
              <w:t> 技《公司章程》的相关规定。</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97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3"/>
                <w:sz w:val="20"/>
                <w:szCs w:val="20"/>
              </w:rPr>
              <w:pict>
                <v:group style="width:41.85pt;height:485.65pt;mso-position-horizontal-relative:char;mso-position-vertical-relative:line" coordorigin="0,0" coordsize="837,9713">
                  <v:group style="position:absolute;left:0;top:0;width:837;height:9713" coordorigin="0,0" coordsize="837,9713">
                    <v:shape style="position:absolute;left:0;top:0;width:837;height:9713" coordorigin="0,0" coordsize="837,9713" path="m0,9712l837,9712,837,0,0,0,0,9712xe" filled="true" fillcolor="#ffffff" stroked="false">
                      <v:path arrowok="t"/>
                      <v:fill type="solid"/>
                    </v:shape>
                  </v:group>
                </v:group>
              </w:pict>
            </w:r>
            <w:r>
              <w:rPr>
                <w:rFonts w:ascii="Times New Roman" w:hAnsi="Times New Roman" w:cs="Times New Roman" w:eastAsia="Times New Roman" w:hint="default"/>
                <w:position w:val="-193"/>
                <w:sz w:val="20"/>
                <w:szCs w:val="20"/>
              </w:rPr>
            </w:r>
          </w:p>
        </w:tc>
        <w:tc>
          <w:tcPr>
            <w:tcW w:w="805" w:type="dxa"/>
            <w:tcBorders>
              <w:top w:val="single" w:sz="12" w:space="0" w:color="000000"/>
              <w:left w:val="single" w:sz="6" w:space="0" w:color="000000"/>
              <w:bottom w:val="single" w:sz="6" w:space="0" w:color="000000"/>
              <w:right w:val="single" w:sz="6" w:space="0" w:color="000000"/>
            </w:tcBorders>
          </w:tcPr>
          <w:p>
            <w:pPr/>
          </w:p>
        </w:tc>
        <w:tc>
          <w:tcPr>
            <w:tcW w:w="1115" w:type="dxa"/>
            <w:tcBorders>
              <w:top w:val="single" w:sz="12" w:space="0" w:color="000000"/>
              <w:left w:val="single" w:sz="6" w:space="0" w:color="000000"/>
              <w:bottom w:val="single" w:sz="6" w:space="0" w:color="000000"/>
              <w:right w:val="single" w:sz="12" w:space="0" w:color="000000"/>
            </w:tcBorders>
          </w:tcPr>
          <w:p>
            <w:pPr/>
          </w:p>
        </w:tc>
      </w:tr>
      <w:tr>
        <w:trPr>
          <w:trHeight w:val="4119" w:hRule="exact"/>
        </w:trPr>
        <w:tc>
          <w:tcPr>
            <w:tcW w:w="113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20" w:right="158"/>
              <w:jc w:val="left"/>
              <w:rPr>
                <w:rFonts w:ascii="宋体" w:hAnsi="宋体" w:cs="宋体" w:eastAsia="宋体" w:hint="default"/>
                <w:sz w:val="18"/>
                <w:szCs w:val="18"/>
              </w:rPr>
            </w:pPr>
            <w:r>
              <w:rPr>
                <w:rFonts w:ascii="宋体" w:hAnsi="宋体" w:cs="宋体" w:eastAsia="宋体" w:hint="default"/>
                <w:sz w:val="18"/>
                <w:szCs w:val="18"/>
              </w:rPr>
              <w:t>湖北乾瀚投资 有限公司</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21"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0" w:right="1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 </w:t>
            </w:r>
            <w:r>
              <w:rPr>
                <w:rFonts w:ascii="宋体" w:hAnsi="宋体" w:cs="宋体" w:eastAsia="宋体" w:hint="default"/>
                <w:sz w:val="18"/>
                <w:szCs w:val="18"/>
              </w:rPr>
              <w:t>36</w:t>
            </w:r>
            <w:r>
              <w:rPr>
                <w:rFonts w:ascii="宋体" w:hAnsi="宋体" w:cs="宋体" w:eastAsia="宋体" w:hint="default"/>
                <w:spacing w:val="-23"/>
                <w:sz w:val="18"/>
                <w:szCs w:val="18"/>
              </w:rPr>
              <w:t> </w:t>
            </w:r>
            <w:r>
              <w:rPr>
                <w:rFonts w:ascii="宋体" w:hAnsi="宋体" w:cs="宋体" w:eastAsia="宋体" w:hint="default"/>
                <w:sz w:val="18"/>
                <w:szCs w:val="18"/>
              </w:rPr>
              <w:t>个月内不转让本 </w:t>
            </w:r>
            <w:r>
              <w:rPr>
                <w:rFonts w:ascii="宋体" w:hAnsi="宋体" w:cs="宋体" w:eastAsia="宋体" w:hint="default"/>
                <w:spacing w:val="-2"/>
                <w:sz w:val="18"/>
                <w:szCs w:val="18"/>
              </w:rPr>
              <w:t>公司因本次交易所取得的所支付股份。（</w:t>
            </w:r>
            <w:r>
              <w:rPr>
                <w:rFonts w:ascii="宋体" w:hAnsi="宋体" w:cs="宋体" w:eastAsia="宋体" w:hint="default"/>
                <w:spacing w:val="-2"/>
                <w:sz w:val="18"/>
                <w:szCs w:val="18"/>
              </w:rPr>
              <w:t>2</w:t>
            </w:r>
            <w:r>
              <w:rPr>
                <w:rFonts w:ascii="宋体" w:hAnsi="宋体" w:cs="宋体" w:eastAsia="宋体" w:hint="default"/>
                <w:spacing w:val="-2"/>
                <w:sz w:val="18"/>
                <w:szCs w:val="18"/>
              </w:rPr>
              <w:t>）</w:t>
            </w:r>
            <w:r>
              <w:rPr>
                <w:rFonts w:ascii="宋体" w:hAnsi="宋体" w:cs="宋体" w:eastAsia="宋体" w:hint="default"/>
                <w:spacing w:val="-83"/>
                <w:sz w:val="18"/>
                <w:szCs w:val="18"/>
              </w:rPr>
              <w:t> </w:t>
            </w:r>
            <w:r>
              <w:rPr>
                <w:rFonts w:ascii="宋体" w:hAnsi="宋体" w:cs="宋体" w:eastAsia="宋体" w:hint="default"/>
                <w:spacing w:val="3"/>
                <w:sz w:val="18"/>
                <w:szCs w:val="18"/>
              </w:rPr>
              <w:t>为保证本次交易盈利预测补偿承诺的可实现</w:t>
            </w:r>
            <w:r>
              <w:rPr>
                <w:rFonts w:ascii="宋体" w:hAnsi="宋体" w:cs="宋体" w:eastAsia="宋体" w:hint="default"/>
                <w:sz w:val="18"/>
                <w:szCs w:val="18"/>
              </w:rPr>
              <w:t> 性，本公司进一步承诺，如果在前述</w:t>
            </w:r>
            <w:r>
              <w:rPr>
                <w:rFonts w:ascii="宋体" w:hAnsi="宋体" w:cs="宋体" w:eastAsia="宋体" w:hint="default"/>
                <w:spacing w:val="-56"/>
                <w:sz w:val="18"/>
                <w:szCs w:val="18"/>
              </w:rPr>
              <w:t> </w:t>
            </w:r>
            <w:r>
              <w:rPr>
                <w:rFonts w:ascii="宋体" w:hAnsi="宋体" w:cs="宋体" w:eastAsia="宋体" w:hint="default"/>
                <w:sz w:val="18"/>
                <w:szCs w:val="18"/>
              </w:rPr>
              <w:t>36</w:t>
            </w:r>
            <w:r>
              <w:rPr>
                <w:rFonts w:ascii="宋体" w:hAnsi="宋体" w:cs="宋体" w:eastAsia="宋体" w:hint="default"/>
                <w:spacing w:val="-56"/>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 </w:t>
            </w:r>
            <w:r>
              <w:rPr>
                <w:rFonts w:ascii="宋体" w:hAnsi="宋体" w:cs="宋体" w:eastAsia="宋体" w:hint="default"/>
                <w:spacing w:val="3"/>
                <w:sz w:val="18"/>
                <w:szCs w:val="18"/>
              </w:rPr>
              <w:t>锁定期届满后本公司按照《发行股份及支付</w:t>
            </w:r>
            <w:r>
              <w:rPr>
                <w:rFonts w:ascii="宋体" w:hAnsi="宋体" w:cs="宋体" w:eastAsia="宋体" w:hint="default"/>
                <w:sz w:val="18"/>
                <w:szCs w:val="18"/>
              </w:rPr>
              <w:t> </w:t>
            </w:r>
            <w:r>
              <w:rPr>
                <w:rFonts w:ascii="宋体" w:hAnsi="宋体" w:cs="宋体" w:eastAsia="宋体" w:hint="default"/>
                <w:spacing w:val="3"/>
                <w:sz w:val="18"/>
                <w:szCs w:val="18"/>
              </w:rPr>
              <w:t>现金购买资产协议》约定负有股份补偿义务</w:t>
            </w:r>
            <w:r>
              <w:rPr>
                <w:rFonts w:ascii="宋体" w:hAnsi="宋体" w:cs="宋体" w:eastAsia="宋体" w:hint="default"/>
                <w:sz w:val="18"/>
                <w:szCs w:val="18"/>
              </w:rPr>
              <w:t> </w:t>
            </w:r>
            <w:r>
              <w:rPr>
                <w:rFonts w:ascii="宋体" w:hAnsi="宋体" w:cs="宋体" w:eastAsia="宋体" w:hint="default"/>
                <w:spacing w:val="3"/>
                <w:sz w:val="18"/>
                <w:szCs w:val="18"/>
              </w:rPr>
              <w:t>未履行的，则锁定期自动延期至本公司所负</w:t>
            </w:r>
            <w:r>
              <w:rPr>
                <w:rFonts w:ascii="宋体" w:hAnsi="宋体" w:cs="宋体" w:eastAsia="宋体" w:hint="default"/>
                <w:sz w:val="18"/>
                <w:szCs w:val="18"/>
              </w:rPr>
              <w:t> </w:t>
            </w:r>
            <w:r>
              <w:rPr>
                <w:rFonts w:ascii="宋体" w:hAnsi="宋体" w:cs="宋体" w:eastAsia="宋体" w:hint="default"/>
                <w:spacing w:val="-2"/>
                <w:sz w:val="18"/>
                <w:szCs w:val="18"/>
              </w:rPr>
              <w:t>股份补偿义务履行完毕时止。（</w:t>
            </w:r>
            <w:r>
              <w:rPr>
                <w:rFonts w:ascii="宋体" w:hAnsi="宋体" w:cs="宋体" w:eastAsia="宋体" w:hint="default"/>
                <w:spacing w:val="-2"/>
                <w:sz w:val="18"/>
                <w:szCs w:val="18"/>
              </w:rPr>
              <w:t>3</w:t>
            </w:r>
            <w:r>
              <w:rPr>
                <w:rFonts w:ascii="宋体" w:hAnsi="宋体" w:cs="宋体" w:eastAsia="宋体" w:hint="default"/>
                <w:spacing w:val="-2"/>
                <w:sz w:val="18"/>
                <w:szCs w:val="18"/>
              </w:rPr>
              <w:t>）本函第一</w:t>
            </w:r>
            <w:r>
              <w:rPr>
                <w:rFonts w:ascii="宋体" w:hAnsi="宋体" w:cs="宋体" w:eastAsia="宋体" w:hint="default"/>
                <w:spacing w:val="-80"/>
                <w:sz w:val="18"/>
                <w:szCs w:val="18"/>
              </w:rPr>
              <w:t> </w:t>
            </w:r>
            <w:r>
              <w:rPr>
                <w:rFonts w:ascii="宋体" w:hAnsi="宋体" w:cs="宋体" w:eastAsia="宋体" w:hint="default"/>
                <w:spacing w:val="2"/>
                <w:sz w:val="18"/>
                <w:szCs w:val="18"/>
              </w:rPr>
              <w:t>条所述</w:t>
            </w:r>
            <w:r>
              <w:rPr>
                <w:rFonts w:ascii="宋体" w:hAnsi="宋体" w:cs="宋体" w:eastAsia="宋体" w:hint="default"/>
                <w:spacing w:val="2"/>
                <w:sz w:val="18"/>
                <w:szCs w:val="18"/>
              </w:rPr>
              <w:t>"</w:t>
            </w:r>
            <w:r>
              <w:rPr>
                <w:rFonts w:ascii="宋体" w:hAnsi="宋体" w:cs="宋体" w:eastAsia="宋体" w:hint="default"/>
                <w:spacing w:val="2"/>
                <w:sz w:val="18"/>
                <w:szCs w:val="18"/>
              </w:rPr>
              <w:t>因本次交易所取得的所支付股份</w:t>
            </w:r>
            <w:r>
              <w:rPr>
                <w:rFonts w:ascii="宋体" w:hAnsi="宋体" w:cs="宋体" w:eastAsia="宋体" w:hint="default"/>
                <w:spacing w:val="2"/>
                <w:sz w:val="18"/>
                <w:szCs w:val="18"/>
              </w:rPr>
              <w:t>"</w:t>
            </w:r>
            <w:r>
              <w:rPr>
                <w:rFonts w:ascii="宋体" w:hAnsi="宋体" w:cs="宋体" w:eastAsia="宋体" w:hint="default"/>
                <w:spacing w:val="2"/>
                <w:sz w:val="18"/>
                <w:szCs w:val="18"/>
              </w:rPr>
              <w:t>包</w:t>
            </w:r>
            <w:r>
              <w:rPr>
                <w:rFonts w:ascii="宋体" w:hAnsi="宋体" w:cs="宋体" w:eastAsia="宋体" w:hint="default"/>
                <w:spacing w:val="-73"/>
                <w:sz w:val="18"/>
                <w:szCs w:val="18"/>
              </w:rPr>
              <w:t> </w:t>
            </w:r>
            <w:r>
              <w:rPr>
                <w:rFonts w:ascii="宋体" w:hAnsi="宋体" w:cs="宋体" w:eastAsia="宋体" w:hint="default"/>
                <w:spacing w:val="3"/>
                <w:sz w:val="18"/>
                <w:szCs w:val="18"/>
              </w:rPr>
              <w:t>括锁定期内本公司依据所支付股份按照光一</w:t>
            </w:r>
            <w:r>
              <w:rPr>
                <w:rFonts w:ascii="宋体" w:hAnsi="宋体" w:cs="宋体" w:eastAsia="宋体" w:hint="default"/>
                <w:sz w:val="18"/>
                <w:szCs w:val="18"/>
              </w:rPr>
              <w:t> </w:t>
            </w:r>
            <w:r>
              <w:rPr>
                <w:rFonts w:ascii="宋体" w:hAnsi="宋体" w:cs="宋体" w:eastAsia="宋体" w:hint="default"/>
                <w:spacing w:val="3"/>
                <w:sz w:val="18"/>
                <w:szCs w:val="18"/>
              </w:rPr>
              <w:t>科技分配股票股利、资本公积转增股本等原</w:t>
            </w:r>
            <w:r>
              <w:rPr>
                <w:rFonts w:ascii="宋体" w:hAnsi="宋体" w:cs="宋体" w:eastAsia="宋体" w:hint="default"/>
                <w:sz w:val="18"/>
                <w:szCs w:val="18"/>
              </w:rPr>
              <w:t> </w:t>
            </w:r>
            <w:r>
              <w:rPr>
                <w:rFonts w:ascii="宋体" w:hAnsi="宋体" w:cs="宋体" w:eastAsia="宋体" w:hint="default"/>
                <w:spacing w:val="-2"/>
                <w:sz w:val="18"/>
                <w:szCs w:val="18"/>
              </w:rPr>
              <w:t>因所取得的股份。（</w:t>
            </w:r>
            <w:r>
              <w:rPr>
                <w:rFonts w:ascii="宋体" w:hAnsi="宋体" w:cs="宋体" w:eastAsia="宋体" w:hint="default"/>
                <w:spacing w:val="-2"/>
                <w:sz w:val="18"/>
                <w:szCs w:val="18"/>
              </w:rPr>
              <w:t>4</w:t>
            </w:r>
            <w:r>
              <w:rPr>
                <w:rFonts w:ascii="宋体" w:hAnsi="宋体" w:cs="宋体" w:eastAsia="宋体" w:hint="default"/>
                <w:spacing w:val="-2"/>
                <w:sz w:val="18"/>
                <w:szCs w:val="18"/>
              </w:rPr>
              <w:t>）本公司特别承诺：自</w:t>
            </w:r>
            <w:r>
              <w:rPr>
                <w:rFonts w:ascii="宋体" w:hAnsi="宋体" w:cs="宋体" w:eastAsia="宋体" w:hint="default"/>
                <w:spacing w:val="-80"/>
                <w:sz w:val="18"/>
                <w:szCs w:val="18"/>
              </w:rPr>
              <w:t> </w:t>
            </w:r>
            <w:r>
              <w:rPr>
                <w:rFonts w:ascii="宋体" w:hAnsi="宋体" w:cs="宋体" w:eastAsia="宋体" w:hint="default"/>
                <w:spacing w:val="3"/>
                <w:sz w:val="18"/>
                <w:szCs w:val="18"/>
              </w:rPr>
              <w:t>本次交易所获得股份锁定期结束至 </w:t>
            </w:r>
            <w:r>
              <w:rPr>
                <w:rFonts w:ascii="宋体" w:hAnsi="宋体" w:cs="宋体" w:eastAsia="宋体" w:hint="default"/>
                <w:sz w:val="18"/>
                <w:szCs w:val="18"/>
              </w:rPr>
              <w:t>2020</w:t>
            </w:r>
            <w:r>
              <w:rPr>
                <w:rFonts w:ascii="宋体" w:hAnsi="宋体" w:cs="宋体" w:eastAsia="宋体" w:hint="default"/>
                <w:spacing w:val="10"/>
                <w:sz w:val="18"/>
                <w:szCs w:val="18"/>
              </w:rPr>
              <w:t> </w:t>
            </w:r>
            <w:r>
              <w:rPr>
                <w:rFonts w:ascii="宋体" w:hAnsi="宋体" w:cs="宋体" w:eastAsia="宋体" w:hint="default"/>
                <w:sz w:val="18"/>
                <w:szCs w:val="18"/>
              </w:rPr>
              <w:t>年</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75"/>
              <w:ind w:left="20" w:right="7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 履行完毕；</w:t>
            </w:r>
          </w:p>
          <w:p>
            <w:pPr>
              <w:pStyle w:val="TableParagraph"/>
              <w:spacing w:line="319" w:lineRule="auto" w:before="19"/>
              <w:ind w:left="20" w:right="33"/>
              <w:jc w:val="left"/>
              <w:rPr>
                <w:rFonts w:ascii="宋体" w:hAnsi="宋体" w:cs="宋体" w:eastAsia="宋体" w:hint="default"/>
                <w:sz w:val="18"/>
                <w:szCs w:val="18"/>
              </w:rPr>
            </w:pPr>
            <w:r>
              <w:rPr>
                <w:rFonts w:ascii="宋体" w:hAnsi="宋体" w:cs="宋体" w:eastAsia="宋体" w:hint="default"/>
                <w:spacing w:val="-29"/>
                <w:sz w:val="18"/>
                <w:szCs w:val="18"/>
              </w:rPr>
              <w:t>（</w:t>
            </w:r>
            <w:r>
              <w:rPr>
                <w:rFonts w:ascii="宋体" w:hAnsi="宋体" w:cs="宋体" w:eastAsia="宋体" w:hint="default"/>
                <w:spacing w:val="-29"/>
                <w:sz w:val="18"/>
                <w:szCs w:val="18"/>
              </w:rPr>
              <w:t>4</w:t>
            </w:r>
            <w:r>
              <w:rPr>
                <w:rFonts w:ascii="宋体" w:hAnsi="宋体" w:cs="宋体" w:eastAsia="宋体" w:hint="default"/>
                <w:spacing w:val="-29"/>
                <w:sz w:val="18"/>
                <w:szCs w:val="18"/>
              </w:rPr>
              <w:t>）、（</w:t>
            </w:r>
            <w:r>
              <w:rPr>
                <w:rFonts w:ascii="宋体" w:hAnsi="宋体" w:cs="宋体" w:eastAsia="宋体" w:hint="default"/>
                <w:spacing w:val="-29"/>
                <w:sz w:val="18"/>
                <w:szCs w:val="18"/>
              </w:rPr>
              <w:t>7</w:t>
            </w:r>
            <w:r>
              <w:rPr>
                <w:rFonts w:ascii="宋体" w:hAnsi="宋体" w:cs="宋体" w:eastAsia="宋体" w:hint="default"/>
                <w:spacing w:val="-29"/>
                <w:sz w:val="18"/>
                <w:szCs w:val="18"/>
              </w:rPr>
              <w:t>）严</w:t>
            </w:r>
            <w:r>
              <w:rPr>
                <w:rFonts w:ascii="宋体" w:hAnsi="宋体" w:cs="宋体" w:eastAsia="宋体" w:hint="default"/>
                <w:spacing w:val="-83"/>
                <w:sz w:val="18"/>
                <w:szCs w:val="18"/>
              </w:rPr>
              <w:t> </w:t>
            </w:r>
            <w:r>
              <w:rPr>
                <w:rFonts w:ascii="宋体" w:hAnsi="宋体" w:cs="宋体" w:eastAsia="宋体" w:hint="default"/>
                <w:sz w:val="18"/>
                <w:szCs w:val="18"/>
              </w:rPr>
              <w:t>格履行</w:t>
            </w:r>
          </w:p>
        </w:tc>
      </w:tr>
    </w:tbl>
    <w:p>
      <w:pPr>
        <w:spacing w:after="0" w:line="319" w:lineRule="auto"/>
        <w:jc w:val="left"/>
        <w:rPr>
          <w:rFonts w:ascii="宋体" w:hAnsi="宋体" w:cs="宋体" w:eastAsia="宋体" w:hint="default"/>
          <w:sz w:val="18"/>
          <w:szCs w:val="18"/>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391.059998pt;margin-top:73.499985pt;width:48.1pt;height:392.05pt;mso-position-horizontal-relative:page;mso-position-vertical-relative:page;z-index:-904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92.037018pt;margin-top:466.299988pt;width:147.15pt;height:131.6pt;mso-position-horizontal-relative:page;mso-position-vertical-relative:page;z-index:-904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则本人承诺按照关于董事、</w:t>
                  </w:r>
                </w:p>
              </w:txbxContent>
            </v:textbox>
            <w10:wrap type="none"/>
          </v:shape>
        </w:pict>
      </w:r>
      <w:r>
        <w:rPr/>
        <w:pict>
          <v:group style="position:absolute;margin-left:397.299988pt;margin-top:73.499985pt;width:41.85pt;height:524.4pt;mso-position-horizontal-relative:page;mso-position-vertical-relative:page;z-index:-904048" coordorigin="7946,1470" coordsize="837,10488">
            <v:group style="position:absolute;left:7946;top:1470;width:837;height:7841" coordorigin="7946,1470" coordsize="837,7841">
              <v:shape style="position:absolute;left:7946;top:1470;width:837;height:7841" coordorigin="7946,1470" coordsize="837,7841" path="m7946,9310l8783,9310,8783,1470,7946,1470,7946,9310xe" filled="true" fillcolor="#ffffff" stroked="false">
                <v:path arrowok="t"/>
                <v:fill type="solid"/>
              </v:shape>
            </v:group>
            <v:group style="position:absolute;left:7946;top:9326;width:837;height:2632" coordorigin="7946,9326" coordsize="837,2632">
              <v:shape style="position:absolute;left:7946;top:9326;width:837;height:2632" coordorigin="7946,9326" coordsize="837,2632" path="m7946,11958l8783,11958,8783,9326,7946,9326,7946,11958xe" filled="true" fillcolor="#ffffff" stroked="false">
                <v:path arrowok="t"/>
                <v:fill type="solid"/>
              </v:shape>
            </v:group>
            <w10:wrap type="none"/>
          </v:group>
        </w:pict>
      </w:r>
      <w:r>
        <w:rPr/>
        <w:pict>
          <v:group style="position:absolute;margin-left:397.299988pt;margin-top:615.459961pt;width:41.85pt;height:149.25pt;mso-position-horizontal-relative:page;mso-position-vertical-relative:page;z-index:-904024" coordorigin="7946,12309" coordsize="837,2985">
            <v:group style="position:absolute;left:7946;top:12662;width:837;height:2632" coordorigin="7946,12662" coordsize="837,2632">
              <v:shape style="position:absolute;left:7946;top:12662;width:837;height:2632" coordorigin="7946,12662" coordsize="837,2632" path="m7946,15294l8783,15294,8783,12662,7946,12662,7946,15294xe" filled="true" fillcolor="#ffffff" stroked="false">
                <v:path arrowok="t"/>
                <v:fill type="solid"/>
              </v:shape>
            </v:group>
            <v:group style="position:absolute;left:7966;top:12309;width:796;height:353" coordorigin="7966,12309" coordsize="796,353">
              <v:shape style="position:absolute;left:7966;top:12309;width:796;height:353" coordorigin="7966,12309" coordsize="796,353" path="m7966,12662l8762,12662,8762,12309,7966,12309,7966,12662xe" filled="true" fillcolor="#ffffff" stroked="false">
                <v:path arrowok="t"/>
                <v:fill type="solid"/>
              </v:shape>
            </v:group>
            <w10:wrap type="none"/>
          </v:group>
        </w:pict>
      </w:r>
    </w:p>
    <w:tbl>
      <w:tblPr>
        <w:tblW w:w="0" w:type="auto"/>
        <w:jc w:val="left"/>
        <w:tblInd w:w="138" w:type="dxa"/>
        <w:tblLayout w:type="fixed"/>
        <w:tblCellMar>
          <w:top w:w="0" w:type="dxa"/>
          <w:left w:w="0" w:type="dxa"/>
          <w:bottom w:w="0" w:type="dxa"/>
          <w:right w:w="0" w:type="dxa"/>
        </w:tblCellMar>
        <w:tblLook w:val="01E0"/>
      </w:tblPr>
      <w:tblGrid>
        <w:gridCol w:w="1135"/>
        <w:gridCol w:w="1276"/>
        <w:gridCol w:w="852"/>
        <w:gridCol w:w="3543"/>
        <w:gridCol w:w="851"/>
        <w:gridCol w:w="805"/>
        <w:gridCol w:w="1107"/>
      </w:tblGrid>
      <w:tr>
        <w:trPr>
          <w:trHeight w:val="327" w:hRule="exact"/>
        </w:trPr>
        <w:tc>
          <w:tcPr>
            <w:tcW w:w="1135" w:type="dxa"/>
            <w:vMerge w:val="restart"/>
            <w:tcBorders>
              <w:top w:val="single" w:sz="12" w:space="0" w:color="000000"/>
              <w:left w:val="single" w:sz="12" w:space="0" w:color="000000"/>
              <w:right w:val="single" w:sz="6" w:space="0" w:color="000000"/>
            </w:tcBorders>
            <w:shd w:val="clear" w:color="auto" w:fill="D2D2D2"/>
          </w:tcPr>
          <w:p>
            <w:pPr/>
          </w:p>
        </w:tc>
        <w:tc>
          <w:tcPr>
            <w:tcW w:w="1276" w:type="dxa"/>
            <w:vMerge w:val="restart"/>
            <w:tcBorders>
              <w:top w:val="single" w:sz="12" w:space="0" w:color="000000"/>
              <w:left w:val="single" w:sz="6" w:space="0" w:color="000000"/>
              <w:right w:val="single" w:sz="6" w:space="0" w:color="000000"/>
            </w:tcBorders>
          </w:tcPr>
          <w:p>
            <w:pPr/>
          </w:p>
        </w:tc>
        <w:tc>
          <w:tcPr>
            <w:tcW w:w="852" w:type="dxa"/>
            <w:vMerge w:val="restart"/>
            <w:tcBorders>
              <w:top w:val="single" w:sz="12" w:space="0" w:color="000000"/>
              <w:left w:val="single" w:sz="6" w:space="0" w:color="000000"/>
              <w:right w:val="single" w:sz="6" w:space="0" w:color="000000"/>
            </w:tcBorders>
          </w:tcPr>
          <w:p>
            <w:pPr/>
          </w:p>
        </w:tc>
        <w:tc>
          <w:tcPr>
            <w:tcW w:w="354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pacing w:val="-5"/>
                <w:sz w:val="18"/>
                <w:szCs w:val="18"/>
              </w:rPr>
              <w:t>日，本公司每年可减持的光一科技股</w:t>
            </w:r>
          </w:p>
        </w:tc>
        <w:tc>
          <w:tcPr>
            <w:tcW w:w="851" w:type="dxa"/>
            <w:tcBorders>
              <w:top w:val="single" w:sz="12" w:space="0" w:color="000000"/>
              <w:left w:val="single" w:sz="6" w:space="0" w:color="000000"/>
              <w:bottom w:val="nil" w:sz="6" w:space="0" w:color="auto"/>
              <w:right w:val="single" w:sz="6" w:space="0" w:color="000000"/>
            </w:tcBorders>
          </w:tcPr>
          <w:p>
            <w:pPr/>
          </w:p>
        </w:tc>
        <w:tc>
          <w:tcPr>
            <w:tcW w:w="805" w:type="dxa"/>
            <w:vMerge w:val="restart"/>
            <w:tcBorders>
              <w:top w:val="single" w:sz="12" w:space="0" w:color="000000"/>
              <w:left w:val="single" w:sz="6" w:space="0" w:color="000000"/>
              <w:right w:val="single" w:sz="6" w:space="0" w:color="000000"/>
            </w:tcBorders>
          </w:tcPr>
          <w:p>
            <w:pPr/>
          </w:p>
        </w:tc>
        <w:tc>
          <w:tcPr>
            <w:tcW w:w="1107" w:type="dxa"/>
            <w:vMerge w:val="restart"/>
            <w:tcBorders>
              <w:top w:val="single" w:sz="12" w:space="0" w:color="000000"/>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份数量不超过上年末本人持有光一科技股份</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2"/>
                <w:sz w:val="18"/>
                <w:szCs w:val="18"/>
              </w:rPr>
              <w:t> </w:t>
            </w:r>
            <w:r>
              <w:rPr>
                <w:rFonts w:ascii="宋体" w:hAnsi="宋体" w:cs="宋体" w:eastAsia="宋体" w:hint="default"/>
                <w:spacing w:val="-4"/>
                <w:sz w:val="18"/>
                <w:szCs w:val="18"/>
              </w:rPr>
              <w:t>25%</w:t>
            </w:r>
            <w:r>
              <w:rPr>
                <w:rFonts w:ascii="宋体" w:hAnsi="宋体" w:cs="宋体" w:eastAsia="宋体" w:hint="default"/>
                <w:spacing w:val="-4"/>
                <w:sz w:val="18"/>
                <w:szCs w:val="18"/>
              </w:rPr>
              <w:t>；在锁定期内，本公司持有的光一</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科技股份可用于股份质押融资的总数不超过</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8"/>
                <w:sz w:val="18"/>
                <w:szCs w:val="18"/>
              </w:rPr>
              <w:t>本公司持有全部光一科技股份数量的</w:t>
            </w:r>
            <w:r>
              <w:rPr>
                <w:rFonts w:ascii="宋体" w:hAnsi="宋体" w:cs="宋体" w:eastAsia="宋体" w:hint="default"/>
                <w:spacing w:val="13"/>
                <w:sz w:val="18"/>
                <w:szCs w:val="18"/>
              </w:rPr>
              <w:t> </w:t>
            </w:r>
            <w:r>
              <w:rPr>
                <w:rFonts w:ascii="宋体" w:hAnsi="宋体" w:cs="宋体" w:eastAsia="宋体" w:hint="default"/>
                <w:sz w:val="18"/>
                <w:szCs w:val="18"/>
              </w:rPr>
              <w:t>85%</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）如果中国证监会及或深圳证券交易所对</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于上述锁定期安排有不同意见及或要求的，</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本公司将按照中国证监会及或深圳证券交易</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所的意见对上述锁定期安排进行修订并予执</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行</w:t>
            </w:r>
            <w:r>
              <w:rPr>
                <w:rFonts w:ascii="宋体" w:hAnsi="宋体" w:cs="宋体" w:eastAsia="宋体" w:hint="default"/>
                <w:spacing w:val="-87"/>
                <w:sz w:val="18"/>
                <w:szCs w:val="18"/>
              </w:rPr>
              <w:t>。</w:t>
            </w:r>
            <w:r>
              <w:rPr>
                <w:rFonts w:ascii="宋体" w:hAnsi="宋体" w:cs="宋体" w:eastAsia="宋体" w:hint="default"/>
                <w:spacing w:val="4"/>
                <w:sz w:val="18"/>
                <w:szCs w:val="18"/>
              </w:rPr>
              <w:t>（</w:t>
            </w:r>
            <w:r>
              <w:rPr>
                <w:rFonts w:ascii="宋体" w:hAnsi="宋体" w:cs="宋体" w:eastAsia="宋体" w:hint="default"/>
                <w:spacing w:val="3"/>
                <w:sz w:val="18"/>
                <w:szCs w:val="18"/>
              </w:rPr>
              <w:t>6</w:t>
            </w:r>
            <w:r>
              <w:rPr>
                <w:rFonts w:ascii="宋体" w:hAnsi="宋体" w:cs="宋体" w:eastAsia="宋体" w:hint="default"/>
                <w:spacing w:val="3"/>
                <w:sz w:val="18"/>
                <w:szCs w:val="18"/>
              </w:rPr>
              <w:t>）如本公司根据《发行股份及支付现</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金购买资产协议》约定负有股份补偿义务，</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则本公司将在《专项审核报告》及《减值测</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试报告</w:t>
            </w:r>
            <w:r>
              <w:rPr>
                <w:rFonts w:ascii="宋体" w:hAnsi="宋体" w:cs="宋体" w:eastAsia="宋体" w:hint="default"/>
                <w:spacing w:val="-103"/>
                <w:sz w:val="18"/>
                <w:szCs w:val="18"/>
              </w:rPr>
              <w:t>》</w:t>
            </w:r>
            <w:r>
              <w:rPr>
                <w:rFonts w:ascii="宋体" w:hAnsi="宋体" w:cs="宋体" w:eastAsia="宋体" w:hint="default"/>
                <w:sz w:val="18"/>
                <w:szCs w:val="18"/>
              </w:rPr>
              <w:t>（如有</w:t>
            </w:r>
            <w:r>
              <w:rPr>
                <w:rFonts w:ascii="宋体" w:hAnsi="宋体" w:cs="宋体" w:eastAsia="宋体" w:hint="default"/>
                <w:spacing w:val="-13"/>
                <w:sz w:val="18"/>
                <w:szCs w:val="18"/>
              </w:rPr>
              <w:t>）</w:t>
            </w:r>
            <w:r>
              <w:rPr>
                <w:rFonts w:ascii="宋体" w:hAnsi="宋体" w:cs="宋体" w:eastAsia="宋体" w:hint="default"/>
                <w:sz w:val="18"/>
                <w:szCs w:val="18"/>
              </w:rPr>
              <w:t>披露后十个工作日内向登记</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结算公司发出将本公司应补偿的股份划转至</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光一科技董事会设立的专门账户并对该等用</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于支付补偿的股份进行锁定的指令，并明确</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说明只有光一科技有权做出解除该等锁定的</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指令。光一科技应为本公司办理《发行股份</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及支付现金购买资产协议》约定的补偿股份</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划转手续提供协助及便利</w:t>
            </w:r>
            <w:r>
              <w:rPr>
                <w:rFonts w:ascii="宋体" w:hAnsi="宋体" w:cs="宋体" w:eastAsia="宋体" w:hint="default"/>
                <w:spacing w:val="-87"/>
                <w:sz w:val="18"/>
                <w:szCs w:val="18"/>
              </w:rPr>
              <w:t>。</w:t>
            </w:r>
            <w:r>
              <w:rPr>
                <w:rFonts w:ascii="宋体" w:hAnsi="宋体" w:cs="宋体" w:eastAsia="宋体" w:hint="default"/>
                <w:spacing w:val="4"/>
                <w:sz w:val="18"/>
                <w:szCs w:val="18"/>
              </w:rPr>
              <w:t>（</w:t>
            </w:r>
            <w:r>
              <w:rPr>
                <w:rFonts w:ascii="宋体" w:hAnsi="宋体" w:cs="宋体" w:eastAsia="宋体" w:hint="default"/>
                <w:spacing w:val="3"/>
                <w:sz w:val="18"/>
                <w:szCs w:val="18"/>
              </w:rPr>
              <w:t>7</w:t>
            </w:r>
            <w:r>
              <w:rPr>
                <w:rFonts w:ascii="宋体" w:hAnsi="宋体" w:cs="宋体" w:eastAsia="宋体" w:hint="default"/>
                <w:spacing w:val="3"/>
                <w:sz w:val="18"/>
                <w:szCs w:val="18"/>
              </w:rPr>
              <w:t>）本公司进一</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步承诺，本公司因本次交易所取得的所支付</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股份在转让时会同时遵守当时有效的《公司</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法</w:t>
            </w:r>
            <w:r>
              <w:rPr>
                <w:rFonts w:ascii="宋体" w:hAnsi="宋体" w:cs="宋体" w:eastAsia="宋体" w:hint="default"/>
                <w:spacing w:val="-87"/>
                <w:sz w:val="18"/>
                <w:szCs w:val="18"/>
              </w:rPr>
              <w:t>》、</w:t>
            </w:r>
            <w:r>
              <w:rPr>
                <w:rFonts w:ascii="宋体" w:hAnsi="宋体" w:cs="宋体" w:eastAsia="宋体" w:hint="default"/>
                <w:spacing w:val="3"/>
                <w:sz w:val="18"/>
                <w:szCs w:val="18"/>
              </w:rPr>
              <w:t>《证券</w:t>
            </w:r>
            <w:r>
              <w:rPr>
                <w:rFonts w:ascii="宋体" w:hAnsi="宋体" w:cs="宋体" w:eastAsia="宋体" w:hint="default"/>
                <w:spacing w:val="2"/>
                <w:sz w:val="18"/>
                <w:szCs w:val="18"/>
              </w:rPr>
              <w:t>法</w:t>
            </w:r>
            <w:r>
              <w:rPr>
                <w:rFonts w:ascii="宋体" w:hAnsi="宋体" w:cs="宋体" w:eastAsia="宋体" w:hint="default"/>
                <w:spacing w:val="-88"/>
                <w:sz w:val="18"/>
                <w:szCs w:val="18"/>
              </w:rPr>
              <w:t>》</w:t>
            </w:r>
            <w:r>
              <w:rPr>
                <w:rFonts w:ascii="宋体" w:hAnsi="宋体" w:cs="宋体" w:eastAsia="宋体" w:hint="default"/>
                <w:spacing w:val="-87"/>
                <w:sz w:val="18"/>
                <w:szCs w:val="18"/>
              </w:rPr>
              <w:t>、</w:t>
            </w:r>
            <w:r>
              <w:rPr>
                <w:rFonts w:ascii="宋体" w:hAnsi="宋体" w:cs="宋体" w:eastAsia="宋体" w:hint="default"/>
                <w:spacing w:val="3"/>
                <w:sz w:val="18"/>
                <w:szCs w:val="18"/>
              </w:rPr>
              <w:t>《深圳证券</w:t>
            </w:r>
            <w:r>
              <w:rPr>
                <w:rFonts w:ascii="宋体" w:hAnsi="宋体" w:cs="宋体" w:eastAsia="宋体" w:hint="default"/>
                <w:spacing w:val="2"/>
                <w:sz w:val="18"/>
                <w:szCs w:val="18"/>
              </w:rPr>
              <w:t>交</w:t>
            </w:r>
            <w:r>
              <w:rPr>
                <w:rFonts w:ascii="宋体" w:hAnsi="宋体" w:cs="宋体" w:eastAsia="宋体" w:hint="default"/>
                <w:spacing w:val="3"/>
                <w:sz w:val="18"/>
                <w:szCs w:val="18"/>
              </w:rPr>
              <w:t>易所创业板</w:t>
            </w:r>
            <w:r>
              <w:rPr>
                <w:rFonts w:ascii="宋体" w:hAnsi="宋体" w:cs="宋体" w:eastAsia="宋体" w:hint="default"/>
                <w:sz w:val="18"/>
                <w:szCs w:val="18"/>
              </w:rPr>
              <w:t>股</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3"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票上市规则》等法律、法规、规章和规范性</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58"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354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文件以及光一科技《公司章程》的相关规定</w:t>
            </w:r>
          </w:p>
        </w:tc>
        <w:tc>
          <w:tcPr>
            <w:tcW w:w="85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805" w:type="dxa"/>
            <w:vMerge/>
            <w:tcBorders>
              <w:left w:val="single" w:sz="6" w:space="0" w:color="000000"/>
              <w:bottom w:val="single" w:sz="6" w:space="0" w:color="000000"/>
              <w:right w:val="single" w:sz="6" w:space="0" w:color="000000"/>
            </w:tcBorders>
          </w:tcPr>
          <w:p>
            <w:pPr/>
          </w:p>
        </w:tc>
        <w:tc>
          <w:tcPr>
            <w:tcW w:w="1107" w:type="dxa"/>
            <w:vMerge/>
            <w:tcBorders>
              <w:left w:val="single" w:sz="6" w:space="0" w:color="000000"/>
              <w:bottom w:val="single" w:sz="6" w:space="0" w:color="000000"/>
              <w:right w:val="single" w:sz="12" w:space="0" w:color="000000"/>
            </w:tcBorders>
          </w:tcPr>
          <w:p>
            <w:pPr/>
          </w:p>
        </w:tc>
      </w:tr>
      <w:tr>
        <w:trPr>
          <w:trHeight w:val="361" w:hRule="exact"/>
        </w:trPr>
        <w:tc>
          <w:tcPr>
            <w:tcW w:w="113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852" w:type="dxa"/>
            <w:tcBorders>
              <w:top w:val="single" w:sz="6" w:space="0" w:color="000000"/>
              <w:left w:val="single" w:sz="6" w:space="0" w:color="000000"/>
              <w:bottom w:val="nil" w:sz="6" w:space="0" w:color="auto"/>
              <w:right w:val="single" w:sz="6" w:space="0" w:color="000000"/>
            </w:tcBorders>
          </w:tcPr>
          <w:p>
            <w:pPr/>
          </w:p>
        </w:tc>
        <w:tc>
          <w:tcPr>
            <w:tcW w:w="354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个月内不转让本</w:t>
            </w:r>
          </w:p>
        </w:tc>
        <w:tc>
          <w:tcPr>
            <w:tcW w:w="851"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1107"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人因本次交易所取得的所支付股份。本人今</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后如被光一科技选举为董事、监事或者聘任</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为高级管理人员，</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监事及高管持股及减持的规定履行持股锁定</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及减持义务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）为保证本次交易盈利预测</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补偿承诺的可实现性，本人进一步承诺，如</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1560"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316" w:lineRule="auto" w:before="147"/>
              <w:ind w:left="20" w:right="19"/>
              <w:jc w:val="left"/>
              <w:rPr>
                <w:rFonts w:ascii="宋体" w:hAnsi="宋体" w:cs="宋体" w:eastAsia="宋体" w:hint="default"/>
                <w:sz w:val="18"/>
                <w:szCs w:val="18"/>
              </w:rPr>
            </w:pPr>
            <w:r>
              <w:rPr>
                <w:rFonts w:ascii="宋体" w:hAnsi="宋体" w:cs="宋体" w:eastAsia="宋体" w:hint="default"/>
                <w:sz w:val="18"/>
                <w:szCs w:val="18"/>
              </w:rPr>
              <w:t>桂长钟、李善 </w:t>
            </w:r>
            <w:r>
              <w:rPr>
                <w:rFonts w:ascii="宋体" w:hAnsi="宋体" w:cs="宋体" w:eastAsia="宋体" w:hint="default"/>
                <w:spacing w:val="-6"/>
                <w:sz w:val="18"/>
                <w:szCs w:val="18"/>
              </w:rPr>
              <w:t>元、周军、田裕</w:t>
            </w:r>
            <w:r>
              <w:rPr>
                <w:rFonts w:ascii="宋体" w:hAnsi="宋体" w:cs="宋体" w:eastAsia="宋体" w:hint="default"/>
                <w:sz w:val="18"/>
                <w:szCs w:val="18"/>
              </w:rPr>
              <w:t> </w:t>
            </w:r>
            <w:r>
              <w:rPr>
                <w:rFonts w:ascii="宋体" w:hAnsi="宋体" w:cs="宋体" w:eastAsia="宋体" w:hint="default"/>
                <w:spacing w:val="-6"/>
                <w:sz w:val="18"/>
                <w:szCs w:val="18"/>
              </w:rPr>
              <w:t>树、方旭东、李</w:t>
            </w:r>
            <w:r>
              <w:rPr>
                <w:rFonts w:ascii="宋体" w:hAnsi="宋体" w:cs="宋体" w:eastAsia="宋体" w:hint="default"/>
                <w:sz w:val="18"/>
                <w:szCs w:val="18"/>
              </w:rPr>
              <w:t> 强、徐光涛</w:t>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1"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tcBorders>
              <w:top w:val="nil" w:sz="6" w:space="0" w:color="auto"/>
              <w:left w:val="single" w:sz="6" w:space="0" w:color="000000"/>
              <w:bottom w:val="nil" w:sz="6" w:space="0" w:color="auto"/>
              <w:right w:val="single" w:sz="14" w:space="0" w:color="FFFFFF"/>
            </w:tcBorders>
          </w:tcPr>
          <w:p>
            <w:pPr>
              <w:pStyle w:val="TableParagraph"/>
              <w:spacing w:line="316" w:lineRule="auto" w:before="10"/>
              <w:ind w:left="20" w:right="8"/>
              <w:jc w:val="left"/>
              <w:rPr>
                <w:rFonts w:ascii="宋体" w:hAnsi="宋体" w:cs="宋体" w:eastAsia="宋体" w:hint="default"/>
                <w:sz w:val="18"/>
                <w:szCs w:val="18"/>
              </w:rPr>
            </w:pPr>
            <w:r>
              <w:rPr>
                <w:rFonts w:ascii="宋体" w:hAnsi="宋体" w:cs="宋体" w:eastAsia="宋体" w:hint="default"/>
                <w:sz w:val="18"/>
                <w:szCs w:val="18"/>
              </w:rPr>
              <w:t>果在前述</w:t>
            </w:r>
            <w:r>
              <w:rPr>
                <w:rFonts w:ascii="宋体" w:hAnsi="宋体" w:cs="宋体" w:eastAsia="宋体" w:hint="default"/>
                <w:spacing w:val="-55"/>
                <w:sz w:val="18"/>
                <w:szCs w:val="18"/>
              </w:rPr>
              <w:t> </w:t>
            </w:r>
            <w:r>
              <w:rPr>
                <w:rFonts w:ascii="宋体" w:hAnsi="宋体" w:cs="宋体" w:eastAsia="宋体" w:hint="default"/>
                <w:sz w:val="18"/>
                <w:szCs w:val="18"/>
              </w:rPr>
              <w:t>36</w:t>
            </w:r>
            <w:r>
              <w:rPr>
                <w:rFonts w:ascii="宋体" w:hAnsi="宋体" w:cs="宋体" w:eastAsia="宋体" w:hint="default"/>
                <w:spacing w:val="-55"/>
                <w:sz w:val="18"/>
                <w:szCs w:val="18"/>
              </w:rPr>
              <w:t> </w:t>
            </w:r>
            <w:r>
              <w:rPr>
                <w:rFonts w:ascii="宋体" w:hAnsi="宋体" w:cs="宋体" w:eastAsia="宋体" w:hint="default"/>
                <w:sz w:val="18"/>
                <w:szCs w:val="18"/>
              </w:rPr>
              <w:t>个月锁定期届满后本人按照《发 行股份及支付现金购买资产协议》约定负有 股份补偿义务未履行的，则锁定期自动延期 </w:t>
            </w:r>
            <w:r>
              <w:rPr>
                <w:rFonts w:ascii="宋体" w:hAnsi="宋体" w:cs="宋体" w:eastAsia="宋体" w:hint="default"/>
                <w:spacing w:val="-6"/>
                <w:sz w:val="18"/>
                <w:szCs w:val="18"/>
              </w:rPr>
              <w:t>至本人所负股份补偿义务履行完毕时止。（</w:t>
            </w:r>
            <w:r>
              <w:rPr>
                <w:rFonts w:ascii="宋体" w:hAnsi="宋体" w:cs="宋体" w:eastAsia="宋体" w:hint="default"/>
                <w:spacing w:val="-6"/>
                <w:sz w:val="18"/>
                <w:szCs w:val="18"/>
              </w:rPr>
              <w:t>3</w:t>
            </w:r>
            <w:r>
              <w:rPr>
                <w:rFonts w:ascii="宋体" w:hAnsi="宋体" w:cs="宋体" w:eastAsia="宋体" w:hint="default"/>
                <w:spacing w:val="-83"/>
                <w:sz w:val="18"/>
                <w:szCs w:val="18"/>
              </w:rPr>
              <w:t> </w:t>
            </w:r>
            <w:r>
              <w:rPr>
                <w:rFonts w:ascii="宋体" w:hAnsi="宋体" w:cs="宋体" w:eastAsia="宋体" w:hint="default"/>
                <w:sz w:val="18"/>
                <w:szCs w:val="18"/>
              </w:rPr>
              <w:t>本函第一条所述</w:t>
            </w:r>
            <w:r>
              <w:rPr>
                <w:rFonts w:ascii="宋体" w:hAnsi="宋体" w:cs="宋体" w:eastAsia="宋体" w:hint="default"/>
                <w:sz w:val="18"/>
                <w:szCs w:val="18"/>
              </w:rPr>
              <w:t>"</w:t>
            </w:r>
            <w:r>
              <w:rPr>
                <w:rFonts w:ascii="宋体" w:hAnsi="宋体" w:cs="宋体" w:eastAsia="宋体" w:hint="default"/>
                <w:sz w:val="18"/>
                <w:szCs w:val="18"/>
              </w:rPr>
              <w:t>因本次交易所取得的所支</w:t>
            </w:r>
          </w:p>
        </w:tc>
        <w:tc>
          <w:tcPr>
            <w:tcW w:w="851" w:type="dxa"/>
            <w:tcBorders>
              <w:top w:val="nil" w:sz="6" w:space="0" w:color="auto"/>
              <w:left w:val="single" w:sz="14" w:space="0" w:color="FFFFFF"/>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05" w:lineRule="exact" w:before="76"/>
              <w:ind w:left="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05"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7"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付股份</w:t>
            </w:r>
            <w:r>
              <w:rPr>
                <w:rFonts w:ascii="宋体" w:hAnsi="宋体" w:cs="宋体" w:eastAsia="宋体" w:hint="default"/>
                <w:sz w:val="18"/>
                <w:szCs w:val="18"/>
              </w:rPr>
              <w:t>"</w:t>
            </w:r>
            <w:r>
              <w:rPr>
                <w:rFonts w:ascii="宋体" w:hAnsi="宋体" w:cs="宋体" w:eastAsia="宋体" w:hint="default"/>
                <w:sz w:val="18"/>
                <w:szCs w:val="18"/>
              </w:rPr>
              <w:t>包括锁定期内本人依据所支付股份</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按照光一科技分配股票股利、资本公积转增</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股本等原因所取得的股份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）如果中国证</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监会及或深圳证券交易所对于上述锁定期安</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排有不同意见及或要求的，本人将按照中国</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证监会及或深圳证券交易所的意见对上述锁</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13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12" w:space="0" w:color="000000"/>
              <w:right w:val="single" w:sz="6" w:space="0" w:color="000000"/>
            </w:tcBorders>
          </w:tcPr>
          <w:p>
            <w:pPr/>
          </w:p>
        </w:tc>
        <w:tc>
          <w:tcPr>
            <w:tcW w:w="852" w:type="dxa"/>
            <w:tcBorders>
              <w:top w:val="nil" w:sz="6" w:space="0" w:color="auto"/>
              <w:left w:val="single" w:sz="6" w:space="0" w:color="000000"/>
              <w:bottom w:val="single" w:sz="12" w:space="0" w:color="000000"/>
              <w:right w:val="single" w:sz="6" w:space="0" w:color="000000"/>
            </w:tcBorders>
          </w:tcPr>
          <w:p>
            <w:pPr/>
          </w:p>
        </w:tc>
        <w:tc>
          <w:tcPr>
            <w:tcW w:w="354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定期安排进行修订并予执行</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）如本人根</w:t>
            </w:r>
          </w:p>
        </w:tc>
        <w:tc>
          <w:tcPr>
            <w:tcW w:w="851" w:type="dxa"/>
            <w:tcBorders>
              <w:top w:val="nil" w:sz="6" w:space="0" w:color="auto"/>
              <w:left w:val="single" w:sz="6" w:space="0" w:color="000000"/>
              <w:bottom w:val="single" w:sz="12" w:space="0" w:color="000000"/>
              <w:right w:val="single" w:sz="6" w:space="0" w:color="000000"/>
            </w:tcBorders>
          </w:tcPr>
          <w:p>
            <w:pPr/>
          </w:p>
        </w:tc>
        <w:tc>
          <w:tcPr>
            <w:tcW w:w="805" w:type="dxa"/>
            <w:tcBorders>
              <w:top w:val="nil" w:sz="6" w:space="0" w:color="auto"/>
              <w:left w:val="single" w:sz="6" w:space="0" w:color="000000"/>
              <w:bottom w:val="single" w:sz="12" w:space="0" w:color="000000"/>
              <w:right w:val="single" w:sz="6" w:space="0" w:color="000000"/>
            </w:tcBorders>
          </w:tcPr>
          <w:p>
            <w:pPr/>
          </w:p>
        </w:tc>
        <w:tc>
          <w:tcPr>
            <w:tcW w:w="1107"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397.299988pt;margin-top:325.879974pt;width:41.85pt;height:201.8pt;mso-position-horizontal-relative:page;mso-position-vertical-relative:page;z-index:-904000" coordorigin="7946,6518" coordsize="837,4036">
            <v:shape style="position:absolute;left:7946;top:6518;width:837;height:4036" coordorigin="7946,6518" coordsize="837,4036" path="m7946,10554l8783,10554,8783,6518,7946,6518,7946,10554xe" filled="true" fillcolor="#ffffff" stroked="false">
              <v:path arrowok="t"/>
              <v:fill type="solid"/>
            </v:shape>
            <w10:wrap type="none"/>
          </v:group>
        </w:pict>
      </w:r>
    </w:p>
    <w:tbl>
      <w:tblPr>
        <w:tblW w:w="0" w:type="auto"/>
        <w:jc w:val="left"/>
        <w:tblInd w:w="138" w:type="dxa"/>
        <w:tblLayout w:type="fixed"/>
        <w:tblCellMar>
          <w:top w:w="0" w:type="dxa"/>
          <w:left w:w="0" w:type="dxa"/>
          <w:bottom w:w="0" w:type="dxa"/>
          <w:right w:w="0" w:type="dxa"/>
        </w:tblCellMar>
        <w:tblLook w:val="01E0"/>
      </w:tblPr>
      <w:tblGrid>
        <w:gridCol w:w="1135"/>
        <w:gridCol w:w="1276"/>
        <w:gridCol w:w="852"/>
        <w:gridCol w:w="3543"/>
        <w:gridCol w:w="851"/>
        <w:gridCol w:w="805"/>
        <w:gridCol w:w="1107"/>
      </w:tblGrid>
      <w:tr>
        <w:trPr>
          <w:trHeight w:val="327" w:hRule="exact"/>
        </w:trPr>
        <w:tc>
          <w:tcPr>
            <w:tcW w:w="1135" w:type="dxa"/>
            <w:vMerge w:val="restart"/>
            <w:tcBorders>
              <w:top w:val="single" w:sz="12" w:space="0" w:color="000000"/>
              <w:left w:val="single" w:sz="12" w:space="0" w:color="000000"/>
              <w:right w:val="single" w:sz="6" w:space="0" w:color="000000"/>
            </w:tcBorders>
            <w:shd w:val="clear" w:color="auto" w:fill="D2D2D2"/>
          </w:tcPr>
          <w:p>
            <w:pPr/>
          </w:p>
        </w:tc>
        <w:tc>
          <w:tcPr>
            <w:tcW w:w="1276" w:type="dxa"/>
            <w:vMerge w:val="restart"/>
            <w:tcBorders>
              <w:top w:val="single" w:sz="12" w:space="0" w:color="000000"/>
              <w:left w:val="single" w:sz="6" w:space="0" w:color="000000"/>
              <w:right w:val="single" w:sz="6" w:space="0" w:color="000000"/>
            </w:tcBorders>
          </w:tcPr>
          <w:p>
            <w:pPr/>
          </w:p>
        </w:tc>
        <w:tc>
          <w:tcPr>
            <w:tcW w:w="852" w:type="dxa"/>
            <w:vMerge w:val="restart"/>
            <w:tcBorders>
              <w:top w:val="single" w:sz="12" w:space="0" w:color="000000"/>
              <w:left w:val="single" w:sz="6" w:space="0" w:color="000000"/>
              <w:right w:val="single" w:sz="6" w:space="0" w:color="000000"/>
            </w:tcBorders>
          </w:tcPr>
          <w:p>
            <w:pPr/>
          </w:p>
        </w:tc>
        <w:tc>
          <w:tcPr>
            <w:tcW w:w="354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据《发行股份及支付现金购买资产协议》约</w:t>
            </w:r>
          </w:p>
        </w:tc>
        <w:tc>
          <w:tcPr>
            <w:tcW w:w="851" w:type="dxa"/>
            <w:vMerge w:val="restart"/>
            <w:tcBorders>
              <w:top w:val="single" w:sz="12" w:space="0" w:color="000000"/>
              <w:left w:val="single" w:sz="6" w:space="0" w:color="000000"/>
              <w:right w:val="single" w:sz="6" w:space="0" w:color="000000"/>
            </w:tcBorders>
          </w:tcPr>
          <w:p>
            <w:pPr/>
          </w:p>
        </w:tc>
        <w:tc>
          <w:tcPr>
            <w:tcW w:w="805" w:type="dxa"/>
            <w:vMerge w:val="restart"/>
            <w:tcBorders>
              <w:top w:val="single" w:sz="12" w:space="0" w:color="000000"/>
              <w:left w:val="single" w:sz="6" w:space="0" w:color="000000"/>
              <w:right w:val="single" w:sz="6" w:space="0" w:color="000000"/>
            </w:tcBorders>
          </w:tcPr>
          <w:p>
            <w:pPr/>
          </w:p>
        </w:tc>
        <w:tc>
          <w:tcPr>
            <w:tcW w:w="1107" w:type="dxa"/>
            <w:vMerge w:val="restart"/>
            <w:tcBorders>
              <w:top w:val="single" w:sz="12" w:space="0" w:color="000000"/>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定负有股份补偿义务，则本人将在《专项审</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核报告</w:t>
            </w:r>
            <w:r>
              <w:rPr>
                <w:rFonts w:ascii="宋体" w:hAnsi="宋体" w:cs="宋体" w:eastAsia="宋体" w:hint="default"/>
                <w:spacing w:val="-6"/>
                <w:sz w:val="18"/>
                <w:szCs w:val="18"/>
              </w:rPr>
              <w:t>》及</w:t>
            </w:r>
            <w:r>
              <w:rPr>
                <w:rFonts w:ascii="宋体" w:hAnsi="宋体" w:cs="宋体" w:eastAsia="宋体" w:hint="default"/>
                <w:sz w:val="18"/>
                <w:szCs w:val="18"/>
              </w:rPr>
              <w:t>《减值测试报告</w:t>
            </w:r>
            <w:r>
              <w:rPr>
                <w:rFonts w:ascii="宋体" w:hAnsi="宋体" w:cs="宋体" w:eastAsia="宋体" w:hint="default"/>
                <w:spacing w:val="-96"/>
                <w:sz w:val="18"/>
                <w:szCs w:val="18"/>
              </w:rPr>
              <w:t>》</w:t>
            </w:r>
            <w:r>
              <w:rPr>
                <w:rFonts w:ascii="宋体" w:hAnsi="宋体" w:cs="宋体" w:eastAsia="宋体" w:hint="default"/>
                <w:sz w:val="18"/>
                <w:szCs w:val="18"/>
              </w:rPr>
              <w:t>（如有</w:t>
            </w:r>
            <w:r>
              <w:rPr>
                <w:rFonts w:ascii="宋体" w:hAnsi="宋体" w:cs="宋体" w:eastAsia="宋体" w:hint="default"/>
                <w:spacing w:val="-6"/>
                <w:sz w:val="18"/>
                <w:szCs w:val="18"/>
              </w:rPr>
              <w:t>）</w:t>
            </w:r>
            <w:r>
              <w:rPr>
                <w:rFonts w:ascii="宋体" w:hAnsi="宋体" w:cs="宋体" w:eastAsia="宋体" w:hint="default"/>
                <w:sz w:val="18"/>
                <w:szCs w:val="18"/>
              </w:rPr>
              <w:t>披露后</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十个工作日内向登记结算公司发出将本人应</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补偿的股份划转至光一科技董事会设立的专</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门账户并对该等用于支付补偿的股份进行锁</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定的指令，并明确说明只有光一科技有权做</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出解除该等锁定的指令。光一科技应为本人</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办理《发行股份及支付现金购买资产协议》</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约定的补偿股份划转手续提供协助及便利。</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6</w:t>
            </w:r>
            <w:r>
              <w:rPr>
                <w:rFonts w:ascii="宋体" w:hAnsi="宋体" w:cs="宋体" w:eastAsia="宋体" w:hint="default"/>
                <w:spacing w:val="-2"/>
                <w:sz w:val="18"/>
                <w:szCs w:val="18"/>
              </w:rPr>
              <w:t>）本人进一步承诺，本人因本次交易所取</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得的所支付股份在转让时会同时遵守当时有</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效的《公司法</w:t>
            </w:r>
            <w:r>
              <w:rPr>
                <w:rFonts w:ascii="宋体" w:hAnsi="宋体" w:cs="宋体" w:eastAsia="宋体" w:hint="default"/>
                <w:spacing w:val="-90"/>
                <w:sz w:val="18"/>
                <w:szCs w:val="18"/>
              </w:rPr>
              <w:t>》、</w:t>
            </w: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z w:val="18"/>
                <w:szCs w:val="18"/>
              </w:rPr>
              <w:t>《深圳证券交易</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所创业板股票上市规则》等法律、法规、规</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13"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2" w:type="dxa"/>
            <w:vMerge/>
            <w:tcBorders>
              <w:left w:val="single" w:sz="6" w:space="0" w:color="000000"/>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章和规范性文件以及光一科技《公司章程》</w:t>
            </w:r>
          </w:p>
        </w:tc>
        <w:tc>
          <w:tcPr>
            <w:tcW w:w="851" w:type="dxa"/>
            <w:vMerge/>
            <w:tcBorders>
              <w:left w:val="single" w:sz="6"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107" w:type="dxa"/>
            <w:vMerge/>
            <w:tcBorders>
              <w:left w:val="single" w:sz="6" w:space="0" w:color="000000"/>
              <w:right w:val="single" w:sz="12" w:space="0" w:color="000000"/>
            </w:tcBorders>
          </w:tcPr>
          <w:p>
            <w:pPr/>
          </w:p>
        </w:tc>
      </w:tr>
      <w:tr>
        <w:trPr>
          <w:trHeight w:val="358" w:hRule="exact"/>
        </w:trPr>
        <w:tc>
          <w:tcPr>
            <w:tcW w:w="113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354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的相关规定。</w:t>
            </w:r>
          </w:p>
        </w:tc>
        <w:tc>
          <w:tcPr>
            <w:tcW w:w="851" w:type="dxa"/>
            <w:vMerge/>
            <w:tcBorders>
              <w:left w:val="single" w:sz="6" w:space="0" w:color="000000"/>
              <w:bottom w:val="single" w:sz="6" w:space="0" w:color="000000"/>
              <w:right w:val="single" w:sz="6" w:space="0" w:color="000000"/>
            </w:tcBorders>
          </w:tcPr>
          <w:p>
            <w:pPr/>
          </w:p>
        </w:tc>
        <w:tc>
          <w:tcPr>
            <w:tcW w:w="805" w:type="dxa"/>
            <w:vMerge/>
            <w:tcBorders>
              <w:left w:val="single" w:sz="6" w:space="0" w:color="000000"/>
              <w:bottom w:val="single" w:sz="6" w:space="0" w:color="000000"/>
              <w:right w:val="single" w:sz="6" w:space="0" w:color="000000"/>
            </w:tcBorders>
          </w:tcPr>
          <w:p>
            <w:pPr/>
          </w:p>
        </w:tc>
        <w:tc>
          <w:tcPr>
            <w:tcW w:w="1107" w:type="dxa"/>
            <w:vMerge/>
            <w:tcBorders>
              <w:left w:val="single" w:sz="6" w:space="0" w:color="000000"/>
              <w:bottom w:val="single" w:sz="6" w:space="0" w:color="000000"/>
              <w:right w:val="single" w:sz="12" w:space="0" w:color="000000"/>
            </w:tcBorders>
          </w:tcPr>
          <w:p>
            <w:pPr/>
          </w:p>
        </w:tc>
      </w:tr>
      <w:tr>
        <w:trPr>
          <w:trHeight w:val="361" w:hRule="exact"/>
        </w:trPr>
        <w:tc>
          <w:tcPr>
            <w:tcW w:w="113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852" w:type="dxa"/>
            <w:tcBorders>
              <w:top w:val="single" w:sz="6" w:space="0" w:color="000000"/>
              <w:left w:val="single" w:sz="6" w:space="0" w:color="000000"/>
              <w:bottom w:val="nil" w:sz="6" w:space="0" w:color="auto"/>
              <w:right w:val="single" w:sz="6" w:space="0" w:color="000000"/>
            </w:tcBorders>
          </w:tcPr>
          <w:p>
            <w:pPr/>
          </w:p>
        </w:tc>
        <w:tc>
          <w:tcPr>
            <w:tcW w:w="354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
                <w:sz w:val="18"/>
                <w:szCs w:val="18"/>
              </w:rPr>
              <w:t>、</w:t>
            </w:r>
            <w:r>
              <w:rPr>
                <w:rFonts w:ascii="宋体" w:hAnsi="宋体" w:cs="宋体" w:eastAsia="宋体" w:hint="default"/>
                <w:sz w:val="18"/>
                <w:szCs w:val="18"/>
              </w:rPr>
              <w:t>关于避免同业竞争的承诺</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8"/>
                <w:sz w:val="18"/>
                <w:szCs w:val="18"/>
              </w:rPr>
              <w:t>）</w:t>
            </w:r>
            <w:r>
              <w:rPr>
                <w:rFonts w:ascii="宋体" w:hAnsi="宋体" w:cs="宋体" w:eastAsia="宋体" w:hint="default"/>
                <w:sz w:val="18"/>
                <w:szCs w:val="18"/>
              </w:rPr>
              <w:t>本次交易</w:t>
            </w:r>
          </w:p>
        </w:tc>
        <w:tc>
          <w:tcPr>
            <w:tcW w:w="851"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1107"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2"/>
                <w:sz w:val="18"/>
                <w:szCs w:val="18"/>
              </w:rPr>
              <w:t>完成后，在作为光一科技股东期间，本公司</w:t>
            </w:r>
            <w:r>
              <w:rPr>
                <w:rFonts w:ascii="宋体" w:hAnsi="宋体" w:cs="宋体" w:eastAsia="宋体" w:hint="default"/>
                <w:spacing w:val="-2"/>
                <w:sz w:val="18"/>
                <w:szCs w:val="18"/>
              </w:rPr>
              <w:t>/</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本人及控制的其他企业不会直接或间接从事</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任何与光一科技及其下属公司主要经营业务</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构成同业竞争或潜在同业竞争关系的生产与</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经营业务，亦不会投资任何与光一科技及其</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下属公司主要经营业务构成同业竞争或潜在</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同业竞争关系的其他企业</w:t>
            </w:r>
            <w:r>
              <w:rPr>
                <w:rFonts w:ascii="宋体" w:hAnsi="宋体" w:cs="宋体" w:eastAsia="宋体" w:hint="default"/>
                <w:spacing w:val="-103"/>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在上述期间</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7"/>
                <w:sz w:val="18"/>
                <w:szCs w:val="18"/>
              </w:rPr>
              <w:t>如本公司</w:t>
            </w:r>
            <w:r>
              <w:rPr>
                <w:rFonts w:ascii="宋体" w:hAnsi="宋体" w:cs="宋体" w:eastAsia="宋体" w:hint="default"/>
                <w:spacing w:val="7"/>
                <w:sz w:val="18"/>
                <w:szCs w:val="18"/>
              </w:rPr>
              <w:t>/</w:t>
            </w:r>
            <w:r>
              <w:rPr>
                <w:rFonts w:ascii="宋体" w:hAnsi="宋体" w:cs="宋体" w:eastAsia="宋体" w:hint="default"/>
                <w:spacing w:val="7"/>
                <w:sz w:val="18"/>
                <w:szCs w:val="18"/>
              </w:rPr>
              <w:t>本人及控制的企业的现有业务或</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该等企业为进一步拓展业务范围，与光一科</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0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技及其下属公司经营的业务产生竞争，则本</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1"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20" w:right="0"/>
              <w:jc w:val="left"/>
              <w:rPr>
                <w:rFonts w:ascii="宋体" w:hAnsi="宋体" w:cs="宋体" w:eastAsia="宋体" w:hint="default"/>
                <w:sz w:val="18"/>
                <w:szCs w:val="18"/>
              </w:rPr>
            </w:pPr>
            <w:r>
              <w:rPr>
                <w:rFonts w:ascii="宋体" w:hAnsi="宋体" w:cs="宋体" w:eastAsia="宋体" w:hint="default"/>
                <w:spacing w:val="7"/>
                <w:sz w:val="18"/>
                <w:szCs w:val="18"/>
              </w:rPr>
              <w:t>公司</w:t>
            </w:r>
            <w:r>
              <w:rPr>
                <w:rFonts w:ascii="宋体" w:hAnsi="宋体" w:cs="宋体" w:eastAsia="宋体" w:hint="default"/>
                <w:spacing w:val="7"/>
                <w:sz w:val="18"/>
                <w:szCs w:val="18"/>
              </w:rPr>
              <w:t>/</w:t>
            </w:r>
            <w:r>
              <w:rPr>
                <w:rFonts w:ascii="宋体" w:hAnsi="宋体" w:cs="宋体" w:eastAsia="宋体" w:hint="default"/>
                <w:spacing w:val="7"/>
                <w:sz w:val="18"/>
                <w:szCs w:val="18"/>
              </w:rPr>
              <w:t>本人及控制的企业将采取停止经营产</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1249"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316" w:lineRule="auto" w:before="157"/>
              <w:ind w:left="20" w:right="158"/>
              <w:jc w:val="both"/>
              <w:rPr>
                <w:rFonts w:ascii="宋体" w:hAnsi="宋体" w:cs="宋体" w:eastAsia="宋体" w:hint="default"/>
                <w:sz w:val="18"/>
                <w:szCs w:val="18"/>
              </w:rPr>
            </w:pPr>
            <w:r>
              <w:rPr>
                <w:rFonts w:ascii="宋体" w:hAnsi="宋体" w:cs="宋体" w:eastAsia="宋体" w:hint="default"/>
                <w:sz w:val="18"/>
                <w:szCs w:val="18"/>
              </w:rPr>
              <w:t>江苏光一投资 管理有限责任 公司、龙昌明</w:t>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316" w:lineRule="auto"/>
              <w:ind w:left="21" w:right="95"/>
              <w:jc w:val="both"/>
              <w:rPr>
                <w:rFonts w:ascii="宋体" w:hAnsi="宋体" w:cs="宋体" w:eastAsia="宋体" w:hint="default"/>
                <w:sz w:val="18"/>
                <w:szCs w:val="18"/>
              </w:rPr>
            </w:pPr>
            <w:r>
              <w:rPr>
                <w:rFonts w:ascii="宋体" w:hAnsi="宋体" w:cs="宋体" w:eastAsia="宋体" w:hint="default"/>
                <w:sz w:val="18"/>
                <w:szCs w:val="18"/>
              </w:rPr>
              <w:t>竞争、关 联交易、 资金占用 方面的承</w:t>
            </w: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316" w:lineRule="auto" w:before="20"/>
              <w:ind w:left="20" w:right="18"/>
              <w:jc w:val="both"/>
              <w:rPr>
                <w:rFonts w:ascii="宋体" w:hAnsi="宋体" w:cs="宋体" w:eastAsia="宋体" w:hint="default"/>
                <w:sz w:val="18"/>
                <w:szCs w:val="18"/>
              </w:rPr>
            </w:pPr>
            <w:r>
              <w:rPr>
                <w:rFonts w:ascii="宋体" w:hAnsi="宋体" w:cs="宋体" w:eastAsia="宋体" w:hint="default"/>
                <w:spacing w:val="3"/>
                <w:sz w:val="18"/>
                <w:szCs w:val="18"/>
              </w:rPr>
              <w:t>生竞争的业务的方式，或者采取将产生竞争</w:t>
            </w:r>
            <w:r>
              <w:rPr>
                <w:rFonts w:ascii="宋体" w:hAnsi="宋体" w:cs="宋体" w:eastAsia="宋体" w:hint="default"/>
                <w:sz w:val="18"/>
                <w:szCs w:val="18"/>
              </w:rPr>
              <w:t> </w:t>
            </w:r>
            <w:r>
              <w:rPr>
                <w:rFonts w:ascii="宋体" w:hAnsi="宋体" w:cs="宋体" w:eastAsia="宋体" w:hint="default"/>
                <w:spacing w:val="3"/>
                <w:sz w:val="18"/>
                <w:szCs w:val="18"/>
              </w:rPr>
              <w:t>的业务纳入光一科技的方式，或者采取将产</w:t>
            </w:r>
            <w:r>
              <w:rPr>
                <w:rFonts w:ascii="宋体" w:hAnsi="宋体" w:cs="宋体" w:eastAsia="宋体" w:hint="default"/>
                <w:sz w:val="18"/>
                <w:szCs w:val="18"/>
              </w:rPr>
              <w:t> </w:t>
            </w:r>
            <w:r>
              <w:rPr>
                <w:rFonts w:ascii="宋体" w:hAnsi="宋体" w:cs="宋体" w:eastAsia="宋体" w:hint="default"/>
                <w:spacing w:val="3"/>
                <w:sz w:val="18"/>
                <w:szCs w:val="18"/>
              </w:rPr>
              <w:t>生竞争的业务转让给无关联关系第三方等的</w:t>
            </w:r>
            <w:r>
              <w:rPr>
                <w:rFonts w:ascii="宋体" w:hAnsi="宋体" w:cs="宋体" w:eastAsia="宋体" w:hint="default"/>
                <w:sz w:val="18"/>
                <w:szCs w:val="18"/>
              </w:rPr>
              <w:t> </w:t>
            </w:r>
            <w:r>
              <w:rPr>
                <w:rFonts w:ascii="宋体" w:hAnsi="宋体" w:cs="宋体" w:eastAsia="宋体" w:hint="default"/>
                <w:spacing w:val="-2"/>
                <w:sz w:val="18"/>
                <w:szCs w:val="18"/>
              </w:rPr>
              <w:t>合法方式，使本公司</w:t>
            </w:r>
            <w:r>
              <w:rPr>
                <w:rFonts w:ascii="宋体" w:hAnsi="宋体" w:cs="宋体" w:eastAsia="宋体" w:hint="default"/>
                <w:spacing w:val="-2"/>
                <w:sz w:val="18"/>
                <w:szCs w:val="18"/>
              </w:rPr>
              <w:t>/</w:t>
            </w:r>
            <w:r>
              <w:rPr>
                <w:rFonts w:ascii="宋体" w:hAnsi="宋体" w:cs="宋体" w:eastAsia="宋体" w:hint="default"/>
                <w:spacing w:val="-2"/>
                <w:sz w:val="18"/>
                <w:szCs w:val="18"/>
              </w:rPr>
              <w:t>本人及控制的企业不再</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2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20" w:right="0"/>
              <w:jc w:val="left"/>
              <w:rPr>
                <w:rFonts w:ascii="宋体" w:hAnsi="宋体" w:cs="宋体" w:eastAsia="宋体" w:hint="default"/>
                <w:sz w:val="18"/>
                <w:szCs w:val="18"/>
              </w:rPr>
            </w:pPr>
            <w:r>
              <w:rPr>
                <w:rFonts w:ascii="宋体" w:hAnsi="宋体" w:cs="宋体" w:eastAsia="宋体" w:hint="default"/>
                <w:spacing w:val="13"/>
                <w:sz w:val="18"/>
                <w:szCs w:val="18"/>
              </w:rPr>
              <w:t>从事与光一科技主营业务相同或类似的业</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务</w:t>
            </w:r>
            <w:r>
              <w:rPr>
                <w:rFonts w:ascii="宋体" w:hAnsi="宋体" w:cs="宋体" w:eastAsia="宋体" w:hint="default"/>
                <w:spacing w:val="-87"/>
                <w:sz w:val="18"/>
                <w:szCs w:val="18"/>
              </w:rPr>
              <w:t>。</w:t>
            </w:r>
            <w:r>
              <w:rPr>
                <w:rFonts w:ascii="宋体" w:hAnsi="宋体" w:cs="宋体" w:eastAsia="宋体" w:hint="default"/>
                <w:spacing w:val="4"/>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）本函自签署出具之日起立即生效，</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即对本公司</w:t>
            </w:r>
            <w:r>
              <w:rPr>
                <w:rFonts w:ascii="宋体" w:hAnsi="宋体" w:cs="宋体" w:eastAsia="宋体" w:hint="default"/>
                <w:sz w:val="18"/>
                <w:szCs w:val="18"/>
              </w:rPr>
              <w:t>/</w:t>
            </w:r>
            <w:r>
              <w:rPr>
                <w:rFonts w:ascii="宋体" w:hAnsi="宋体" w:cs="宋体" w:eastAsia="宋体" w:hint="default"/>
                <w:sz w:val="18"/>
                <w:szCs w:val="18"/>
              </w:rPr>
              <w:t>本人具有法律约束力。自本函生</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7"/>
                <w:sz w:val="18"/>
                <w:szCs w:val="18"/>
              </w:rPr>
              <w:t>效至本公司</w:t>
            </w:r>
            <w:r>
              <w:rPr>
                <w:rFonts w:ascii="宋体" w:hAnsi="宋体" w:cs="宋体" w:eastAsia="宋体" w:hint="default"/>
                <w:spacing w:val="7"/>
                <w:sz w:val="18"/>
                <w:szCs w:val="18"/>
              </w:rPr>
              <w:t>/</w:t>
            </w:r>
            <w:r>
              <w:rPr>
                <w:rFonts w:ascii="宋体" w:hAnsi="宋体" w:cs="宋体" w:eastAsia="宋体" w:hint="default"/>
                <w:spacing w:val="7"/>
                <w:sz w:val="18"/>
                <w:szCs w:val="18"/>
              </w:rPr>
              <w:t>本人作为光一科技股东的任何</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时候，本公司</w:t>
            </w:r>
            <w:r>
              <w:rPr>
                <w:rFonts w:ascii="宋体" w:hAnsi="宋体" w:cs="宋体" w:eastAsia="宋体" w:hint="default"/>
                <w:sz w:val="18"/>
                <w:szCs w:val="18"/>
              </w:rPr>
              <w:t>/</w:t>
            </w:r>
            <w:r>
              <w:rPr>
                <w:rFonts w:ascii="宋体" w:hAnsi="宋体" w:cs="宋体" w:eastAsia="宋体" w:hint="default"/>
                <w:sz w:val="18"/>
                <w:szCs w:val="18"/>
              </w:rPr>
              <w:t>本人将严格遵守并履行本函所</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作的承诺及保证义务；对于违反本函承诺及</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保证义务的，本公司</w:t>
            </w:r>
            <w:r>
              <w:rPr>
                <w:rFonts w:ascii="宋体" w:hAnsi="宋体" w:cs="宋体" w:eastAsia="宋体" w:hint="default"/>
                <w:sz w:val="18"/>
                <w:szCs w:val="18"/>
              </w:rPr>
              <w:t>/</w:t>
            </w:r>
            <w:r>
              <w:rPr>
                <w:rFonts w:ascii="宋体" w:hAnsi="宋体" w:cs="宋体" w:eastAsia="宋体" w:hint="default"/>
                <w:sz w:val="18"/>
                <w:szCs w:val="18"/>
              </w:rPr>
              <w:t>本人承诺采取一切必要</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且有效的措施及时纠正消除由此造成光一科</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技的不利影响，并对造成光一科技直接和间</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接损失承担赔偿责任。</w:t>
            </w:r>
            <w:r>
              <w:rPr>
                <w:rFonts w:ascii="宋体" w:hAnsi="宋体" w:cs="宋体" w:eastAsia="宋体" w:hint="default"/>
                <w:sz w:val="18"/>
                <w:szCs w:val="18"/>
              </w:rPr>
              <w:t>2</w:t>
            </w:r>
            <w:r>
              <w:rPr>
                <w:rFonts w:ascii="宋体" w:hAnsi="宋体" w:cs="宋体" w:eastAsia="宋体" w:hint="default"/>
                <w:sz w:val="18"/>
                <w:szCs w:val="18"/>
              </w:rPr>
              <w:t>、关于减少和规范关</w:t>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13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354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3"/>
                <w:sz w:val="18"/>
                <w:szCs w:val="18"/>
              </w:rPr>
              <w:t>联交易的承诺</w:t>
            </w:r>
            <w:r>
              <w:rPr>
                <w:rFonts w:ascii="宋体" w:hAnsi="宋体" w:cs="宋体" w:eastAsia="宋体" w:hint="default"/>
                <w:spacing w:val="-87"/>
                <w:sz w:val="18"/>
                <w:szCs w:val="18"/>
              </w:rPr>
              <w:t>：</w:t>
            </w:r>
            <w:r>
              <w:rPr>
                <w:rFonts w:ascii="宋体" w:hAnsi="宋体" w:cs="宋体" w:eastAsia="宋体" w:hint="default"/>
                <w:spacing w:val="5"/>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）本次交易完成后，本公</w:t>
            </w:r>
            <w:r>
              <w:rPr>
                <w:rFonts w:ascii="宋体" w:hAnsi="宋体" w:cs="宋体" w:eastAsia="宋体" w:hint="default"/>
                <w:sz w:val="18"/>
                <w:szCs w:val="18"/>
              </w:rPr>
            </w:r>
          </w:p>
        </w:tc>
        <w:tc>
          <w:tcPr>
            <w:tcW w:w="851" w:type="dxa"/>
            <w:tcBorders>
              <w:top w:val="nil" w:sz="6" w:space="0" w:color="auto"/>
              <w:left w:val="single" w:sz="6" w:space="0" w:color="000000"/>
              <w:bottom w:val="nil" w:sz="6" w:space="0" w:color="auto"/>
              <w:right w:val="single" w:sz="6" w:space="0" w:color="000000"/>
            </w:tcBorders>
          </w:tcPr>
          <w:p>
            <w:pPr/>
          </w:p>
        </w:tc>
        <w:tc>
          <w:tcPr>
            <w:tcW w:w="805" w:type="dxa"/>
            <w:tcBorders>
              <w:top w:val="nil" w:sz="6" w:space="0" w:color="auto"/>
              <w:left w:val="single" w:sz="6" w:space="0" w:color="000000"/>
              <w:bottom w:val="nil" w:sz="6" w:space="0" w:color="auto"/>
              <w:right w:val="single" w:sz="6" w:space="0" w:color="000000"/>
            </w:tcBorders>
          </w:tcPr>
          <w:p>
            <w:pPr/>
          </w:p>
        </w:tc>
        <w:tc>
          <w:tcPr>
            <w:tcW w:w="1107"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13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12" w:space="0" w:color="000000"/>
              <w:right w:val="single" w:sz="6" w:space="0" w:color="000000"/>
            </w:tcBorders>
          </w:tcPr>
          <w:p>
            <w:pPr/>
          </w:p>
        </w:tc>
        <w:tc>
          <w:tcPr>
            <w:tcW w:w="852" w:type="dxa"/>
            <w:tcBorders>
              <w:top w:val="nil" w:sz="6" w:space="0" w:color="auto"/>
              <w:left w:val="single" w:sz="6" w:space="0" w:color="000000"/>
              <w:bottom w:val="single" w:sz="12" w:space="0" w:color="000000"/>
              <w:right w:val="single" w:sz="6" w:space="0" w:color="000000"/>
            </w:tcBorders>
          </w:tcPr>
          <w:p>
            <w:pPr/>
          </w:p>
        </w:tc>
        <w:tc>
          <w:tcPr>
            <w:tcW w:w="354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7"/>
                <w:sz w:val="18"/>
                <w:szCs w:val="18"/>
              </w:rPr>
              <w:t>司</w:t>
            </w:r>
            <w:r>
              <w:rPr>
                <w:rFonts w:ascii="宋体" w:hAnsi="宋体" w:cs="宋体" w:eastAsia="宋体" w:hint="default"/>
                <w:spacing w:val="7"/>
                <w:sz w:val="18"/>
                <w:szCs w:val="18"/>
              </w:rPr>
              <w:t>/</w:t>
            </w:r>
            <w:r>
              <w:rPr>
                <w:rFonts w:ascii="宋体" w:hAnsi="宋体" w:cs="宋体" w:eastAsia="宋体" w:hint="default"/>
                <w:spacing w:val="7"/>
                <w:sz w:val="18"/>
                <w:szCs w:val="18"/>
              </w:rPr>
              <w:t>本人及直接或间接控制或影响的企业与</w:t>
            </w:r>
          </w:p>
        </w:tc>
        <w:tc>
          <w:tcPr>
            <w:tcW w:w="851" w:type="dxa"/>
            <w:tcBorders>
              <w:top w:val="nil" w:sz="6" w:space="0" w:color="auto"/>
              <w:left w:val="single" w:sz="6" w:space="0" w:color="000000"/>
              <w:bottom w:val="single" w:sz="12" w:space="0" w:color="000000"/>
              <w:right w:val="single" w:sz="6" w:space="0" w:color="000000"/>
            </w:tcBorders>
          </w:tcPr>
          <w:p>
            <w:pPr/>
          </w:p>
        </w:tc>
        <w:tc>
          <w:tcPr>
            <w:tcW w:w="805" w:type="dxa"/>
            <w:tcBorders>
              <w:top w:val="nil" w:sz="6" w:space="0" w:color="auto"/>
              <w:left w:val="single" w:sz="6" w:space="0" w:color="000000"/>
              <w:bottom w:val="single" w:sz="12" w:space="0" w:color="000000"/>
              <w:right w:val="single" w:sz="6" w:space="0" w:color="000000"/>
            </w:tcBorders>
          </w:tcPr>
          <w:p>
            <w:pPr/>
          </w:p>
        </w:tc>
        <w:tc>
          <w:tcPr>
            <w:tcW w:w="1107"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135"/>
        <w:gridCol w:w="1276"/>
        <w:gridCol w:w="852"/>
        <w:gridCol w:w="3543"/>
        <w:gridCol w:w="851"/>
        <w:gridCol w:w="805"/>
        <w:gridCol w:w="1115"/>
      </w:tblGrid>
      <w:tr>
        <w:trPr>
          <w:trHeight w:val="9423" w:hRule="exact"/>
        </w:trPr>
        <w:tc>
          <w:tcPr>
            <w:tcW w:w="1135"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852" w:type="dxa"/>
            <w:tcBorders>
              <w:top w:val="single" w:sz="12" w:space="0" w:color="000000"/>
              <w:left w:val="single" w:sz="6" w:space="0" w:color="000000"/>
              <w:bottom w:val="single" w:sz="6" w:space="0" w:color="000000"/>
              <w:right w:val="single" w:sz="6" w:space="0" w:color="000000"/>
            </w:tcBorders>
          </w:tcPr>
          <w:p>
            <w:pPr/>
          </w:p>
        </w:tc>
        <w:tc>
          <w:tcPr>
            <w:tcW w:w="354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0" w:right="17"/>
              <w:jc w:val="both"/>
              <w:rPr>
                <w:rFonts w:ascii="宋体" w:hAnsi="宋体" w:cs="宋体" w:eastAsia="宋体" w:hint="default"/>
                <w:sz w:val="18"/>
                <w:szCs w:val="18"/>
              </w:rPr>
            </w:pPr>
            <w:r>
              <w:rPr>
                <w:rFonts w:ascii="宋体" w:hAnsi="宋体" w:cs="宋体" w:eastAsia="宋体" w:hint="default"/>
                <w:spacing w:val="3"/>
                <w:sz w:val="18"/>
                <w:szCs w:val="18"/>
              </w:rPr>
              <w:t>重组后的光一科技及其控股企业之间将减少</w:t>
            </w:r>
            <w:r>
              <w:rPr>
                <w:rFonts w:ascii="宋体" w:hAnsi="宋体" w:cs="宋体" w:eastAsia="宋体" w:hint="default"/>
                <w:sz w:val="18"/>
                <w:szCs w:val="18"/>
              </w:rPr>
              <w:t> </w:t>
            </w:r>
            <w:r>
              <w:rPr>
                <w:rFonts w:ascii="宋体" w:hAnsi="宋体" w:cs="宋体" w:eastAsia="宋体" w:hint="default"/>
                <w:spacing w:val="3"/>
                <w:sz w:val="18"/>
                <w:szCs w:val="18"/>
              </w:rPr>
              <w:t>并尽可能避免关联交易。对于无法避免或者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有合理原因而发生的关联交易，本公司</w:t>
            </w:r>
            <w:r>
              <w:rPr>
                <w:rFonts w:ascii="宋体" w:hAnsi="宋体" w:cs="宋体" w:eastAsia="宋体" w:hint="default"/>
                <w:spacing w:val="-2"/>
                <w:sz w:val="18"/>
                <w:szCs w:val="18"/>
              </w:rPr>
              <w:t>/</w:t>
            </w:r>
            <w:r>
              <w:rPr>
                <w:rFonts w:ascii="宋体" w:hAnsi="宋体" w:cs="宋体" w:eastAsia="宋体" w:hint="default"/>
                <w:spacing w:val="-2"/>
                <w:sz w:val="18"/>
                <w:szCs w:val="18"/>
              </w:rPr>
              <w:t>本人</w:t>
            </w:r>
            <w:r>
              <w:rPr>
                <w:rFonts w:ascii="宋体" w:hAnsi="宋体" w:cs="宋体" w:eastAsia="宋体" w:hint="default"/>
                <w:spacing w:val="-73"/>
                <w:sz w:val="18"/>
                <w:szCs w:val="18"/>
              </w:rPr>
              <w:t> </w:t>
            </w:r>
            <w:r>
              <w:rPr>
                <w:rFonts w:ascii="宋体" w:hAnsi="宋体" w:cs="宋体" w:eastAsia="宋体" w:hint="default"/>
                <w:spacing w:val="3"/>
                <w:sz w:val="18"/>
                <w:szCs w:val="18"/>
              </w:rPr>
              <w:t>承诺将按照公平、公允、等价有偿等原则依</w:t>
            </w:r>
            <w:r>
              <w:rPr>
                <w:rFonts w:ascii="宋体" w:hAnsi="宋体" w:cs="宋体" w:eastAsia="宋体" w:hint="default"/>
                <w:sz w:val="18"/>
                <w:szCs w:val="18"/>
              </w:rPr>
              <w:t> </w:t>
            </w:r>
            <w:r>
              <w:rPr>
                <w:rFonts w:ascii="宋体" w:hAnsi="宋体" w:cs="宋体" w:eastAsia="宋体" w:hint="default"/>
                <w:spacing w:val="3"/>
                <w:sz w:val="18"/>
                <w:szCs w:val="18"/>
              </w:rPr>
              <w:t>法签订协议，履行合法程序，并将按照有关</w:t>
            </w:r>
            <w:r>
              <w:rPr>
                <w:rFonts w:ascii="宋体" w:hAnsi="宋体" w:cs="宋体" w:eastAsia="宋体" w:hint="default"/>
                <w:sz w:val="18"/>
                <w:szCs w:val="18"/>
              </w:rPr>
              <w:t> </w:t>
            </w:r>
            <w:r>
              <w:rPr>
                <w:rFonts w:ascii="宋体" w:hAnsi="宋体" w:cs="宋体" w:eastAsia="宋体" w:hint="default"/>
                <w:spacing w:val="3"/>
                <w:sz w:val="18"/>
                <w:szCs w:val="18"/>
              </w:rPr>
              <w:t>法律、法规、其他规范性文件以及光一科技</w:t>
            </w:r>
            <w:r>
              <w:rPr>
                <w:rFonts w:ascii="宋体" w:hAnsi="宋体" w:cs="宋体" w:eastAsia="宋体" w:hint="default"/>
                <w:sz w:val="18"/>
                <w:szCs w:val="18"/>
              </w:rPr>
              <w:t> </w:t>
            </w:r>
            <w:r>
              <w:rPr>
                <w:rFonts w:ascii="宋体" w:hAnsi="宋体" w:cs="宋体" w:eastAsia="宋体" w:hint="default"/>
                <w:spacing w:val="3"/>
                <w:sz w:val="18"/>
                <w:szCs w:val="18"/>
              </w:rPr>
              <w:t>公司章程等的规定，依法履行相关内部决策</w:t>
            </w:r>
            <w:r>
              <w:rPr>
                <w:rFonts w:ascii="宋体" w:hAnsi="宋体" w:cs="宋体" w:eastAsia="宋体" w:hint="default"/>
                <w:sz w:val="18"/>
                <w:szCs w:val="18"/>
              </w:rPr>
              <w:t> </w:t>
            </w:r>
            <w:r>
              <w:rPr>
                <w:rFonts w:ascii="宋体" w:hAnsi="宋体" w:cs="宋体" w:eastAsia="宋体" w:hint="default"/>
                <w:spacing w:val="3"/>
                <w:sz w:val="18"/>
                <w:szCs w:val="18"/>
              </w:rPr>
              <w:t>批准程序并及时履行信息披露义务，保证不</w:t>
            </w:r>
            <w:r>
              <w:rPr>
                <w:rFonts w:ascii="宋体" w:hAnsi="宋体" w:cs="宋体" w:eastAsia="宋体" w:hint="default"/>
                <w:sz w:val="18"/>
                <w:szCs w:val="18"/>
              </w:rPr>
              <w:t> </w:t>
            </w:r>
            <w:r>
              <w:rPr>
                <w:rFonts w:ascii="宋体" w:hAnsi="宋体" w:cs="宋体" w:eastAsia="宋体" w:hint="default"/>
                <w:spacing w:val="3"/>
                <w:sz w:val="18"/>
                <w:szCs w:val="18"/>
              </w:rPr>
              <w:t>以与市场价格相比显失公允的条件与光一科</w:t>
            </w:r>
            <w:r>
              <w:rPr>
                <w:rFonts w:ascii="宋体" w:hAnsi="宋体" w:cs="宋体" w:eastAsia="宋体" w:hint="default"/>
                <w:sz w:val="18"/>
                <w:szCs w:val="18"/>
              </w:rPr>
              <w:t> </w:t>
            </w:r>
            <w:r>
              <w:rPr>
                <w:rFonts w:ascii="宋体" w:hAnsi="宋体" w:cs="宋体" w:eastAsia="宋体" w:hint="default"/>
                <w:spacing w:val="3"/>
                <w:sz w:val="18"/>
                <w:szCs w:val="18"/>
              </w:rPr>
              <w:t>技进行交易，保证不利用关联交易非法转移</w:t>
            </w:r>
            <w:r>
              <w:rPr>
                <w:rFonts w:ascii="宋体" w:hAnsi="宋体" w:cs="宋体" w:eastAsia="宋体" w:hint="default"/>
                <w:sz w:val="18"/>
                <w:szCs w:val="18"/>
              </w:rPr>
              <w:t> </w:t>
            </w:r>
            <w:r>
              <w:rPr>
                <w:rFonts w:ascii="宋体" w:hAnsi="宋体" w:cs="宋体" w:eastAsia="宋体" w:hint="default"/>
                <w:spacing w:val="3"/>
                <w:sz w:val="18"/>
                <w:szCs w:val="18"/>
              </w:rPr>
              <w:t>光一科技的资金、利润，亦不利用该类交易</w:t>
            </w:r>
            <w:r>
              <w:rPr>
                <w:rFonts w:ascii="宋体" w:hAnsi="宋体" w:cs="宋体" w:eastAsia="宋体" w:hint="default"/>
                <w:sz w:val="18"/>
                <w:szCs w:val="18"/>
              </w:rPr>
              <w:t> </w:t>
            </w:r>
            <w:r>
              <w:rPr>
                <w:rFonts w:ascii="宋体" w:hAnsi="宋体" w:cs="宋体" w:eastAsia="宋体" w:hint="default"/>
                <w:spacing w:val="3"/>
                <w:sz w:val="18"/>
                <w:szCs w:val="18"/>
              </w:rPr>
              <w:t>从事任何损害光一科技及其他股东合法权益</w:t>
            </w:r>
            <w:r>
              <w:rPr>
                <w:rFonts w:ascii="宋体" w:hAnsi="宋体" w:cs="宋体" w:eastAsia="宋体" w:hint="default"/>
                <w:sz w:val="18"/>
                <w:szCs w:val="18"/>
              </w:rPr>
              <w:t> </w:t>
            </w:r>
            <w:r>
              <w:rPr>
                <w:rFonts w:ascii="宋体" w:hAnsi="宋体" w:cs="宋体" w:eastAsia="宋体" w:hint="default"/>
                <w:spacing w:val="-6"/>
                <w:sz w:val="18"/>
                <w:szCs w:val="18"/>
              </w:rPr>
              <w:t>的行为。（</w:t>
            </w:r>
            <w:r>
              <w:rPr>
                <w:rFonts w:ascii="宋体" w:hAnsi="宋体" w:cs="宋体" w:eastAsia="宋体" w:hint="default"/>
                <w:spacing w:val="-6"/>
                <w:sz w:val="18"/>
                <w:szCs w:val="18"/>
              </w:rPr>
              <w:t>2</w:t>
            </w:r>
            <w:r>
              <w:rPr>
                <w:rFonts w:ascii="宋体" w:hAnsi="宋体" w:cs="宋体" w:eastAsia="宋体" w:hint="default"/>
                <w:spacing w:val="-6"/>
                <w:sz w:val="18"/>
                <w:szCs w:val="18"/>
              </w:rPr>
              <w:t>）本公司</w:t>
            </w:r>
            <w:r>
              <w:rPr>
                <w:rFonts w:ascii="宋体" w:hAnsi="宋体" w:cs="宋体" w:eastAsia="宋体" w:hint="default"/>
                <w:spacing w:val="-6"/>
                <w:sz w:val="18"/>
                <w:szCs w:val="18"/>
              </w:rPr>
              <w:t>/</w:t>
            </w:r>
            <w:r>
              <w:rPr>
                <w:rFonts w:ascii="宋体" w:hAnsi="宋体" w:cs="宋体" w:eastAsia="宋体" w:hint="default"/>
                <w:spacing w:val="-6"/>
                <w:sz w:val="18"/>
                <w:szCs w:val="18"/>
              </w:rPr>
              <w:t>本人及直接或间接控制</w:t>
            </w:r>
            <w:r>
              <w:rPr>
                <w:rFonts w:ascii="宋体" w:hAnsi="宋体" w:cs="宋体" w:eastAsia="宋体" w:hint="default"/>
                <w:spacing w:val="-78"/>
                <w:sz w:val="18"/>
                <w:szCs w:val="18"/>
              </w:rPr>
              <w:t> </w:t>
            </w:r>
            <w:r>
              <w:rPr>
                <w:rFonts w:ascii="宋体" w:hAnsi="宋体" w:cs="宋体" w:eastAsia="宋体" w:hint="default"/>
                <w:spacing w:val="3"/>
                <w:sz w:val="18"/>
                <w:szCs w:val="18"/>
              </w:rPr>
              <w:t>或影响的企业将严格避免向光一科技及其控</w:t>
            </w:r>
            <w:r>
              <w:rPr>
                <w:rFonts w:ascii="宋体" w:hAnsi="宋体" w:cs="宋体" w:eastAsia="宋体" w:hint="default"/>
                <w:sz w:val="18"/>
                <w:szCs w:val="18"/>
              </w:rPr>
              <w:t> </w:t>
            </w:r>
            <w:r>
              <w:rPr>
                <w:rFonts w:ascii="宋体" w:hAnsi="宋体" w:cs="宋体" w:eastAsia="宋体" w:hint="default"/>
                <w:spacing w:val="3"/>
                <w:sz w:val="18"/>
                <w:szCs w:val="18"/>
              </w:rPr>
              <w:t>股和参股公司拆借、占用光一科技及其控股</w:t>
            </w:r>
            <w:r>
              <w:rPr>
                <w:rFonts w:ascii="宋体" w:hAnsi="宋体" w:cs="宋体" w:eastAsia="宋体" w:hint="default"/>
                <w:sz w:val="18"/>
                <w:szCs w:val="18"/>
              </w:rPr>
              <w:t> </w:t>
            </w:r>
            <w:r>
              <w:rPr>
                <w:rFonts w:ascii="宋体" w:hAnsi="宋体" w:cs="宋体" w:eastAsia="宋体" w:hint="default"/>
                <w:spacing w:val="3"/>
                <w:sz w:val="18"/>
                <w:szCs w:val="18"/>
              </w:rPr>
              <w:t>和参股公司资金或采取由光一科技及其控股</w:t>
            </w:r>
            <w:r>
              <w:rPr>
                <w:rFonts w:ascii="宋体" w:hAnsi="宋体" w:cs="宋体" w:eastAsia="宋体" w:hint="default"/>
                <w:sz w:val="18"/>
                <w:szCs w:val="18"/>
              </w:rPr>
              <w:t> </w:t>
            </w:r>
            <w:r>
              <w:rPr>
                <w:rFonts w:ascii="宋体" w:hAnsi="宋体" w:cs="宋体" w:eastAsia="宋体" w:hint="default"/>
                <w:spacing w:val="3"/>
                <w:sz w:val="18"/>
                <w:szCs w:val="18"/>
              </w:rPr>
              <w:t>和参股公司代垫款、代偿债务等方式侵占光</w:t>
            </w:r>
            <w:r>
              <w:rPr>
                <w:rFonts w:ascii="宋体" w:hAnsi="宋体" w:cs="宋体" w:eastAsia="宋体" w:hint="default"/>
                <w:sz w:val="18"/>
                <w:szCs w:val="18"/>
              </w:rPr>
              <w:t> </w:t>
            </w:r>
            <w:r>
              <w:rPr>
                <w:rFonts w:ascii="宋体" w:hAnsi="宋体" w:cs="宋体" w:eastAsia="宋体" w:hint="default"/>
                <w:spacing w:val="-6"/>
                <w:sz w:val="18"/>
                <w:szCs w:val="18"/>
              </w:rPr>
              <w:t>一科技资金。（</w:t>
            </w:r>
            <w:r>
              <w:rPr>
                <w:rFonts w:ascii="宋体" w:hAnsi="宋体" w:cs="宋体" w:eastAsia="宋体" w:hint="default"/>
                <w:spacing w:val="-6"/>
                <w:sz w:val="18"/>
                <w:szCs w:val="18"/>
              </w:rPr>
              <w:t>3</w:t>
            </w:r>
            <w:r>
              <w:rPr>
                <w:rFonts w:ascii="宋体" w:hAnsi="宋体" w:cs="宋体" w:eastAsia="宋体" w:hint="default"/>
                <w:spacing w:val="-6"/>
                <w:sz w:val="18"/>
                <w:szCs w:val="18"/>
              </w:rPr>
              <w:t>）本次交易完成后本公司</w:t>
            </w:r>
            <w:r>
              <w:rPr>
                <w:rFonts w:ascii="宋体" w:hAnsi="宋体" w:cs="宋体" w:eastAsia="宋体" w:hint="default"/>
                <w:spacing w:val="-6"/>
                <w:sz w:val="18"/>
                <w:szCs w:val="18"/>
              </w:rPr>
              <w:t>/</w:t>
            </w:r>
            <w:r>
              <w:rPr>
                <w:rFonts w:ascii="宋体" w:hAnsi="宋体" w:cs="宋体" w:eastAsia="宋体" w:hint="default"/>
                <w:spacing w:val="-6"/>
                <w:sz w:val="18"/>
                <w:szCs w:val="18"/>
              </w:rPr>
              <w:t>本</w:t>
            </w:r>
            <w:r>
              <w:rPr>
                <w:rFonts w:ascii="宋体" w:hAnsi="宋体" w:cs="宋体" w:eastAsia="宋体" w:hint="default"/>
                <w:spacing w:val="-80"/>
                <w:sz w:val="18"/>
                <w:szCs w:val="18"/>
              </w:rPr>
              <w:t> </w:t>
            </w:r>
            <w:r>
              <w:rPr>
                <w:rFonts w:ascii="宋体" w:hAnsi="宋体" w:cs="宋体" w:eastAsia="宋体" w:hint="default"/>
                <w:spacing w:val="3"/>
                <w:sz w:val="18"/>
                <w:szCs w:val="18"/>
              </w:rPr>
              <w:t>人将继续严格按照有关法律法规、规范性文</w:t>
            </w:r>
            <w:r>
              <w:rPr>
                <w:rFonts w:ascii="宋体" w:hAnsi="宋体" w:cs="宋体" w:eastAsia="宋体" w:hint="default"/>
                <w:sz w:val="18"/>
                <w:szCs w:val="18"/>
              </w:rPr>
              <w:t> </w:t>
            </w:r>
            <w:r>
              <w:rPr>
                <w:rFonts w:ascii="宋体" w:hAnsi="宋体" w:cs="宋体" w:eastAsia="宋体" w:hint="default"/>
                <w:spacing w:val="3"/>
                <w:sz w:val="18"/>
                <w:szCs w:val="18"/>
              </w:rPr>
              <w:t>件以及光一科技公司章程的有关规定行使股</w:t>
            </w:r>
            <w:r>
              <w:rPr>
                <w:rFonts w:ascii="宋体" w:hAnsi="宋体" w:cs="宋体" w:eastAsia="宋体" w:hint="default"/>
                <w:sz w:val="18"/>
                <w:szCs w:val="18"/>
              </w:rPr>
              <w:t> </w:t>
            </w:r>
            <w:r>
              <w:rPr>
                <w:rFonts w:ascii="宋体" w:hAnsi="宋体" w:cs="宋体" w:eastAsia="宋体" w:hint="default"/>
                <w:spacing w:val="3"/>
                <w:sz w:val="18"/>
                <w:szCs w:val="18"/>
              </w:rPr>
              <w:t>东权利；在光一科技股东大会对有关涉及本</w:t>
            </w:r>
            <w:r>
              <w:rPr>
                <w:rFonts w:ascii="宋体" w:hAnsi="宋体" w:cs="宋体" w:eastAsia="宋体" w:hint="default"/>
                <w:sz w:val="18"/>
                <w:szCs w:val="18"/>
              </w:rPr>
              <w:t> </w:t>
            </w:r>
            <w:r>
              <w:rPr>
                <w:rFonts w:ascii="宋体" w:hAnsi="宋体" w:cs="宋体" w:eastAsia="宋体" w:hint="default"/>
                <w:spacing w:val="3"/>
                <w:sz w:val="18"/>
                <w:szCs w:val="18"/>
              </w:rPr>
              <w:t>人的关联交易进行表决时，履行回避表决的</w:t>
            </w:r>
            <w:r>
              <w:rPr>
                <w:rFonts w:ascii="宋体" w:hAnsi="宋体" w:cs="宋体" w:eastAsia="宋体" w:hint="default"/>
                <w:sz w:val="18"/>
                <w:szCs w:val="18"/>
              </w:rPr>
              <w:t> </w:t>
            </w:r>
            <w:r>
              <w:rPr>
                <w:rFonts w:ascii="宋体" w:hAnsi="宋体" w:cs="宋体" w:eastAsia="宋体" w:hint="default"/>
                <w:spacing w:val="-6"/>
                <w:sz w:val="18"/>
                <w:szCs w:val="18"/>
              </w:rPr>
              <w:t>义务。（</w:t>
            </w:r>
            <w:r>
              <w:rPr>
                <w:rFonts w:ascii="宋体" w:hAnsi="宋体" w:cs="宋体" w:eastAsia="宋体" w:hint="default"/>
                <w:spacing w:val="-6"/>
                <w:sz w:val="18"/>
                <w:szCs w:val="18"/>
              </w:rPr>
              <w:t>4</w:t>
            </w:r>
            <w:r>
              <w:rPr>
                <w:rFonts w:ascii="宋体" w:hAnsi="宋体" w:cs="宋体" w:eastAsia="宋体" w:hint="default"/>
                <w:spacing w:val="-6"/>
                <w:sz w:val="18"/>
                <w:szCs w:val="18"/>
              </w:rPr>
              <w:t>）本公司</w:t>
            </w:r>
            <w:r>
              <w:rPr>
                <w:rFonts w:ascii="宋体" w:hAnsi="宋体" w:cs="宋体" w:eastAsia="宋体" w:hint="default"/>
                <w:spacing w:val="-6"/>
                <w:sz w:val="18"/>
                <w:szCs w:val="18"/>
              </w:rPr>
              <w:t>/</w:t>
            </w:r>
            <w:r>
              <w:rPr>
                <w:rFonts w:ascii="宋体" w:hAnsi="宋体" w:cs="宋体" w:eastAsia="宋体" w:hint="default"/>
                <w:spacing w:val="-6"/>
                <w:sz w:val="18"/>
                <w:szCs w:val="18"/>
              </w:rPr>
              <w:t>本人保证不通过关联交易</w:t>
            </w:r>
            <w:r>
              <w:rPr>
                <w:rFonts w:ascii="宋体" w:hAnsi="宋体" w:cs="宋体" w:eastAsia="宋体" w:hint="default"/>
                <w:spacing w:val="-79"/>
                <w:sz w:val="18"/>
                <w:szCs w:val="18"/>
              </w:rPr>
              <w:t> </w:t>
            </w:r>
            <w:r>
              <w:rPr>
                <w:rFonts w:ascii="宋体" w:hAnsi="宋体" w:cs="宋体" w:eastAsia="宋体" w:hint="default"/>
                <w:spacing w:val="3"/>
                <w:sz w:val="18"/>
                <w:szCs w:val="18"/>
              </w:rPr>
              <w:t>取得任何不正当的利益或使光一科技及其控</w:t>
            </w:r>
            <w:r>
              <w:rPr>
                <w:rFonts w:ascii="宋体" w:hAnsi="宋体" w:cs="宋体" w:eastAsia="宋体" w:hint="default"/>
                <w:sz w:val="18"/>
                <w:szCs w:val="18"/>
              </w:rPr>
              <w:t> </w:t>
            </w:r>
            <w:r>
              <w:rPr>
                <w:rFonts w:ascii="宋体" w:hAnsi="宋体" w:cs="宋体" w:eastAsia="宋体" w:hint="default"/>
                <w:spacing w:val="-2"/>
                <w:sz w:val="18"/>
                <w:szCs w:val="18"/>
              </w:rPr>
              <w:t>股和参股公司承担任何不正当的义务。（</w:t>
            </w:r>
            <w:r>
              <w:rPr>
                <w:rFonts w:ascii="宋体" w:hAnsi="宋体" w:cs="宋体" w:eastAsia="宋体" w:hint="default"/>
                <w:spacing w:val="-2"/>
                <w:sz w:val="18"/>
                <w:szCs w:val="18"/>
              </w:rPr>
              <w:t>5</w:t>
            </w:r>
            <w:r>
              <w:rPr>
                <w:rFonts w:ascii="宋体" w:hAnsi="宋体" w:cs="宋体" w:eastAsia="宋体" w:hint="default"/>
                <w:spacing w:val="-2"/>
                <w:sz w:val="18"/>
                <w:szCs w:val="18"/>
              </w:rPr>
              <w:t>）</w:t>
            </w:r>
            <w:r>
              <w:rPr>
                <w:rFonts w:ascii="宋体" w:hAnsi="宋体" w:cs="宋体" w:eastAsia="宋体" w:hint="default"/>
                <w:spacing w:val="-83"/>
                <w:sz w:val="18"/>
                <w:szCs w:val="18"/>
              </w:rPr>
              <w:t> </w:t>
            </w:r>
            <w:r>
              <w:rPr>
                <w:rFonts w:ascii="宋体" w:hAnsi="宋体" w:cs="宋体" w:eastAsia="宋体" w:hint="default"/>
                <w:spacing w:val="3"/>
                <w:sz w:val="18"/>
                <w:szCs w:val="18"/>
              </w:rPr>
              <w:t>如果因违反上述承诺导致光一科技或其控股</w:t>
            </w:r>
            <w:r>
              <w:rPr>
                <w:rFonts w:ascii="宋体" w:hAnsi="宋体" w:cs="宋体" w:eastAsia="宋体" w:hint="default"/>
                <w:sz w:val="18"/>
                <w:szCs w:val="18"/>
              </w:rPr>
              <w:t> </w:t>
            </w:r>
            <w:r>
              <w:rPr>
                <w:rFonts w:ascii="宋体" w:hAnsi="宋体" w:cs="宋体" w:eastAsia="宋体" w:hint="default"/>
                <w:spacing w:val="3"/>
                <w:sz w:val="18"/>
                <w:szCs w:val="18"/>
              </w:rPr>
              <w:t>和参股公司损失或利用关联交易侵占光一科</w:t>
            </w:r>
            <w:r>
              <w:rPr>
                <w:rFonts w:ascii="宋体" w:hAnsi="宋体" w:cs="宋体" w:eastAsia="宋体" w:hint="default"/>
                <w:sz w:val="18"/>
                <w:szCs w:val="18"/>
              </w:rPr>
              <w:t> </w:t>
            </w:r>
            <w:r>
              <w:rPr>
                <w:rFonts w:ascii="宋体" w:hAnsi="宋体" w:cs="宋体" w:eastAsia="宋体" w:hint="default"/>
                <w:spacing w:val="-2"/>
                <w:sz w:val="18"/>
                <w:szCs w:val="18"/>
              </w:rPr>
              <w:t>技或其控股和参股公司利益的，本公司</w:t>
            </w:r>
            <w:r>
              <w:rPr>
                <w:rFonts w:ascii="宋体" w:hAnsi="宋体" w:cs="宋体" w:eastAsia="宋体" w:hint="default"/>
                <w:spacing w:val="-2"/>
                <w:sz w:val="18"/>
                <w:szCs w:val="18"/>
              </w:rPr>
              <w:t>/</w:t>
            </w:r>
            <w:r>
              <w:rPr>
                <w:rFonts w:ascii="宋体" w:hAnsi="宋体" w:cs="宋体" w:eastAsia="宋体" w:hint="default"/>
                <w:spacing w:val="-2"/>
                <w:sz w:val="18"/>
                <w:szCs w:val="18"/>
              </w:rPr>
              <w:t>本人</w:t>
            </w:r>
            <w:r>
              <w:rPr>
                <w:rFonts w:ascii="宋体" w:hAnsi="宋体" w:cs="宋体" w:eastAsia="宋体" w:hint="default"/>
                <w:spacing w:val="-73"/>
                <w:sz w:val="18"/>
                <w:szCs w:val="18"/>
              </w:rPr>
              <w:t> </w:t>
            </w:r>
            <w:r>
              <w:rPr>
                <w:rFonts w:ascii="宋体" w:hAnsi="宋体" w:cs="宋体" w:eastAsia="宋体" w:hint="default"/>
                <w:spacing w:val="3"/>
                <w:sz w:val="18"/>
                <w:szCs w:val="18"/>
              </w:rPr>
              <w:t>依法承担光一科技或其控股和参股公司的损</w:t>
            </w:r>
            <w:r>
              <w:rPr>
                <w:rFonts w:ascii="宋体" w:hAnsi="宋体" w:cs="宋体" w:eastAsia="宋体" w:hint="default"/>
                <w:sz w:val="18"/>
                <w:szCs w:val="18"/>
              </w:rPr>
              <w:t> 失。</w:t>
            </w:r>
          </w:p>
        </w:tc>
        <w:tc>
          <w:tcPr>
            <w:tcW w:w="851" w:type="dxa"/>
            <w:tcBorders>
              <w:top w:val="single" w:sz="12" w:space="0" w:color="000000"/>
              <w:left w:val="single" w:sz="6" w:space="0" w:color="000000"/>
              <w:bottom w:val="single" w:sz="6" w:space="0" w:color="000000"/>
              <w:right w:val="single" w:sz="6" w:space="0" w:color="000000"/>
            </w:tcBorders>
          </w:tcPr>
          <w:p>
            <w:pPr/>
          </w:p>
        </w:tc>
        <w:tc>
          <w:tcPr>
            <w:tcW w:w="805" w:type="dxa"/>
            <w:tcBorders>
              <w:top w:val="single" w:sz="12" w:space="0" w:color="000000"/>
              <w:left w:val="single" w:sz="6" w:space="0" w:color="000000"/>
              <w:bottom w:val="single" w:sz="6" w:space="0" w:color="000000"/>
              <w:right w:val="single" w:sz="6" w:space="0" w:color="000000"/>
            </w:tcBorders>
          </w:tcPr>
          <w:p>
            <w:pPr/>
          </w:p>
        </w:tc>
        <w:tc>
          <w:tcPr>
            <w:tcW w:w="1115" w:type="dxa"/>
            <w:tcBorders>
              <w:top w:val="single" w:sz="12" w:space="0" w:color="000000"/>
              <w:left w:val="single" w:sz="6" w:space="0" w:color="000000"/>
              <w:bottom w:val="single" w:sz="6" w:space="0" w:color="000000"/>
              <w:right w:val="single" w:sz="12" w:space="0" w:color="000000"/>
            </w:tcBorders>
          </w:tcPr>
          <w:p>
            <w:pPr/>
          </w:p>
        </w:tc>
      </w:tr>
      <w:tr>
        <w:trPr>
          <w:trHeight w:val="4431" w:hRule="exact"/>
        </w:trPr>
        <w:tc>
          <w:tcPr>
            <w:tcW w:w="113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14" w:space="0" w:color="FFFFFF"/>
            </w:tcBorders>
          </w:tcPr>
          <w:p>
            <w:pPr>
              <w:pStyle w:val="TableParagraph"/>
              <w:spacing w:line="316" w:lineRule="auto" w:before="52"/>
              <w:ind w:left="20" w:right="-31"/>
              <w:jc w:val="left"/>
              <w:rPr>
                <w:rFonts w:ascii="宋体" w:hAnsi="宋体" w:cs="宋体" w:eastAsia="宋体" w:hint="default"/>
                <w:sz w:val="18"/>
                <w:szCs w:val="18"/>
              </w:rPr>
            </w:pPr>
            <w:r>
              <w:rPr>
                <w:rFonts w:ascii="宋体" w:hAnsi="宋体" w:cs="宋体" w:eastAsia="宋体" w:hint="default"/>
                <w:sz w:val="18"/>
                <w:szCs w:val="18"/>
              </w:rPr>
              <w:t>任昌兆、任晶 </w:t>
            </w:r>
            <w:r>
              <w:rPr>
                <w:rFonts w:ascii="宋体" w:hAnsi="宋体" w:cs="宋体" w:eastAsia="宋体" w:hint="default"/>
                <w:spacing w:val="-6"/>
                <w:sz w:val="18"/>
                <w:szCs w:val="18"/>
              </w:rPr>
              <w:t>晶、魏法旭、郑</w:t>
            </w:r>
            <w:r>
              <w:rPr>
                <w:rFonts w:ascii="宋体" w:hAnsi="宋体" w:cs="宋体" w:eastAsia="宋体" w:hint="default"/>
                <w:sz w:val="18"/>
                <w:szCs w:val="18"/>
              </w:rPr>
              <w:t> 丽蓉、邓丽萍、 赵业香、桂长 </w:t>
            </w:r>
            <w:r>
              <w:rPr>
                <w:rFonts w:ascii="宋体" w:hAnsi="宋体" w:cs="宋体" w:eastAsia="宋体" w:hint="default"/>
                <w:spacing w:val="-6"/>
                <w:sz w:val="18"/>
                <w:szCs w:val="18"/>
              </w:rPr>
              <w:t>钟、李善元、梁</w:t>
            </w:r>
            <w:r>
              <w:rPr>
                <w:rFonts w:ascii="宋体" w:hAnsi="宋体" w:cs="宋体" w:eastAsia="宋体" w:hint="default"/>
                <w:sz w:val="18"/>
                <w:szCs w:val="18"/>
              </w:rPr>
              <w:t> </w:t>
            </w:r>
            <w:r>
              <w:rPr>
                <w:rFonts w:ascii="宋体" w:hAnsi="宋体" w:cs="宋体" w:eastAsia="宋体" w:hint="default"/>
                <w:spacing w:val="-6"/>
                <w:sz w:val="18"/>
                <w:szCs w:val="18"/>
              </w:rPr>
              <w:t>蓉、廖庆生、郑</w:t>
            </w:r>
            <w:r>
              <w:rPr>
                <w:rFonts w:ascii="宋体" w:hAnsi="宋体" w:cs="宋体" w:eastAsia="宋体" w:hint="default"/>
                <w:sz w:val="18"/>
                <w:szCs w:val="18"/>
              </w:rPr>
              <w:t> </w:t>
            </w:r>
            <w:r>
              <w:rPr>
                <w:rFonts w:ascii="宋体" w:hAnsi="宋体" w:cs="宋体" w:eastAsia="宋体" w:hint="default"/>
                <w:spacing w:val="-6"/>
                <w:sz w:val="18"/>
                <w:szCs w:val="18"/>
              </w:rPr>
              <w:t>立筠、周军、田</w:t>
            </w:r>
            <w:r>
              <w:rPr>
                <w:rFonts w:ascii="宋体" w:hAnsi="宋体" w:cs="宋体" w:eastAsia="宋体" w:hint="default"/>
                <w:sz w:val="18"/>
                <w:szCs w:val="18"/>
              </w:rPr>
              <w:t> 裕树、张天祯、 王平、方旭东、 何传柏、郭明 </w:t>
            </w:r>
            <w:r>
              <w:rPr>
                <w:rFonts w:ascii="宋体" w:hAnsi="宋体" w:cs="宋体" w:eastAsia="宋体" w:hint="default"/>
                <w:spacing w:val="-6"/>
                <w:sz w:val="18"/>
                <w:szCs w:val="18"/>
              </w:rPr>
              <w:t>亮、毛为国、门</w:t>
            </w:r>
            <w:r>
              <w:rPr>
                <w:rFonts w:ascii="宋体" w:hAnsi="宋体" w:cs="宋体" w:eastAsia="宋体" w:hint="default"/>
                <w:sz w:val="18"/>
                <w:szCs w:val="18"/>
              </w:rPr>
              <w:t> </w:t>
            </w:r>
            <w:r>
              <w:rPr>
                <w:rFonts w:ascii="宋体" w:hAnsi="宋体" w:cs="宋体" w:eastAsia="宋体" w:hint="default"/>
                <w:spacing w:val="-6"/>
                <w:sz w:val="18"/>
                <w:szCs w:val="18"/>
              </w:rPr>
              <w:t>崇喜、李强、徐</w:t>
            </w:r>
            <w:r>
              <w:rPr>
                <w:rFonts w:ascii="宋体" w:hAnsi="宋体" w:cs="宋体" w:eastAsia="宋体" w:hint="default"/>
                <w:sz w:val="18"/>
                <w:szCs w:val="18"/>
              </w:rPr>
              <w:t> </w:t>
            </w:r>
            <w:r>
              <w:rPr>
                <w:rFonts w:ascii="宋体" w:hAnsi="宋体" w:cs="宋体" w:eastAsia="宋体" w:hint="default"/>
                <w:spacing w:val="-6"/>
                <w:sz w:val="18"/>
                <w:szCs w:val="18"/>
              </w:rPr>
              <w:t>光涛、文涛、罗</w:t>
            </w:r>
            <w:r>
              <w:rPr>
                <w:rFonts w:ascii="宋体" w:hAnsi="宋体" w:cs="宋体" w:eastAsia="宋体" w:hint="default"/>
                <w:sz w:val="18"/>
                <w:szCs w:val="18"/>
              </w:rPr>
              <w:t> </w:t>
            </w:r>
            <w:r>
              <w:rPr>
                <w:rFonts w:ascii="宋体" w:hAnsi="宋体" w:cs="宋体" w:eastAsia="宋体" w:hint="default"/>
                <w:spacing w:val="-6"/>
                <w:sz w:val="18"/>
                <w:szCs w:val="18"/>
              </w:rPr>
              <w:t>丹、彭娥昌、张</w:t>
            </w:r>
          </w:p>
        </w:tc>
        <w:tc>
          <w:tcPr>
            <w:tcW w:w="852" w:type="dxa"/>
            <w:tcBorders>
              <w:top w:val="single" w:sz="6" w:space="0" w:color="000000"/>
              <w:left w:val="single" w:sz="14" w:space="0" w:color="FFFFFF"/>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10"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54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0" w:right="13"/>
              <w:jc w:val="both"/>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、关于避免同业竞争的承诺：（</w:t>
            </w:r>
            <w:r>
              <w:rPr>
                <w:rFonts w:ascii="宋体" w:hAnsi="宋体" w:cs="宋体" w:eastAsia="宋体" w:hint="default"/>
                <w:spacing w:val="-6"/>
                <w:sz w:val="18"/>
                <w:szCs w:val="18"/>
              </w:rPr>
              <w:t>1</w:t>
            </w:r>
            <w:r>
              <w:rPr>
                <w:rFonts w:ascii="宋体" w:hAnsi="宋体" w:cs="宋体" w:eastAsia="宋体" w:hint="default"/>
                <w:spacing w:val="-6"/>
                <w:sz w:val="18"/>
                <w:szCs w:val="18"/>
              </w:rPr>
              <w:t>）本次交易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完成后，在作为光一科技股东期间，本人或</w:t>
            </w:r>
            <w:r>
              <w:rPr>
                <w:rFonts w:ascii="宋体" w:hAnsi="宋体" w:cs="宋体" w:eastAsia="宋体" w:hint="default"/>
                <w:sz w:val="18"/>
                <w:szCs w:val="18"/>
              </w:rPr>
              <w:t> </w:t>
            </w:r>
            <w:r>
              <w:rPr>
                <w:rFonts w:ascii="宋体" w:hAnsi="宋体" w:cs="宋体" w:eastAsia="宋体" w:hint="default"/>
                <w:spacing w:val="3"/>
                <w:sz w:val="18"/>
                <w:szCs w:val="18"/>
              </w:rPr>
              <w:t>本人近亲属及本人或本人近亲属控制的其他</w:t>
            </w:r>
            <w:r>
              <w:rPr>
                <w:rFonts w:ascii="宋体" w:hAnsi="宋体" w:cs="宋体" w:eastAsia="宋体" w:hint="default"/>
                <w:sz w:val="18"/>
                <w:szCs w:val="18"/>
              </w:rPr>
              <w:t> </w:t>
            </w:r>
            <w:r>
              <w:rPr>
                <w:rFonts w:ascii="宋体" w:hAnsi="宋体" w:cs="宋体" w:eastAsia="宋体" w:hint="default"/>
                <w:spacing w:val="3"/>
                <w:sz w:val="18"/>
                <w:szCs w:val="18"/>
              </w:rPr>
              <w:t>企业不会直接或间接从事任何与光一科技及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其下属公司主要经营业务构成同业竞争或潜</w:t>
            </w:r>
            <w:r>
              <w:rPr>
                <w:rFonts w:ascii="宋体" w:hAnsi="宋体" w:cs="宋体" w:eastAsia="宋体" w:hint="default"/>
                <w:sz w:val="18"/>
                <w:szCs w:val="18"/>
              </w:rPr>
              <w:t> </w:t>
            </w:r>
            <w:r>
              <w:rPr>
                <w:rFonts w:ascii="宋体" w:hAnsi="宋体" w:cs="宋体" w:eastAsia="宋体" w:hint="default"/>
                <w:spacing w:val="3"/>
                <w:sz w:val="18"/>
                <w:szCs w:val="18"/>
              </w:rPr>
              <w:t>在同业竞争关系的生产与经营业务，亦不会</w:t>
            </w:r>
            <w:r>
              <w:rPr>
                <w:rFonts w:ascii="宋体" w:hAnsi="宋体" w:cs="宋体" w:eastAsia="宋体" w:hint="default"/>
                <w:sz w:val="18"/>
                <w:szCs w:val="18"/>
              </w:rPr>
              <w:t> </w:t>
            </w:r>
            <w:r>
              <w:rPr>
                <w:rFonts w:ascii="宋体" w:hAnsi="宋体" w:cs="宋体" w:eastAsia="宋体" w:hint="default"/>
                <w:spacing w:val="3"/>
                <w:sz w:val="18"/>
                <w:szCs w:val="18"/>
              </w:rPr>
              <w:t>投资任何与光一科技及其下属公司主要经营</w:t>
            </w:r>
            <w:r>
              <w:rPr>
                <w:rFonts w:ascii="宋体" w:hAnsi="宋体" w:cs="宋体" w:eastAsia="宋体" w:hint="default"/>
                <w:sz w:val="18"/>
                <w:szCs w:val="18"/>
              </w:rPr>
              <w:t> </w:t>
            </w:r>
            <w:r>
              <w:rPr>
                <w:rFonts w:ascii="宋体" w:hAnsi="宋体" w:cs="宋体" w:eastAsia="宋体" w:hint="default"/>
                <w:spacing w:val="3"/>
                <w:sz w:val="18"/>
                <w:szCs w:val="18"/>
              </w:rPr>
              <w:t>业务构成同业竞争或潜在同业竞争关系的其</w:t>
            </w:r>
            <w:r>
              <w:rPr>
                <w:rFonts w:ascii="宋体" w:hAnsi="宋体" w:cs="宋体" w:eastAsia="宋体" w:hint="default"/>
                <w:sz w:val="18"/>
                <w:szCs w:val="18"/>
              </w:rPr>
              <w:t> </w:t>
            </w:r>
            <w:r>
              <w:rPr>
                <w:rFonts w:ascii="宋体" w:hAnsi="宋体" w:cs="宋体" w:eastAsia="宋体" w:hint="default"/>
                <w:spacing w:val="-2"/>
                <w:sz w:val="18"/>
                <w:szCs w:val="18"/>
              </w:rPr>
              <w:t>他企业。（</w:t>
            </w:r>
            <w:r>
              <w:rPr>
                <w:rFonts w:ascii="宋体" w:hAnsi="宋体" w:cs="宋体" w:eastAsia="宋体" w:hint="default"/>
                <w:spacing w:val="-2"/>
                <w:sz w:val="18"/>
                <w:szCs w:val="18"/>
              </w:rPr>
              <w:t>2</w:t>
            </w:r>
            <w:r>
              <w:rPr>
                <w:rFonts w:ascii="宋体" w:hAnsi="宋体" w:cs="宋体" w:eastAsia="宋体" w:hint="default"/>
                <w:spacing w:val="-2"/>
                <w:sz w:val="18"/>
                <w:szCs w:val="18"/>
              </w:rPr>
              <w:t>）在上述期间，如本人或本人近</w:t>
            </w:r>
            <w:r>
              <w:rPr>
                <w:rFonts w:ascii="宋体" w:hAnsi="宋体" w:cs="宋体" w:eastAsia="宋体" w:hint="default"/>
                <w:spacing w:val="-80"/>
                <w:sz w:val="18"/>
                <w:szCs w:val="18"/>
              </w:rPr>
              <w:t> </w:t>
            </w:r>
            <w:r>
              <w:rPr>
                <w:rFonts w:ascii="宋体" w:hAnsi="宋体" w:cs="宋体" w:eastAsia="宋体" w:hint="default"/>
                <w:spacing w:val="3"/>
                <w:sz w:val="18"/>
                <w:szCs w:val="18"/>
              </w:rPr>
              <w:t>亲属及本人或本人近亲属控制的企业的现有</w:t>
            </w:r>
            <w:r>
              <w:rPr>
                <w:rFonts w:ascii="宋体" w:hAnsi="宋体" w:cs="宋体" w:eastAsia="宋体" w:hint="default"/>
                <w:sz w:val="18"/>
                <w:szCs w:val="18"/>
              </w:rPr>
              <w:t> </w:t>
            </w:r>
            <w:r>
              <w:rPr>
                <w:rFonts w:ascii="宋体" w:hAnsi="宋体" w:cs="宋体" w:eastAsia="宋体" w:hint="default"/>
                <w:spacing w:val="3"/>
                <w:sz w:val="18"/>
                <w:szCs w:val="18"/>
              </w:rPr>
              <w:t>业务或该等企业为进一步拓展业务范围，与</w:t>
            </w:r>
            <w:r>
              <w:rPr>
                <w:rFonts w:ascii="宋体" w:hAnsi="宋体" w:cs="宋体" w:eastAsia="宋体" w:hint="default"/>
                <w:sz w:val="18"/>
                <w:szCs w:val="18"/>
              </w:rPr>
              <w:t> </w:t>
            </w:r>
            <w:r>
              <w:rPr>
                <w:rFonts w:ascii="宋体" w:hAnsi="宋体" w:cs="宋体" w:eastAsia="宋体" w:hint="default"/>
                <w:spacing w:val="13"/>
                <w:sz w:val="18"/>
                <w:szCs w:val="18"/>
              </w:rPr>
              <w:t>光一科技及其下属公司经营的业务产生竞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争，则本人或本人近亲属及本人或本人近亲</w:t>
            </w:r>
            <w:r>
              <w:rPr>
                <w:rFonts w:ascii="宋体" w:hAnsi="宋体" w:cs="宋体" w:eastAsia="宋体" w:hint="default"/>
                <w:sz w:val="18"/>
                <w:szCs w:val="18"/>
              </w:rPr>
              <w:t> </w:t>
            </w:r>
            <w:r>
              <w:rPr>
                <w:rFonts w:ascii="宋体" w:hAnsi="宋体" w:cs="宋体" w:eastAsia="宋体" w:hint="default"/>
                <w:spacing w:val="3"/>
                <w:sz w:val="18"/>
                <w:szCs w:val="18"/>
              </w:rPr>
              <w:t>属控制的企业将采取停止经营产生竞争的业</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Times New Roman" w:hAnsi="Times New Roman" w:cs="Times New Roman" w:eastAsia="Times New Roman" w:hint="default"/>
          <w:sz w:val="27"/>
          <w:szCs w:val="27"/>
        </w:rPr>
      </w:pPr>
      <w:r>
        <w:rPr/>
        <w:pict>
          <v:shape style="position:absolute;margin-left:391.119995pt;margin-top:73.499985pt;width:48.05pt;height:686.5pt;mso-position-horizontal-relative:page;mso-position-vertical-relative:page;z-index:-9039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5.919998pt;margin-top:71.249985pt;width:479.95pt;height:691pt;mso-position-horizontal-relative:page;mso-position-vertical-relative:page;z-index:-903952" coordorigin="1118,1425" coordsize="9599,13820">
            <v:group style="position:absolute;left:1148;top:1470;width:1113;height:13730" coordorigin="1148,1470" coordsize="1113,13730">
              <v:shape style="position:absolute;left:1148;top:1470;width:1113;height:13730" coordorigin="1148,1470" coordsize="1113,13730" path="m1148,15199l2261,15199,2261,1470,1148,1470,1148,15199xe" filled="true" fillcolor="#d2d2d2" stroked="false">
                <v:path arrowok="t"/>
                <v:fill type="solid"/>
              </v:shape>
            </v:group>
            <v:group style="position:absolute;left:1148;top:1440;width:1113;height:30" coordorigin="1148,1440" coordsize="1113,30">
              <v:shape style="position:absolute;left:1148;top:1440;width:1113;height:30" coordorigin="1148,1440" coordsize="1113,30" path="m1148,1470l2261,1470,2261,1440,1148,1440,1148,1470xe" filled="true" fillcolor="#000000" stroked="false">
                <v:path arrowok="t"/>
                <v:fill type="solid"/>
              </v:shape>
            </v:group>
            <v:group style="position:absolute;left:2261;top:1455;width:30;height:2" coordorigin="2261,1455" coordsize="30,2">
              <v:shape style="position:absolute;left:2261;top:1455;width:30;height:2" coordorigin="2261,1455" coordsize="30,0" path="m2261,1455l2291,1455e" filled="false" stroked="true" strokeweight="1.5pt" strokecolor="#000000">
                <v:path arrowok="t"/>
              </v:shape>
            </v:group>
            <v:group style="position:absolute;left:2291;top:1455;width:1246;height:2" coordorigin="2291,1455" coordsize="1246,2">
              <v:shape style="position:absolute;left:2291;top:1455;width:1246;height:2" coordorigin="2291,1455" coordsize="1246,0" path="m2291,1455l3537,1455e" filled="false" stroked="true" strokeweight="1.5pt" strokecolor="#000000">
                <v:path arrowok="t"/>
              </v:shape>
            </v:group>
            <v:group style="position:absolute;left:3537;top:1455;width:30;height:2" coordorigin="3537,1455" coordsize="30,2">
              <v:shape style="position:absolute;left:3537;top:1455;width:30;height:2" coordorigin="3537,1455" coordsize="30,0" path="m3537,1455l3567,1455e" filled="false" stroked="true" strokeweight="1.5pt" strokecolor="#000000">
                <v:path arrowok="t"/>
              </v:shape>
            </v:group>
            <v:group style="position:absolute;left:3567;top:1455;width:822;height:2" coordorigin="3567,1455" coordsize="822,2">
              <v:shape style="position:absolute;left:3567;top:1455;width:822;height:2" coordorigin="3567,1455" coordsize="822,0" path="m3567,1455l4389,1455e" filled="false" stroked="true" strokeweight="1.5pt" strokecolor="#000000">
                <v:path arrowok="t"/>
              </v:shape>
            </v:group>
            <v:group style="position:absolute;left:4389;top:1455;width:30;height:2" coordorigin="4389,1455" coordsize="30,2">
              <v:shape style="position:absolute;left:4389;top:1455;width:30;height:2" coordorigin="4389,1455" coordsize="30,0" path="m4389,1455l4419,1455e" filled="false" stroked="true" strokeweight="1.5pt" strokecolor="#000000">
                <v:path arrowok="t"/>
              </v:shape>
            </v:group>
            <v:group style="position:absolute;left:7946;top:1470;width:837;height:13730" coordorigin="7946,1470" coordsize="837,13730">
              <v:shape style="position:absolute;left:7946;top:1470;width:837;height:13730" coordorigin="7946,1470" coordsize="837,13730" path="m7946,15199l8783,15199,8783,1470,7946,1470,7946,15199xe" filled="true" fillcolor="#ffffff" stroked="false">
                <v:path arrowok="t"/>
                <v:fill type="solid"/>
              </v:shape>
            </v:group>
            <v:group style="position:absolute;left:4419;top:1455;width:3513;height:2" coordorigin="4419,1455" coordsize="3513,2">
              <v:shape style="position:absolute;left:4419;top:1455;width:3513;height:2" coordorigin="4419,1455" coordsize="3513,0" path="m4419,1455l7932,1455e" filled="false" stroked="true" strokeweight="1.5pt" strokecolor="#000000">
                <v:path arrowok="t"/>
              </v:shape>
            </v:group>
            <v:group style="position:absolute;left:7932;top:1455;width:30;height:2" coordorigin="7932,1455" coordsize="30,2">
              <v:shape style="position:absolute;left:7932;top:1455;width:30;height:2" coordorigin="7932,1455" coordsize="30,0" path="m7932,1455l7962,1455e" filled="false" stroked="true" strokeweight="1.5pt" strokecolor="#000000">
                <v:path arrowok="t"/>
              </v:shape>
            </v:group>
            <v:group style="position:absolute;left:7962;top:1440;width:822;height:30" coordorigin="7962,1440" coordsize="822,30">
              <v:shape style="position:absolute;left:7962;top:1440;width:822;height:30" coordorigin="7962,1440" coordsize="822,30" path="m7962,1470l8783,1470,8783,1440,7962,1440,7962,1470xe" filled="true" fillcolor="#000000" stroked="false">
                <v:path arrowok="t"/>
                <v:fill type="solid"/>
              </v:shape>
            </v:group>
            <v:group style="position:absolute;left:8783;top:1455;width:30;height:2" coordorigin="8783,1455" coordsize="30,2">
              <v:shape style="position:absolute;left:8783;top:1455;width:30;height:2" coordorigin="8783,1455" coordsize="30,0" path="m8783,1455l8813,1455e" filled="false" stroked="true" strokeweight="1.5pt" strokecolor="#000000">
                <v:path arrowok="t"/>
              </v:shape>
            </v:group>
            <v:group style="position:absolute;left:8813;top:1455;width:776;height:2" coordorigin="8813,1455" coordsize="776,2">
              <v:shape style="position:absolute;left:8813;top:1455;width:776;height:2" coordorigin="8813,1455" coordsize="776,0" path="m8813,1455l9588,1455e" filled="false" stroked="true" strokeweight="1.5pt" strokecolor="#000000">
                <v:path arrowok="t"/>
              </v:shape>
            </v:group>
            <v:group style="position:absolute;left:9588;top:1455;width:30;height:2" coordorigin="9588,1455" coordsize="30,2">
              <v:shape style="position:absolute;left:9588;top:1455;width:30;height:2" coordorigin="9588,1455" coordsize="30,0" path="m9588,1455l9618,1455e" filled="false" stroked="true" strokeweight="1.5pt" strokecolor="#000000">
                <v:path arrowok="t"/>
              </v:shape>
            </v:group>
            <v:group style="position:absolute;left:9618;top:1455;width:1070;height:2" coordorigin="9618,1455" coordsize="1070,2">
              <v:shape style="position:absolute;left:9618;top:1455;width:1070;height:2" coordorigin="9618,1455" coordsize="1070,0" path="m9618,1455l10687,1455e" filled="false" stroked="true" strokeweight="1.5pt" strokecolor="#000000">
                <v:path arrowok="t"/>
              </v:shape>
            </v:group>
            <v:group style="position:absolute;left:1133;top:1440;width:2;height:13790" coordorigin="1133,1440" coordsize="2,13790">
              <v:shape style="position:absolute;left:1133;top:1440;width:2;height:13790" coordorigin="1133,1440" coordsize="0,13790" path="m1133,1440l1133,15229e" filled="false" stroked="true" strokeweight="1.5pt" strokecolor="#000000">
                <v:path arrowok="t"/>
              </v:shape>
            </v:group>
            <v:group style="position:absolute;left:1148;top:15214;width:1113;height:2" coordorigin="1148,15214" coordsize="1113,2">
              <v:shape style="position:absolute;left:1148;top:15214;width:1113;height:2" coordorigin="1148,15214" coordsize="1113,0" path="m1148,15214l2261,15214e" filled="false" stroked="true" strokeweight="1.5pt" strokecolor="#000000">
                <v:path arrowok="t"/>
              </v:shape>
            </v:group>
            <v:group style="position:absolute;left:2268;top:1470;width:2;height:13730" coordorigin="2268,1470" coordsize="2,13730">
              <v:shape style="position:absolute;left:2268;top:1470;width:2;height:13730" coordorigin="2268,1470" coordsize="0,13730" path="m2268,1470l2268,15199e" filled="false" stroked="true" strokeweight=".72pt" strokecolor="#000000">
                <v:path arrowok="t"/>
              </v:shape>
            </v:group>
            <v:group style="position:absolute;left:2261;top:15214;width:30;height:2" coordorigin="2261,15214" coordsize="30,2">
              <v:shape style="position:absolute;left:2261;top:15214;width:30;height:2" coordorigin="2261,15214" coordsize="30,0" path="m2261,15214l2291,15214e" filled="false" stroked="true" strokeweight="1.5pt" strokecolor="#000000">
                <v:path arrowok="t"/>
              </v:shape>
            </v:group>
            <v:group style="position:absolute;left:2291;top:15214;width:1246;height:2" coordorigin="2291,15214" coordsize="1246,2">
              <v:shape style="position:absolute;left:2291;top:15214;width:1246;height:2" coordorigin="2291,15214" coordsize="1246,0" path="m2291,15214l3537,15214e" filled="false" stroked="true" strokeweight="1.5pt" strokecolor="#000000">
                <v:path arrowok="t"/>
              </v:shape>
            </v:group>
            <v:group style="position:absolute;left:3544;top:1470;width:2;height:13730" coordorigin="3544,1470" coordsize="2,13730">
              <v:shape style="position:absolute;left:3544;top:1470;width:2;height:13730" coordorigin="3544,1470" coordsize="0,13730" path="m3544,1470l3544,15199e" filled="false" stroked="true" strokeweight=".72pt" strokecolor="#000000">
                <v:path arrowok="t"/>
              </v:shape>
            </v:group>
            <v:group style="position:absolute;left:3537;top:15214;width:30;height:2" coordorigin="3537,15214" coordsize="30,2">
              <v:shape style="position:absolute;left:3537;top:15214;width:30;height:2" coordorigin="3537,15214" coordsize="30,0" path="m3537,15214l3567,15214e" filled="false" stroked="true" strokeweight="1.5pt" strokecolor="#000000">
                <v:path arrowok="t"/>
              </v:shape>
            </v:group>
            <v:group style="position:absolute;left:3567;top:15214;width:822;height:2" coordorigin="3567,15214" coordsize="822,2">
              <v:shape style="position:absolute;left:3567;top:15214;width:822;height:2" coordorigin="3567,15214" coordsize="822,0" path="m3567,15214l4389,15214e" filled="false" stroked="true" strokeweight="1.5pt" strokecolor="#000000">
                <v:path arrowok="t"/>
              </v:shape>
            </v:group>
            <v:group style="position:absolute;left:4396;top:1470;width:2;height:13730" coordorigin="4396,1470" coordsize="2,13730">
              <v:shape style="position:absolute;left:4396;top:1470;width:2;height:13730" coordorigin="4396,1470" coordsize="0,13730" path="m4396,1470l4396,15199e" filled="false" stroked="true" strokeweight=".71999pt" strokecolor="#000000">
                <v:path arrowok="t"/>
              </v:shape>
            </v:group>
            <v:group style="position:absolute;left:4389;top:15214;width:30;height:2" coordorigin="4389,15214" coordsize="30,2">
              <v:shape style="position:absolute;left:4389;top:15214;width:30;height:2" coordorigin="4389,15214" coordsize="30,0" path="m4389,15214l4419,15214e" filled="false" stroked="true" strokeweight="1.5pt" strokecolor="#000000">
                <v:path arrowok="t"/>
              </v:shape>
            </v:group>
            <v:group style="position:absolute;left:4419;top:15214;width:3513;height:2" coordorigin="4419,15214" coordsize="3513,2">
              <v:shape style="position:absolute;left:4419;top:15214;width:3513;height:2" coordorigin="4419,15214" coordsize="3513,0" path="m4419,15214l7932,15214e" filled="false" stroked="true" strokeweight="1.5pt" strokecolor="#000000">
                <v:path arrowok="t"/>
              </v:shape>
            </v:group>
            <v:group style="position:absolute;left:7939;top:1470;width:2;height:13730" coordorigin="7939,1470" coordsize="2,13730">
              <v:shape style="position:absolute;left:7939;top:1470;width:2;height:13730" coordorigin="7939,1470" coordsize="0,13730" path="m7939,1470l7939,15199e" filled="false" stroked="true" strokeweight=".72pt" strokecolor="#000000">
                <v:path arrowok="t"/>
              </v:shape>
            </v:group>
            <v:group style="position:absolute;left:7932;top:15214;width:30;height:2" coordorigin="7932,15214" coordsize="30,2">
              <v:shape style="position:absolute;left:7932;top:15214;width:30;height:2" coordorigin="7932,15214" coordsize="30,0" path="m7932,15214l7962,15214e" filled="false" stroked="true" strokeweight="1.5pt" strokecolor="#000000">
                <v:path arrowok="t"/>
              </v:shape>
            </v:group>
            <v:group style="position:absolute;left:7962;top:15214;width:822;height:2" coordorigin="7962,15214" coordsize="822,2">
              <v:shape style="position:absolute;left:7962;top:15214;width:822;height:2" coordorigin="7962,15214" coordsize="822,0" path="m7962,15214l8783,15214e" filled="false" stroked="true" strokeweight="1.5pt" strokecolor="#000000">
                <v:path arrowok="t"/>
              </v:shape>
            </v:group>
            <v:group style="position:absolute;left:8790;top:1470;width:2;height:13730" coordorigin="8790,1470" coordsize="2,13730">
              <v:shape style="position:absolute;left:8790;top:1470;width:2;height:13730" coordorigin="8790,1470" coordsize="0,13730" path="m8790,1470l8790,15199e" filled="false" stroked="true" strokeweight=".72pt" strokecolor="#000000">
                <v:path arrowok="t"/>
              </v:shape>
            </v:group>
            <v:group style="position:absolute;left:8783;top:15214;width:30;height:2" coordorigin="8783,15214" coordsize="30,2">
              <v:shape style="position:absolute;left:8783;top:15214;width:30;height:2" coordorigin="8783,15214" coordsize="30,0" path="m8783,15214l8813,15214e" filled="false" stroked="true" strokeweight="1.5pt" strokecolor="#000000">
                <v:path arrowok="t"/>
              </v:shape>
            </v:group>
            <v:group style="position:absolute;left:8813;top:15214;width:776;height:2" coordorigin="8813,15214" coordsize="776,2">
              <v:shape style="position:absolute;left:8813;top:15214;width:776;height:2" coordorigin="8813,15214" coordsize="776,0" path="m8813,15214l9588,15214e" filled="false" stroked="true" strokeweight="1.5pt" strokecolor="#000000">
                <v:path arrowok="t"/>
              </v:shape>
            </v:group>
            <v:group style="position:absolute;left:9595;top:1470;width:2;height:13730" coordorigin="9595,1470" coordsize="2,13730">
              <v:shape style="position:absolute;left:9595;top:1470;width:2;height:13730" coordorigin="9595,1470" coordsize="0,13730" path="m9595,1470l9595,15199e" filled="false" stroked="true" strokeweight=".72pt" strokecolor="#000000">
                <v:path arrowok="t"/>
              </v:shape>
            </v:group>
            <v:group style="position:absolute;left:9588;top:15214;width:30;height:2" coordorigin="9588,15214" coordsize="30,2">
              <v:shape style="position:absolute;left:9588;top:15214;width:30;height:2" coordorigin="9588,15214" coordsize="30,0" path="m9588,15214l9618,15214e" filled="false" stroked="true" strokeweight="1.5pt" strokecolor="#000000">
                <v:path arrowok="t"/>
              </v:shape>
            </v:group>
            <v:group style="position:absolute;left:9618;top:15214;width:1070;height:2" coordorigin="9618,15214" coordsize="1070,2">
              <v:shape style="position:absolute;left:9618;top:15214;width:1070;height:2" coordorigin="9618,15214" coordsize="1070,0" path="m9618,15214l10687,15214e" filled="false" stroked="true" strokeweight="1.5pt" strokecolor="#000000">
                <v:path arrowok="t"/>
              </v:shape>
            </v:group>
            <v:group style="position:absolute;left:10702;top:1440;width:2;height:13790" coordorigin="10702,1440" coordsize="2,13790">
              <v:shape style="position:absolute;left:10702;top:1440;width:2;height:13790" coordorigin="10702,1440" coordsize="0,13790" path="m10702,1440l10702,15229e" filled="false" stroked="true" strokeweight="1.5pt" strokecolor="#000000">
                <v:path arrowok="t"/>
              </v:shape>
            </v:group>
            <w10:wrap type="none"/>
          </v:group>
        </w:pict>
      </w:r>
    </w:p>
    <w:p>
      <w:pPr>
        <w:tabs>
          <w:tab w:pos="3443" w:val="left" w:leader="none"/>
        </w:tabs>
        <w:spacing w:line="316" w:lineRule="auto" w:before="45"/>
        <w:ind w:left="3443" w:right="3988" w:hanging="2128"/>
        <w:jc w:val="both"/>
        <w:rPr>
          <w:rFonts w:ascii="宋体" w:hAnsi="宋体" w:cs="宋体" w:eastAsia="宋体" w:hint="default"/>
          <w:sz w:val="18"/>
          <w:szCs w:val="18"/>
        </w:rPr>
      </w:pPr>
      <w:r>
        <w:rPr>
          <w:rFonts w:ascii="宋体" w:hAnsi="宋体" w:cs="宋体" w:eastAsia="宋体" w:hint="default"/>
          <w:sz w:val="18"/>
          <w:szCs w:val="18"/>
        </w:rPr>
        <w:t>红、陈世勇</w:t>
        <w:tab/>
      </w:r>
      <w:r>
        <w:rPr>
          <w:rFonts w:ascii="宋体" w:hAnsi="宋体" w:cs="宋体" w:eastAsia="宋体" w:hint="default"/>
          <w:spacing w:val="3"/>
          <w:sz w:val="18"/>
          <w:szCs w:val="18"/>
        </w:rPr>
        <w:t>务的方式，或者采取将产生竞争的业务纳入</w:t>
      </w:r>
      <w:r>
        <w:rPr>
          <w:rFonts w:ascii="宋体" w:hAnsi="宋体" w:cs="宋体" w:eastAsia="宋体" w:hint="default"/>
          <w:sz w:val="18"/>
          <w:szCs w:val="18"/>
        </w:rPr>
        <w:t> </w:t>
      </w:r>
      <w:r>
        <w:rPr>
          <w:rFonts w:ascii="宋体" w:hAnsi="宋体" w:cs="宋体" w:eastAsia="宋体" w:hint="default"/>
          <w:spacing w:val="3"/>
          <w:sz w:val="18"/>
          <w:szCs w:val="18"/>
        </w:rPr>
        <w:t>光一科技的方式，或者采取将产生竞争的业</w:t>
      </w:r>
      <w:r>
        <w:rPr>
          <w:rFonts w:ascii="宋体" w:hAnsi="宋体" w:cs="宋体" w:eastAsia="宋体" w:hint="default"/>
          <w:sz w:val="18"/>
          <w:szCs w:val="18"/>
        </w:rPr>
        <w:t> </w:t>
      </w:r>
      <w:r>
        <w:rPr>
          <w:rFonts w:ascii="宋体" w:hAnsi="宋体" w:cs="宋体" w:eastAsia="宋体" w:hint="default"/>
          <w:spacing w:val="3"/>
          <w:sz w:val="18"/>
          <w:szCs w:val="18"/>
        </w:rPr>
        <w:t>务转让给无关联关系第三方等的合法方式，</w:t>
      </w:r>
      <w:r>
        <w:rPr>
          <w:rFonts w:ascii="宋体" w:hAnsi="宋体" w:cs="宋体" w:eastAsia="宋体" w:hint="default"/>
          <w:sz w:val="18"/>
          <w:szCs w:val="18"/>
        </w:rPr>
        <w:t> </w:t>
      </w:r>
      <w:r>
        <w:rPr>
          <w:rFonts w:ascii="宋体" w:hAnsi="宋体" w:cs="宋体" w:eastAsia="宋体" w:hint="default"/>
          <w:spacing w:val="3"/>
          <w:sz w:val="18"/>
          <w:szCs w:val="18"/>
        </w:rPr>
        <w:t>使本人或本人近亲属及本人或本人近亲属控</w:t>
      </w:r>
      <w:r>
        <w:rPr>
          <w:rFonts w:ascii="宋体" w:hAnsi="宋体" w:cs="宋体" w:eastAsia="宋体" w:hint="default"/>
          <w:sz w:val="18"/>
          <w:szCs w:val="18"/>
        </w:rPr>
        <w:t> </w:t>
      </w:r>
      <w:r>
        <w:rPr>
          <w:rFonts w:ascii="宋体" w:hAnsi="宋体" w:cs="宋体" w:eastAsia="宋体" w:hint="default"/>
          <w:spacing w:val="3"/>
          <w:sz w:val="18"/>
          <w:szCs w:val="18"/>
        </w:rPr>
        <w:t>制的企业不再从事与光一科技主营业务相同</w:t>
      </w:r>
      <w:r>
        <w:rPr>
          <w:rFonts w:ascii="宋体" w:hAnsi="宋体" w:cs="宋体" w:eastAsia="宋体" w:hint="default"/>
          <w:sz w:val="18"/>
          <w:szCs w:val="18"/>
        </w:rPr>
        <w:t> </w:t>
      </w:r>
      <w:r>
        <w:rPr>
          <w:rFonts w:ascii="宋体" w:hAnsi="宋体" w:cs="宋体" w:eastAsia="宋体" w:hint="default"/>
          <w:spacing w:val="-2"/>
          <w:sz w:val="18"/>
          <w:szCs w:val="18"/>
        </w:rPr>
        <w:t>或类似的业务。（</w:t>
      </w:r>
      <w:r>
        <w:rPr>
          <w:rFonts w:ascii="宋体" w:hAnsi="宋体" w:cs="宋体" w:eastAsia="宋体" w:hint="default"/>
          <w:spacing w:val="-2"/>
          <w:sz w:val="18"/>
          <w:szCs w:val="18"/>
        </w:rPr>
        <w:t>3</w:t>
      </w:r>
      <w:r>
        <w:rPr>
          <w:rFonts w:ascii="宋体" w:hAnsi="宋体" w:cs="宋体" w:eastAsia="宋体" w:hint="default"/>
          <w:spacing w:val="-2"/>
          <w:sz w:val="18"/>
          <w:szCs w:val="18"/>
        </w:rPr>
        <w:t>）本函自签署出具之日起</w:t>
      </w:r>
      <w:r>
        <w:rPr>
          <w:rFonts w:ascii="宋体" w:hAnsi="宋体" w:cs="宋体" w:eastAsia="宋体" w:hint="default"/>
          <w:spacing w:val="3"/>
          <w:sz w:val="18"/>
          <w:szCs w:val="18"/>
        </w:rPr>
        <w:t> 立即生效，即对本人具有法律约束力。自本</w:t>
      </w:r>
      <w:r>
        <w:rPr>
          <w:rFonts w:ascii="宋体" w:hAnsi="宋体" w:cs="宋体" w:eastAsia="宋体" w:hint="default"/>
          <w:sz w:val="18"/>
          <w:szCs w:val="18"/>
        </w:rPr>
        <w:t> </w:t>
      </w:r>
      <w:r>
        <w:rPr>
          <w:rFonts w:ascii="宋体" w:hAnsi="宋体" w:cs="宋体" w:eastAsia="宋体" w:hint="default"/>
          <w:spacing w:val="13"/>
          <w:sz w:val="18"/>
          <w:szCs w:val="18"/>
        </w:rPr>
        <w:t>函生效至本人作为光一科技股东的任何时</w:t>
      </w:r>
      <w:r>
        <w:rPr>
          <w:rFonts w:ascii="宋体" w:hAnsi="宋体" w:cs="宋体" w:eastAsia="宋体" w:hint="default"/>
          <w:sz w:val="18"/>
          <w:szCs w:val="18"/>
        </w:rPr>
        <w:t> </w:t>
      </w:r>
      <w:r>
        <w:rPr>
          <w:rFonts w:ascii="宋体" w:hAnsi="宋体" w:cs="宋体" w:eastAsia="宋体" w:hint="default"/>
          <w:spacing w:val="3"/>
          <w:sz w:val="18"/>
          <w:szCs w:val="18"/>
        </w:rPr>
        <w:t>候，本人将严格遵守并履行本函所作的承诺</w:t>
      </w:r>
      <w:r>
        <w:rPr>
          <w:rFonts w:ascii="宋体" w:hAnsi="宋体" w:cs="宋体" w:eastAsia="宋体" w:hint="default"/>
          <w:sz w:val="18"/>
          <w:szCs w:val="18"/>
        </w:rPr>
        <w:t> </w:t>
      </w:r>
      <w:r>
        <w:rPr>
          <w:rFonts w:ascii="宋体" w:hAnsi="宋体" w:cs="宋体" w:eastAsia="宋体" w:hint="default"/>
          <w:spacing w:val="3"/>
          <w:sz w:val="18"/>
          <w:szCs w:val="18"/>
        </w:rPr>
        <w:t>及保证义务；对于违反本函承诺及保证义务</w:t>
      </w:r>
      <w:r>
        <w:rPr>
          <w:rFonts w:ascii="宋体" w:hAnsi="宋体" w:cs="宋体" w:eastAsia="宋体" w:hint="default"/>
          <w:sz w:val="18"/>
          <w:szCs w:val="18"/>
        </w:rPr>
        <w:t> </w:t>
      </w:r>
      <w:r>
        <w:rPr>
          <w:rFonts w:ascii="宋体" w:hAnsi="宋体" w:cs="宋体" w:eastAsia="宋体" w:hint="default"/>
          <w:spacing w:val="3"/>
          <w:sz w:val="18"/>
          <w:szCs w:val="18"/>
        </w:rPr>
        <w:t>的，本人承诺采取一切必要且有效的措施及</w:t>
      </w:r>
      <w:r>
        <w:rPr>
          <w:rFonts w:ascii="宋体" w:hAnsi="宋体" w:cs="宋体" w:eastAsia="宋体" w:hint="default"/>
          <w:sz w:val="18"/>
          <w:szCs w:val="18"/>
        </w:rPr>
        <w:t> </w:t>
      </w:r>
      <w:r>
        <w:rPr>
          <w:rFonts w:ascii="宋体" w:hAnsi="宋体" w:cs="宋体" w:eastAsia="宋体" w:hint="default"/>
          <w:spacing w:val="3"/>
          <w:sz w:val="18"/>
          <w:szCs w:val="18"/>
        </w:rPr>
        <w:t>时纠正消除由此造成光一科技的不利影响，</w:t>
      </w:r>
      <w:r>
        <w:rPr>
          <w:rFonts w:ascii="宋体" w:hAnsi="宋体" w:cs="宋体" w:eastAsia="宋体" w:hint="default"/>
          <w:sz w:val="18"/>
          <w:szCs w:val="18"/>
        </w:rPr>
        <w:t> </w:t>
      </w:r>
      <w:r>
        <w:rPr>
          <w:rFonts w:ascii="宋体" w:hAnsi="宋体" w:cs="宋体" w:eastAsia="宋体" w:hint="default"/>
          <w:spacing w:val="3"/>
          <w:sz w:val="18"/>
          <w:szCs w:val="18"/>
        </w:rPr>
        <w:t>并对造成光一科技直接和间接损失承担赔偿</w:t>
      </w:r>
      <w:r>
        <w:rPr>
          <w:rFonts w:ascii="宋体" w:hAnsi="宋体" w:cs="宋体" w:eastAsia="宋体" w:hint="default"/>
          <w:sz w:val="18"/>
          <w:szCs w:val="18"/>
        </w:rPr>
        <w:t> </w:t>
      </w:r>
      <w:r>
        <w:rPr>
          <w:rFonts w:ascii="宋体" w:hAnsi="宋体" w:cs="宋体" w:eastAsia="宋体" w:hint="default"/>
          <w:spacing w:val="3"/>
          <w:sz w:val="18"/>
          <w:szCs w:val="18"/>
        </w:rPr>
        <w:t>责任。</w:t>
      </w:r>
      <w:r>
        <w:rPr>
          <w:rFonts w:ascii="宋体" w:hAnsi="宋体" w:cs="宋体" w:eastAsia="宋体" w:hint="default"/>
          <w:spacing w:val="3"/>
          <w:sz w:val="18"/>
          <w:szCs w:val="18"/>
        </w:rPr>
        <w:t>2</w:t>
      </w:r>
      <w:r>
        <w:rPr>
          <w:rFonts w:ascii="宋体" w:hAnsi="宋体" w:cs="宋体" w:eastAsia="宋体" w:hint="default"/>
          <w:spacing w:val="3"/>
          <w:sz w:val="18"/>
          <w:szCs w:val="18"/>
        </w:rPr>
        <w:t>、关于减少和规范关联交易的承诺</w:t>
      </w:r>
      <w:r>
        <w:rPr>
          <w:rFonts w:ascii="宋体" w:hAnsi="宋体" w:cs="宋体" w:eastAsia="宋体" w:hint="default"/>
          <w:sz w:val="18"/>
          <w:szCs w:val="18"/>
        </w:rPr>
      </w:r>
    </w:p>
    <w:p>
      <w:pPr>
        <w:spacing w:line="316" w:lineRule="auto" w:before="19"/>
        <w:ind w:left="3443" w:right="3988"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）本次交易完成后，本人或本人近亲属及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本人或本人近亲属直接或间接控制或影响的</w:t>
      </w:r>
      <w:r>
        <w:rPr>
          <w:rFonts w:ascii="宋体" w:hAnsi="宋体" w:cs="宋体" w:eastAsia="宋体" w:hint="default"/>
          <w:sz w:val="18"/>
          <w:szCs w:val="18"/>
        </w:rPr>
        <w:t> </w:t>
      </w:r>
      <w:r>
        <w:rPr>
          <w:rFonts w:ascii="宋体" w:hAnsi="宋体" w:cs="宋体" w:eastAsia="宋体" w:hint="default"/>
          <w:spacing w:val="3"/>
          <w:sz w:val="18"/>
          <w:szCs w:val="18"/>
        </w:rPr>
        <w:t>企业与重组后的光一科技及其控股企业之间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将减少并尽可能避免关联交易。对于无法避</w:t>
      </w:r>
      <w:r>
        <w:rPr>
          <w:rFonts w:ascii="宋体" w:hAnsi="宋体" w:cs="宋体" w:eastAsia="宋体" w:hint="default"/>
          <w:sz w:val="18"/>
          <w:szCs w:val="18"/>
        </w:rPr>
        <w:t> </w:t>
      </w:r>
      <w:r>
        <w:rPr>
          <w:rFonts w:ascii="宋体" w:hAnsi="宋体" w:cs="宋体" w:eastAsia="宋体" w:hint="default"/>
          <w:spacing w:val="3"/>
          <w:sz w:val="18"/>
          <w:szCs w:val="18"/>
        </w:rPr>
        <w:t>免或者有合理原因而发生的关联交易，本人</w:t>
      </w:r>
      <w:r>
        <w:rPr>
          <w:rFonts w:ascii="宋体" w:hAnsi="宋体" w:cs="宋体" w:eastAsia="宋体" w:hint="default"/>
          <w:sz w:val="18"/>
          <w:szCs w:val="18"/>
        </w:rPr>
        <w:t> </w:t>
      </w:r>
      <w:r>
        <w:rPr>
          <w:rFonts w:ascii="宋体" w:hAnsi="宋体" w:cs="宋体" w:eastAsia="宋体" w:hint="default"/>
          <w:spacing w:val="3"/>
          <w:sz w:val="18"/>
          <w:szCs w:val="18"/>
        </w:rPr>
        <w:t>或本人近亲属承诺将按照公平、公允、等价</w:t>
      </w:r>
      <w:r>
        <w:rPr>
          <w:rFonts w:ascii="宋体" w:hAnsi="宋体" w:cs="宋体" w:eastAsia="宋体" w:hint="default"/>
          <w:sz w:val="18"/>
          <w:szCs w:val="18"/>
        </w:rPr>
        <w:t> </w:t>
      </w:r>
      <w:r>
        <w:rPr>
          <w:rFonts w:ascii="宋体" w:hAnsi="宋体" w:cs="宋体" w:eastAsia="宋体" w:hint="default"/>
          <w:spacing w:val="3"/>
          <w:sz w:val="18"/>
          <w:szCs w:val="18"/>
        </w:rPr>
        <w:t>有偿等原则依法签订协议，履行合法程序，</w:t>
      </w:r>
      <w:r>
        <w:rPr>
          <w:rFonts w:ascii="宋体" w:hAnsi="宋体" w:cs="宋体" w:eastAsia="宋体" w:hint="default"/>
          <w:sz w:val="18"/>
          <w:szCs w:val="18"/>
        </w:rPr>
        <w:t> </w:t>
      </w:r>
      <w:r>
        <w:rPr>
          <w:rFonts w:ascii="宋体" w:hAnsi="宋体" w:cs="宋体" w:eastAsia="宋体" w:hint="default"/>
          <w:spacing w:val="3"/>
          <w:sz w:val="18"/>
          <w:szCs w:val="18"/>
        </w:rPr>
        <w:t>并将按照有关法律、法规、其他规范性文件</w:t>
      </w:r>
      <w:r>
        <w:rPr>
          <w:rFonts w:ascii="宋体" w:hAnsi="宋体" w:cs="宋体" w:eastAsia="宋体" w:hint="default"/>
          <w:sz w:val="18"/>
          <w:szCs w:val="18"/>
        </w:rPr>
        <w:t> </w:t>
      </w:r>
      <w:r>
        <w:rPr>
          <w:rFonts w:ascii="宋体" w:hAnsi="宋体" w:cs="宋体" w:eastAsia="宋体" w:hint="default"/>
          <w:spacing w:val="3"/>
          <w:sz w:val="18"/>
          <w:szCs w:val="18"/>
        </w:rPr>
        <w:t>以及光一科技公司章程等的规定，依法履行</w:t>
      </w:r>
      <w:r>
        <w:rPr>
          <w:rFonts w:ascii="宋体" w:hAnsi="宋体" w:cs="宋体" w:eastAsia="宋体" w:hint="default"/>
          <w:sz w:val="18"/>
          <w:szCs w:val="18"/>
        </w:rPr>
        <w:t> </w:t>
      </w:r>
      <w:r>
        <w:rPr>
          <w:rFonts w:ascii="宋体" w:hAnsi="宋体" w:cs="宋体" w:eastAsia="宋体" w:hint="default"/>
          <w:spacing w:val="3"/>
          <w:sz w:val="18"/>
          <w:szCs w:val="18"/>
        </w:rPr>
        <w:t>相关内部决策批准程序并及时履行信息披露</w:t>
      </w:r>
      <w:r>
        <w:rPr>
          <w:rFonts w:ascii="宋体" w:hAnsi="宋体" w:cs="宋体" w:eastAsia="宋体" w:hint="default"/>
          <w:sz w:val="18"/>
          <w:szCs w:val="18"/>
        </w:rPr>
        <w:t> </w:t>
      </w:r>
      <w:r>
        <w:rPr>
          <w:rFonts w:ascii="宋体" w:hAnsi="宋体" w:cs="宋体" w:eastAsia="宋体" w:hint="default"/>
          <w:spacing w:val="3"/>
          <w:sz w:val="18"/>
          <w:szCs w:val="18"/>
        </w:rPr>
        <w:t>义务，保证不以与市场价格相比显失公允的</w:t>
      </w:r>
      <w:r>
        <w:rPr>
          <w:rFonts w:ascii="宋体" w:hAnsi="宋体" w:cs="宋体" w:eastAsia="宋体" w:hint="default"/>
          <w:sz w:val="18"/>
          <w:szCs w:val="18"/>
        </w:rPr>
        <w:t> </w:t>
      </w:r>
      <w:r>
        <w:rPr>
          <w:rFonts w:ascii="宋体" w:hAnsi="宋体" w:cs="宋体" w:eastAsia="宋体" w:hint="default"/>
          <w:spacing w:val="3"/>
          <w:sz w:val="18"/>
          <w:szCs w:val="18"/>
        </w:rPr>
        <w:t>条件与光一科技进行交易，保证不利用关联</w:t>
      </w:r>
      <w:r>
        <w:rPr>
          <w:rFonts w:ascii="宋体" w:hAnsi="宋体" w:cs="宋体" w:eastAsia="宋体" w:hint="default"/>
          <w:sz w:val="18"/>
          <w:szCs w:val="18"/>
        </w:rPr>
        <w:t> </w:t>
      </w:r>
      <w:r>
        <w:rPr>
          <w:rFonts w:ascii="宋体" w:hAnsi="宋体" w:cs="宋体" w:eastAsia="宋体" w:hint="default"/>
          <w:spacing w:val="3"/>
          <w:sz w:val="18"/>
          <w:szCs w:val="18"/>
        </w:rPr>
        <w:t>交易非法转移光一科技的资金、利润，亦不</w:t>
      </w:r>
      <w:r>
        <w:rPr>
          <w:rFonts w:ascii="宋体" w:hAnsi="宋体" w:cs="宋体" w:eastAsia="宋体" w:hint="default"/>
          <w:sz w:val="18"/>
          <w:szCs w:val="18"/>
        </w:rPr>
        <w:t> </w:t>
      </w:r>
      <w:r>
        <w:rPr>
          <w:rFonts w:ascii="宋体" w:hAnsi="宋体" w:cs="宋体" w:eastAsia="宋体" w:hint="default"/>
          <w:spacing w:val="3"/>
          <w:sz w:val="18"/>
          <w:szCs w:val="18"/>
        </w:rPr>
        <w:t>利用该类交易从事任何损害光一科技及其他</w:t>
      </w:r>
      <w:r>
        <w:rPr>
          <w:rFonts w:ascii="宋体" w:hAnsi="宋体" w:cs="宋体" w:eastAsia="宋体" w:hint="default"/>
          <w:sz w:val="18"/>
          <w:szCs w:val="18"/>
        </w:rPr>
        <w:t> </w:t>
      </w:r>
      <w:r>
        <w:rPr>
          <w:rFonts w:ascii="宋体" w:hAnsi="宋体" w:cs="宋体" w:eastAsia="宋体" w:hint="default"/>
          <w:spacing w:val="-2"/>
          <w:sz w:val="18"/>
          <w:szCs w:val="18"/>
        </w:rPr>
        <w:t>股东合法权益的行为。（</w:t>
      </w:r>
      <w:r>
        <w:rPr>
          <w:rFonts w:ascii="宋体" w:hAnsi="宋体" w:cs="宋体" w:eastAsia="宋体" w:hint="default"/>
          <w:spacing w:val="-2"/>
          <w:sz w:val="18"/>
          <w:szCs w:val="18"/>
        </w:rPr>
        <w:t>2</w:t>
      </w:r>
      <w:r>
        <w:rPr>
          <w:rFonts w:ascii="宋体" w:hAnsi="宋体" w:cs="宋体" w:eastAsia="宋体" w:hint="default"/>
          <w:spacing w:val="-2"/>
          <w:sz w:val="18"/>
          <w:szCs w:val="18"/>
        </w:rPr>
        <w:t>）本人或本人近亲</w:t>
      </w:r>
      <w:r>
        <w:rPr>
          <w:rFonts w:ascii="宋体" w:hAnsi="宋体" w:cs="宋体" w:eastAsia="宋体" w:hint="default"/>
          <w:spacing w:val="-80"/>
          <w:sz w:val="18"/>
          <w:szCs w:val="18"/>
        </w:rPr>
        <w:t> </w:t>
      </w:r>
      <w:r>
        <w:rPr>
          <w:rFonts w:ascii="宋体" w:hAnsi="宋体" w:cs="宋体" w:eastAsia="宋体" w:hint="default"/>
          <w:spacing w:val="3"/>
          <w:sz w:val="18"/>
          <w:szCs w:val="18"/>
        </w:rPr>
        <w:t>属及本人或本人近亲属直接或间接控制或影</w:t>
      </w:r>
      <w:r>
        <w:rPr>
          <w:rFonts w:ascii="宋体" w:hAnsi="宋体" w:cs="宋体" w:eastAsia="宋体" w:hint="default"/>
          <w:sz w:val="18"/>
          <w:szCs w:val="18"/>
        </w:rPr>
        <w:t> </w:t>
      </w:r>
      <w:r>
        <w:rPr>
          <w:rFonts w:ascii="宋体" w:hAnsi="宋体" w:cs="宋体" w:eastAsia="宋体" w:hint="default"/>
          <w:spacing w:val="3"/>
          <w:sz w:val="18"/>
          <w:szCs w:val="18"/>
        </w:rPr>
        <w:t>响的企业将严格避免向光一科技及其控股和</w:t>
      </w:r>
      <w:r>
        <w:rPr>
          <w:rFonts w:ascii="宋体" w:hAnsi="宋体" w:cs="宋体" w:eastAsia="宋体" w:hint="default"/>
          <w:sz w:val="18"/>
          <w:szCs w:val="18"/>
        </w:rPr>
        <w:t> </w:t>
      </w:r>
      <w:r>
        <w:rPr>
          <w:rFonts w:ascii="宋体" w:hAnsi="宋体" w:cs="宋体" w:eastAsia="宋体" w:hint="default"/>
          <w:spacing w:val="3"/>
          <w:sz w:val="18"/>
          <w:szCs w:val="18"/>
        </w:rPr>
        <w:t>参股公司拆借、占用光一科技及其控股和参</w:t>
      </w:r>
      <w:r>
        <w:rPr>
          <w:rFonts w:ascii="宋体" w:hAnsi="宋体" w:cs="宋体" w:eastAsia="宋体" w:hint="default"/>
          <w:sz w:val="18"/>
          <w:szCs w:val="18"/>
        </w:rPr>
        <w:t> </w:t>
      </w:r>
      <w:r>
        <w:rPr>
          <w:rFonts w:ascii="宋体" w:hAnsi="宋体" w:cs="宋体" w:eastAsia="宋体" w:hint="default"/>
          <w:spacing w:val="3"/>
          <w:sz w:val="18"/>
          <w:szCs w:val="18"/>
        </w:rPr>
        <w:t>股公司资金或采取由光一科技及其控股和参</w:t>
      </w:r>
      <w:r>
        <w:rPr>
          <w:rFonts w:ascii="宋体" w:hAnsi="宋体" w:cs="宋体" w:eastAsia="宋体" w:hint="default"/>
          <w:sz w:val="18"/>
          <w:szCs w:val="18"/>
        </w:rPr>
        <w:t> </w:t>
      </w:r>
      <w:r>
        <w:rPr>
          <w:rFonts w:ascii="宋体" w:hAnsi="宋体" w:cs="宋体" w:eastAsia="宋体" w:hint="default"/>
          <w:spacing w:val="3"/>
          <w:sz w:val="18"/>
          <w:szCs w:val="18"/>
        </w:rPr>
        <w:t>股公司代垫款、代偿债务等方式侵占光一科</w:t>
      </w:r>
      <w:r>
        <w:rPr>
          <w:rFonts w:ascii="宋体" w:hAnsi="宋体" w:cs="宋体" w:eastAsia="宋体" w:hint="default"/>
          <w:sz w:val="18"/>
          <w:szCs w:val="18"/>
        </w:rPr>
        <w:t> </w:t>
      </w:r>
      <w:r>
        <w:rPr>
          <w:rFonts w:ascii="宋体" w:hAnsi="宋体" w:cs="宋体" w:eastAsia="宋体" w:hint="default"/>
          <w:spacing w:val="-2"/>
          <w:sz w:val="18"/>
          <w:szCs w:val="18"/>
        </w:rPr>
        <w:t>技资金。（</w:t>
      </w:r>
      <w:r>
        <w:rPr>
          <w:rFonts w:ascii="宋体" w:hAnsi="宋体" w:cs="宋体" w:eastAsia="宋体" w:hint="default"/>
          <w:spacing w:val="-2"/>
          <w:sz w:val="18"/>
          <w:szCs w:val="18"/>
        </w:rPr>
        <w:t>3</w:t>
      </w:r>
      <w:r>
        <w:rPr>
          <w:rFonts w:ascii="宋体" w:hAnsi="宋体" w:cs="宋体" w:eastAsia="宋体" w:hint="default"/>
          <w:spacing w:val="-2"/>
          <w:sz w:val="18"/>
          <w:szCs w:val="18"/>
        </w:rPr>
        <w:t>）本次交易完成后本人将继续严</w:t>
      </w:r>
      <w:r>
        <w:rPr>
          <w:rFonts w:ascii="宋体" w:hAnsi="宋体" w:cs="宋体" w:eastAsia="宋体" w:hint="default"/>
          <w:spacing w:val="-80"/>
          <w:sz w:val="18"/>
          <w:szCs w:val="18"/>
        </w:rPr>
        <w:t> </w:t>
      </w:r>
      <w:r>
        <w:rPr>
          <w:rFonts w:ascii="宋体" w:hAnsi="宋体" w:cs="宋体" w:eastAsia="宋体" w:hint="default"/>
          <w:spacing w:val="3"/>
          <w:sz w:val="18"/>
          <w:szCs w:val="18"/>
        </w:rPr>
        <w:t>格按照有关法律法规、规范性文件以及光一</w:t>
      </w:r>
      <w:r>
        <w:rPr>
          <w:rFonts w:ascii="宋体" w:hAnsi="宋体" w:cs="宋体" w:eastAsia="宋体" w:hint="default"/>
          <w:sz w:val="18"/>
          <w:szCs w:val="18"/>
        </w:rPr>
        <w:t> </w:t>
      </w:r>
      <w:r>
        <w:rPr>
          <w:rFonts w:ascii="宋体" w:hAnsi="宋体" w:cs="宋体" w:eastAsia="宋体" w:hint="default"/>
          <w:spacing w:val="3"/>
          <w:sz w:val="18"/>
          <w:szCs w:val="18"/>
        </w:rPr>
        <w:t>科技公司章程的有关规定行使股东权利；在</w:t>
      </w:r>
      <w:r>
        <w:rPr>
          <w:rFonts w:ascii="宋体" w:hAnsi="宋体" w:cs="宋体" w:eastAsia="宋体" w:hint="default"/>
          <w:sz w:val="18"/>
          <w:szCs w:val="18"/>
        </w:rPr>
        <w:t> </w:t>
      </w:r>
      <w:r>
        <w:rPr>
          <w:rFonts w:ascii="宋体" w:hAnsi="宋体" w:cs="宋体" w:eastAsia="宋体" w:hint="default"/>
          <w:spacing w:val="3"/>
          <w:sz w:val="18"/>
          <w:szCs w:val="18"/>
        </w:rPr>
        <w:t>光一科技股东大会对有关涉及本人的关联交</w:t>
      </w:r>
      <w:r>
        <w:rPr>
          <w:rFonts w:ascii="宋体" w:hAnsi="宋体" w:cs="宋体" w:eastAsia="宋体" w:hint="default"/>
          <w:sz w:val="18"/>
          <w:szCs w:val="18"/>
        </w:rPr>
        <w:t> </w:t>
      </w:r>
      <w:r>
        <w:rPr>
          <w:rFonts w:ascii="宋体" w:hAnsi="宋体" w:cs="宋体" w:eastAsia="宋体" w:hint="default"/>
          <w:spacing w:val="-2"/>
          <w:sz w:val="18"/>
          <w:szCs w:val="18"/>
        </w:rPr>
        <w:t>易进行表决时，履行回避表决的义务。（</w:t>
      </w:r>
      <w:r>
        <w:rPr>
          <w:rFonts w:ascii="宋体" w:hAnsi="宋体" w:cs="宋体" w:eastAsia="宋体" w:hint="default"/>
          <w:spacing w:val="-2"/>
          <w:sz w:val="18"/>
          <w:szCs w:val="18"/>
        </w:rPr>
        <w:t>4</w:t>
      </w:r>
      <w:r>
        <w:rPr>
          <w:rFonts w:ascii="宋体" w:hAnsi="宋体" w:cs="宋体" w:eastAsia="宋体" w:hint="default"/>
          <w:spacing w:val="-2"/>
          <w:sz w:val="18"/>
          <w:szCs w:val="18"/>
        </w:rPr>
        <w:t>）</w:t>
      </w:r>
      <w:r>
        <w:rPr>
          <w:rFonts w:ascii="宋体" w:hAnsi="宋体" w:cs="宋体" w:eastAsia="宋体" w:hint="default"/>
          <w:spacing w:val="-83"/>
          <w:sz w:val="18"/>
          <w:szCs w:val="18"/>
        </w:rPr>
        <w:t> </w:t>
      </w:r>
      <w:r>
        <w:rPr>
          <w:rFonts w:ascii="宋体" w:hAnsi="宋体" w:cs="宋体" w:eastAsia="宋体" w:hint="default"/>
          <w:spacing w:val="3"/>
          <w:sz w:val="18"/>
          <w:szCs w:val="18"/>
        </w:rPr>
        <w:t>本人保证不通过关联交易取得任何不正当的</w:t>
      </w:r>
      <w:r>
        <w:rPr>
          <w:rFonts w:ascii="宋体" w:hAnsi="宋体" w:cs="宋体" w:eastAsia="宋体" w:hint="default"/>
          <w:sz w:val="18"/>
          <w:szCs w:val="18"/>
        </w:rPr>
        <w:t> </w:t>
      </w:r>
      <w:r>
        <w:rPr>
          <w:rFonts w:ascii="宋体" w:hAnsi="宋体" w:cs="宋体" w:eastAsia="宋体" w:hint="default"/>
          <w:spacing w:val="3"/>
          <w:sz w:val="18"/>
          <w:szCs w:val="18"/>
        </w:rPr>
        <w:t>利益或使光一科技及其控股和参股公司承担</w:t>
      </w:r>
      <w:r>
        <w:rPr>
          <w:rFonts w:ascii="宋体" w:hAnsi="宋体" w:cs="宋体" w:eastAsia="宋体" w:hint="default"/>
          <w:sz w:val="18"/>
          <w:szCs w:val="18"/>
        </w:rPr>
        <w:t> </w:t>
      </w:r>
      <w:r>
        <w:rPr>
          <w:rFonts w:ascii="宋体" w:hAnsi="宋体" w:cs="宋体" w:eastAsia="宋体" w:hint="default"/>
          <w:spacing w:val="-2"/>
          <w:sz w:val="18"/>
          <w:szCs w:val="18"/>
        </w:rPr>
        <w:t>任何不正当的义务。（</w:t>
      </w:r>
      <w:r>
        <w:rPr>
          <w:rFonts w:ascii="宋体" w:hAnsi="宋体" w:cs="宋体" w:eastAsia="宋体" w:hint="default"/>
          <w:spacing w:val="-2"/>
          <w:sz w:val="18"/>
          <w:szCs w:val="18"/>
        </w:rPr>
        <w:t>5</w:t>
      </w:r>
      <w:r>
        <w:rPr>
          <w:rFonts w:ascii="宋体" w:hAnsi="宋体" w:cs="宋体" w:eastAsia="宋体" w:hint="default"/>
          <w:spacing w:val="-2"/>
          <w:sz w:val="18"/>
          <w:szCs w:val="18"/>
        </w:rPr>
        <w:t>）如果因违反上述承</w:t>
      </w:r>
      <w:r>
        <w:rPr>
          <w:rFonts w:ascii="宋体" w:hAnsi="宋体" w:cs="宋体" w:eastAsia="宋体" w:hint="default"/>
          <w:spacing w:val="-80"/>
          <w:sz w:val="18"/>
          <w:szCs w:val="18"/>
        </w:rPr>
        <w:t> </w:t>
      </w:r>
      <w:r>
        <w:rPr>
          <w:rFonts w:ascii="宋体" w:hAnsi="宋体" w:cs="宋体" w:eastAsia="宋体" w:hint="default"/>
          <w:spacing w:val="3"/>
          <w:sz w:val="18"/>
          <w:szCs w:val="18"/>
        </w:rPr>
        <w:t>诺导致光一科技或其控股和参股公司损失或</w:t>
      </w:r>
      <w:r>
        <w:rPr>
          <w:rFonts w:ascii="宋体" w:hAnsi="宋体" w:cs="宋体" w:eastAsia="宋体" w:hint="default"/>
          <w:sz w:val="18"/>
          <w:szCs w:val="18"/>
        </w:rPr>
        <w:t> </w:t>
      </w:r>
      <w:r>
        <w:rPr>
          <w:rFonts w:ascii="宋体" w:hAnsi="宋体" w:cs="宋体" w:eastAsia="宋体" w:hint="default"/>
          <w:spacing w:val="3"/>
          <w:sz w:val="18"/>
          <w:szCs w:val="18"/>
        </w:rPr>
        <w:t>利用关联交易侵占光一科技或其控股和参股</w:t>
      </w:r>
    </w:p>
    <w:p>
      <w:pPr>
        <w:spacing w:after="0" w:line="316" w:lineRule="auto"/>
        <w:jc w:val="both"/>
        <w:rPr>
          <w:rFonts w:ascii="宋体" w:hAnsi="宋体" w:cs="宋体" w:eastAsia="宋体" w:hint="default"/>
          <w:sz w:val="18"/>
          <w:szCs w:val="18"/>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391.119995pt;margin-top:453.699982pt;width:48.05pt;height:311pt;mso-position-horizontal-relative:page;mso-position-vertical-relative:page;z-index:-903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7.299988pt;margin-top:453.699982pt;width:41.85pt;height:311pt;mso-position-horizontal-relative:page;mso-position-vertical-relative:page;z-index:-903904" coordorigin="7946,9074" coordsize="837,6220">
            <v:shape style="position:absolute;left:7946;top:9074;width:837;height:6220" coordorigin="7946,9074" coordsize="837,6220" path="m7946,15294l8783,15294,8783,9074,7946,9074,7946,15294xe" filled="true" fillcolor="#ffffff" stroked="false">
              <v:path arrowok="t"/>
              <v:fill type="solid"/>
            </v:shape>
            <w10:wrap type="none"/>
          </v:group>
        </w:pict>
      </w:r>
    </w:p>
    <w:tbl>
      <w:tblPr>
        <w:tblW w:w="0" w:type="auto"/>
        <w:jc w:val="left"/>
        <w:tblInd w:w="138" w:type="dxa"/>
        <w:tblLayout w:type="fixed"/>
        <w:tblCellMar>
          <w:top w:w="0" w:type="dxa"/>
          <w:left w:w="0" w:type="dxa"/>
          <w:bottom w:w="0" w:type="dxa"/>
          <w:right w:w="0" w:type="dxa"/>
        </w:tblCellMar>
        <w:tblLook w:val="01E0"/>
      </w:tblPr>
      <w:tblGrid>
        <w:gridCol w:w="1135"/>
        <w:gridCol w:w="1276"/>
        <w:gridCol w:w="852"/>
        <w:gridCol w:w="3543"/>
        <w:gridCol w:w="851"/>
        <w:gridCol w:w="805"/>
        <w:gridCol w:w="1107"/>
      </w:tblGrid>
      <w:tr>
        <w:trPr>
          <w:trHeight w:val="686" w:hRule="exact"/>
        </w:trPr>
        <w:tc>
          <w:tcPr>
            <w:tcW w:w="1135"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852" w:type="dxa"/>
            <w:tcBorders>
              <w:top w:val="single" w:sz="12" w:space="0" w:color="000000"/>
              <w:left w:val="single" w:sz="6" w:space="0" w:color="000000"/>
              <w:bottom w:val="single" w:sz="6" w:space="0" w:color="000000"/>
              <w:right w:val="single" w:sz="6" w:space="0" w:color="000000"/>
            </w:tcBorders>
          </w:tcPr>
          <w:p>
            <w:pPr/>
          </w:p>
        </w:tc>
        <w:tc>
          <w:tcPr>
            <w:tcW w:w="3543"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20"/>
              <w:jc w:val="left"/>
              <w:rPr>
                <w:rFonts w:ascii="宋体" w:hAnsi="宋体" w:cs="宋体" w:eastAsia="宋体" w:hint="default"/>
                <w:sz w:val="18"/>
                <w:szCs w:val="18"/>
              </w:rPr>
            </w:pPr>
            <w:r>
              <w:rPr>
                <w:rFonts w:ascii="宋体" w:hAnsi="宋体" w:cs="宋体" w:eastAsia="宋体" w:hint="default"/>
                <w:spacing w:val="3"/>
                <w:sz w:val="18"/>
                <w:szCs w:val="18"/>
              </w:rPr>
              <w:t>公司利益的，本人依法承担光一科技或其控</w:t>
            </w:r>
            <w:r>
              <w:rPr>
                <w:rFonts w:ascii="宋体" w:hAnsi="宋体" w:cs="宋体" w:eastAsia="宋体" w:hint="default"/>
                <w:sz w:val="18"/>
                <w:szCs w:val="18"/>
              </w:rPr>
              <w:t> 股和参股公司的损失。</w:t>
            </w:r>
          </w:p>
        </w:tc>
        <w:tc>
          <w:tcPr>
            <w:tcW w:w="851" w:type="dxa"/>
            <w:tcBorders>
              <w:top w:val="single" w:sz="12" w:space="0" w:color="000000"/>
              <w:left w:val="single" w:sz="6" w:space="0" w:color="000000"/>
              <w:bottom w:val="single" w:sz="6" w:space="0" w:color="000000"/>
              <w:right w:val="single" w:sz="6" w:space="0" w:color="000000"/>
            </w:tcBorders>
          </w:tcPr>
          <w:p>
            <w:pPr/>
          </w:p>
        </w:tc>
        <w:tc>
          <w:tcPr>
            <w:tcW w:w="805" w:type="dxa"/>
            <w:tcBorders>
              <w:top w:val="single" w:sz="12" w:space="0" w:color="000000"/>
              <w:left w:val="single" w:sz="6" w:space="0" w:color="000000"/>
              <w:bottom w:val="single" w:sz="6" w:space="0" w:color="000000"/>
              <w:right w:val="single" w:sz="6" w:space="0" w:color="000000"/>
            </w:tcBorders>
          </w:tcPr>
          <w:p>
            <w:pPr/>
          </w:p>
        </w:tc>
        <w:tc>
          <w:tcPr>
            <w:tcW w:w="1107" w:type="dxa"/>
            <w:tcBorders>
              <w:top w:val="single" w:sz="12" w:space="0" w:color="000000"/>
              <w:left w:val="single" w:sz="6" w:space="0" w:color="000000"/>
              <w:bottom w:val="single" w:sz="6" w:space="0" w:color="000000"/>
              <w:right w:val="single" w:sz="12" w:space="0" w:color="000000"/>
            </w:tcBorders>
          </w:tcPr>
          <w:p>
            <w:pPr/>
          </w:p>
        </w:tc>
      </w:tr>
      <w:tr>
        <w:trPr>
          <w:trHeight w:val="13168" w:hRule="exact"/>
        </w:trPr>
        <w:tc>
          <w:tcPr>
            <w:tcW w:w="113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0" w:right="-20"/>
              <w:jc w:val="left"/>
              <w:rPr>
                <w:rFonts w:ascii="宋体" w:hAnsi="宋体" w:cs="宋体" w:eastAsia="宋体" w:hint="default"/>
                <w:sz w:val="18"/>
                <w:szCs w:val="18"/>
              </w:rPr>
            </w:pPr>
            <w:r>
              <w:rPr>
                <w:rFonts w:ascii="宋体" w:hAnsi="宋体" w:cs="宋体" w:eastAsia="宋体" w:hint="default"/>
                <w:sz w:val="18"/>
                <w:szCs w:val="18"/>
              </w:rPr>
              <w:t>湖北乾瀚投资 </w:t>
            </w:r>
            <w:r>
              <w:rPr>
                <w:rFonts w:ascii="宋体" w:hAnsi="宋体" w:cs="宋体" w:eastAsia="宋体" w:hint="default"/>
                <w:spacing w:val="-6"/>
                <w:sz w:val="18"/>
                <w:szCs w:val="18"/>
              </w:rPr>
              <w:t>有限公司、公安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县鑫旺投资有 </w:t>
            </w:r>
            <w:r>
              <w:rPr>
                <w:rFonts w:ascii="宋体" w:hAnsi="宋体" w:cs="宋体" w:eastAsia="宋体" w:hint="default"/>
                <w:spacing w:val="-6"/>
                <w:sz w:val="18"/>
                <w:szCs w:val="18"/>
              </w:rPr>
              <w:t>限公司、深圳创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新投资集团有 </w:t>
            </w:r>
            <w:r>
              <w:rPr>
                <w:rFonts w:ascii="宋体" w:hAnsi="宋体" w:cs="宋体" w:eastAsia="宋体" w:hint="default"/>
                <w:spacing w:val="-6"/>
                <w:sz w:val="18"/>
                <w:szCs w:val="18"/>
              </w:rPr>
              <w:t>限公司、北京红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土鑫洲创业投 </w:t>
            </w:r>
            <w:r>
              <w:rPr>
                <w:rFonts w:ascii="宋体" w:hAnsi="宋体" w:cs="宋体" w:eastAsia="宋体" w:hint="default"/>
                <w:spacing w:val="-6"/>
                <w:sz w:val="18"/>
                <w:szCs w:val="18"/>
              </w:rPr>
              <w:t>资中心（有限合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伙）、南昌红土</w:t>
            </w:r>
            <w:r>
              <w:rPr>
                <w:rFonts w:ascii="宋体" w:hAnsi="宋体" w:cs="宋体" w:eastAsia="宋体" w:hint="default"/>
                <w:sz w:val="18"/>
                <w:szCs w:val="18"/>
              </w:rPr>
              <w:t> 创新资本创业 投资有限公司、 湖北红土创业 投资有限公司</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1"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54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0" w:right="13"/>
              <w:jc w:val="both"/>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、关于避免同业竞争的承诺：（</w:t>
            </w:r>
            <w:r>
              <w:rPr>
                <w:rFonts w:ascii="宋体" w:hAnsi="宋体" w:cs="宋体" w:eastAsia="宋体" w:hint="default"/>
                <w:spacing w:val="-6"/>
                <w:sz w:val="18"/>
                <w:szCs w:val="18"/>
              </w:rPr>
              <w:t>1</w:t>
            </w:r>
            <w:r>
              <w:rPr>
                <w:rFonts w:ascii="宋体" w:hAnsi="宋体" w:cs="宋体" w:eastAsia="宋体" w:hint="default"/>
                <w:spacing w:val="-6"/>
                <w:sz w:val="18"/>
                <w:szCs w:val="18"/>
              </w:rPr>
              <w:t>）本次交易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完成后，在作为光一科技股东期间，本人或</w:t>
            </w:r>
            <w:r>
              <w:rPr>
                <w:rFonts w:ascii="宋体" w:hAnsi="宋体" w:cs="宋体" w:eastAsia="宋体" w:hint="default"/>
                <w:sz w:val="18"/>
                <w:szCs w:val="18"/>
              </w:rPr>
              <w:t> </w:t>
            </w:r>
            <w:r>
              <w:rPr>
                <w:rFonts w:ascii="宋体" w:hAnsi="宋体" w:cs="宋体" w:eastAsia="宋体" w:hint="default"/>
                <w:spacing w:val="3"/>
                <w:sz w:val="18"/>
                <w:szCs w:val="18"/>
              </w:rPr>
              <w:t>本人近亲属及本人或本人近亲属控制的其他</w:t>
            </w:r>
            <w:r>
              <w:rPr>
                <w:rFonts w:ascii="宋体" w:hAnsi="宋体" w:cs="宋体" w:eastAsia="宋体" w:hint="default"/>
                <w:sz w:val="18"/>
                <w:szCs w:val="18"/>
              </w:rPr>
              <w:t> </w:t>
            </w:r>
            <w:r>
              <w:rPr>
                <w:rFonts w:ascii="宋体" w:hAnsi="宋体" w:cs="宋体" w:eastAsia="宋体" w:hint="default"/>
                <w:spacing w:val="3"/>
                <w:sz w:val="18"/>
                <w:szCs w:val="18"/>
              </w:rPr>
              <w:t>企业不会直接或间接从事任何与光一科技及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其下属公司主要经营业务构成同业竞争或潜</w:t>
            </w:r>
            <w:r>
              <w:rPr>
                <w:rFonts w:ascii="宋体" w:hAnsi="宋体" w:cs="宋体" w:eastAsia="宋体" w:hint="default"/>
                <w:sz w:val="18"/>
                <w:szCs w:val="18"/>
              </w:rPr>
              <w:t> </w:t>
            </w:r>
            <w:r>
              <w:rPr>
                <w:rFonts w:ascii="宋体" w:hAnsi="宋体" w:cs="宋体" w:eastAsia="宋体" w:hint="default"/>
                <w:spacing w:val="3"/>
                <w:sz w:val="18"/>
                <w:szCs w:val="18"/>
              </w:rPr>
              <w:t>在同业竞争关系的生产与经营业务，亦不会</w:t>
            </w:r>
            <w:r>
              <w:rPr>
                <w:rFonts w:ascii="宋体" w:hAnsi="宋体" w:cs="宋体" w:eastAsia="宋体" w:hint="default"/>
                <w:sz w:val="18"/>
                <w:szCs w:val="18"/>
              </w:rPr>
              <w:t> </w:t>
            </w:r>
            <w:r>
              <w:rPr>
                <w:rFonts w:ascii="宋体" w:hAnsi="宋体" w:cs="宋体" w:eastAsia="宋体" w:hint="default"/>
                <w:spacing w:val="3"/>
                <w:sz w:val="18"/>
                <w:szCs w:val="18"/>
              </w:rPr>
              <w:t>投资任何与光一科技及其下属公司主要经营</w:t>
            </w:r>
            <w:r>
              <w:rPr>
                <w:rFonts w:ascii="宋体" w:hAnsi="宋体" w:cs="宋体" w:eastAsia="宋体" w:hint="default"/>
                <w:sz w:val="18"/>
                <w:szCs w:val="18"/>
              </w:rPr>
              <w:t> </w:t>
            </w:r>
            <w:r>
              <w:rPr>
                <w:rFonts w:ascii="宋体" w:hAnsi="宋体" w:cs="宋体" w:eastAsia="宋体" w:hint="default"/>
                <w:spacing w:val="3"/>
                <w:sz w:val="18"/>
                <w:szCs w:val="18"/>
              </w:rPr>
              <w:t>业务构成同业竞争或潜在同业竞争关系的其</w:t>
            </w:r>
            <w:r>
              <w:rPr>
                <w:rFonts w:ascii="宋体" w:hAnsi="宋体" w:cs="宋体" w:eastAsia="宋体" w:hint="default"/>
                <w:sz w:val="18"/>
                <w:szCs w:val="18"/>
              </w:rPr>
              <w:t> </w:t>
            </w:r>
            <w:r>
              <w:rPr>
                <w:rFonts w:ascii="宋体" w:hAnsi="宋体" w:cs="宋体" w:eastAsia="宋体" w:hint="default"/>
                <w:spacing w:val="-2"/>
                <w:sz w:val="18"/>
                <w:szCs w:val="18"/>
              </w:rPr>
              <w:t>他企业。（</w:t>
            </w:r>
            <w:r>
              <w:rPr>
                <w:rFonts w:ascii="宋体" w:hAnsi="宋体" w:cs="宋体" w:eastAsia="宋体" w:hint="default"/>
                <w:spacing w:val="-2"/>
                <w:sz w:val="18"/>
                <w:szCs w:val="18"/>
              </w:rPr>
              <w:t>2</w:t>
            </w:r>
            <w:r>
              <w:rPr>
                <w:rFonts w:ascii="宋体" w:hAnsi="宋体" w:cs="宋体" w:eastAsia="宋体" w:hint="default"/>
                <w:spacing w:val="-2"/>
                <w:sz w:val="18"/>
                <w:szCs w:val="18"/>
              </w:rPr>
              <w:t>）在上述期间，如本人或本人近</w:t>
            </w:r>
            <w:r>
              <w:rPr>
                <w:rFonts w:ascii="宋体" w:hAnsi="宋体" w:cs="宋体" w:eastAsia="宋体" w:hint="default"/>
                <w:spacing w:val="-80"/>
                <w:sz w:val="18"/>
                <w:szCs w:val="18"/>
              </w:rPr>
              <w:t> </w:t>
            </w:r>
            <w:r>
              <w:rPr>
                <w:rFonts w:ascii="宋体" w:hAnsi="宋体" w:cs="宋体" w:eastAsia="宋体" w:hint="default"/>
                <w:spacing w:val="3"/>
                <w:sz w:val="18"/>
                <w:szCs w:val="18"/>
              </w:rPr>
              <w:t>亲属及本人或本人近亲属控制的企业的现有</w:t>
            </w:r>
            <w:r>
              <w:rPr>
                <w:rFonts w:ascii="宋体" w:hAnsi="宋体" w:cs="宋体" w:eastAsia="宋体" w:hint="default"/>
                <w:sz w:val="18"/>
                <w:szCs w:val="18"/>
              </w:rPr>
              <w:t> </w:t>
            </w:r>
            <w:r>
              <w:rPr>
                <w:rFonts w:ascii="宋体" w:hAnsi="宋体" w:cs="宋体" w:eastAsia="宋体" w:hint="default"/>
                <w:spacing w:val="3"/>
                <w:sz w:val="18"/>
                <w:szCs w:val="18"/>
              </w:rPr>
              <w:t>业务或该等企业为进一步拓展业务范围，与</w:t>
            </w:r>
            <w:r>
              <w:rPr>
                <w:rFonts w:ascii="宋体" w:hAnsi="宋体" w:cs="宋体" w:eastAsia="宋体" w:hint="default"/>
                <w:sz w:val="18"/>
                <w:szCs w:val="18"/>
              </w:rPr>
              <w:t> </w:t>
            </w:r>
            <w:r>
              <w:rPr>
                <w:rFonts w:ascii="宋体" w:hAnsi="宋体" w:cs="宋体" w:eastAsia="宋体" w:hint="default"/>
                <w:spacing w:val="13"/>
                <w:sz w:val="18"/>
                <w:szCs w:val="18"/>
              </w:rPr>
              <w:t>光一科技及其下属公司经营的业务产生竞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争，则本人或本人近亲属及本人或本人近亲</w:t>
            </w:r>
            <w:r>
              <w:rPr>
                <w:rFonts w:ascii="宋体" w:hAnsi="宋体" w:cs="宋体" w:eastAsia="宋体" w:hint="default"/>
                <w:sz w:val="18"/>
                <w:szCs w:val="18"/>
              </w:rPr>
              <w:t> </w:t>
            </w:r>
            <w:r>
              <w:rPr>
                <w:rFonts w:ascii="宋体" w:hAnsi="宋体" w:cs="宋体" w:eastAsia="宋体" w:hint="default"/>
                <w:spacing w:val="3"/>
                <w:sz w:val="18"/>
                <w:szCs w:val="18"/>
              </w:rPr>
              <w:t>属控制的企业将采取停止经营产生竞争的业</w:t>
            </w:r>
            <w:r>
              <w:rPr>
                <w:rFonts w:ascii="宋体" w:hAnsi="宋体" w:cs="宋体" w:eastAsia="宋体" w:hint="default"/>
                <w:sz w:val="18"/>
                <w:szCs w:val="18"/>
              </w:rPr>
              <w:t> </w:t>
            </w:r>
            <w:r>
              <w:rPr>
                <w:rFonts w:ascii="宋体" w:hAnsi="宋体" w:cs="宋体" w:eastAsia="宋体" w:hint="default"/>
                <w:spacing w:val="3"/>
                <w:sz w:val="18"/>
                <w:szCs w:val="18"/>
              </w:rPr>
              <w:t>务的方式，或者采取将产生竞争的业务纳入</w:t>
            </w:r>
            <w:r>
              <w:rPr>
                <w:rFonts w:ascii="宋体" w:hAnsi="宋体" w:cs="宋体" w:eastAsia="宋体" w:hint="default"/>
                <w:sz w:val="18"/>
                <w:szCs w:val="18"/>
              </w:rPr>
              <w:t> </w:t>
            </w:r>
            <w:r>
              <w:rPr>
                <w:rFonts w:ascii="宋体" w:hAnsi="宋体" w:cs="宋体" w:eastAsia="宋体" w:hint="default"/>
                <w:spacing w:val="3"/>
                <w:sz w:val="18"/>
                <w:szCs w:val="18"/>
              </w:rPr>
              <w:t>光一科技的方式，或者采取将产生竞争的业</w:t>
            </w:r>
            <w:r>
              <w:rPr>
                <w:rFonts w:ascii="宋体" w:hAnsi="宋体" w:cs="宋体" w:eastAsia="宋体" w:hint="default"/>
                <w:sz w:val="18"/>
                <w:szCs w:val="18"/>
              </w:rPr>
              <w:t> </w:t>
            </w:r>
            <w:r>
              <w:rPr>
                <w:rFonts w:ascii="宋体" w:hAnsi="宋体" w:cs="宋体" w:eastAsia="宋体" w:hint="default"/>
                <w:spacing w:val="3"/>
                <w:sz w:val="18"/>
                <w:szCs w:val="18"/>
              </w:rPr>
              <w:t>务转让给无关联关系第三方等的合法方式，</w:t>
            </w:r>
            <w:r>
              <w:rPr>
                <w:rFonts w:ascii="宋体" w:hAnsi="宋体" w:cs="宋体" w:eastAsia="宋体" w:hint="default"/>
                <w:sz w:val="18"/>
                <w:szCs w:val="18"/>
              </w:rPr>
              <w:t> </w:t>
            </w:r>
            <w:r>
              <w:rPr>
                <w:rFonts w:ascii="宋体" w:hAnsi="宋体" w:cs="宋体" w:eastAsia="宋体" w:hint="default"/>
                <w:spacing w:val="3"/>
                <w:sz w:val="18"/>
                <w:szCs w:val="18"/>
              </w:rPr>
              <w:t>使本人或本人近亲属及本人或本人近亲属控</w:t>
            </w:r>
            <w:r>
              <w:rPr>
                <w:rFonts w:ascii="宋体" w:hAnsi="宋体" w:cs="宋体" w:eastAsia="宋体" w:hint="default"/>
                <w:sz w:val="18"/>
                <w:szCs w:val="18"/>
              </w:rPr>
              <w:t> </w:t>
            </w:r>
            <w:r>
              <w:rPr>
                <w:rFonts w:ascii="宋体" w:hAnsi="宋体" w:cs="宋体" w:eastAsia="宋体" w:hint="default"/>
                <w:spacing w:val="3"/>
                <w:sz w:val="18"/>
                <w:szCs w:val="18"/>
              </w:rPr>
              <w:t>制的企业不再从事与光一科技主营业务相同</w:t>
            </w:r>
            <w:r>
              <w:rPr>
                <w:rFonts w:ascii="宋体" w:hAnsi="宋体" w:cs="宋体" w:eastAsia="宋体" w:hint="default"/>
                <w:sz w:val="18"/>
                <w:szCs w:val="18"/>
              </w:rPr>
              <w:t> </w:t>
            </w:r>
            <w:r>
              <w:rPr>
                <w:rFonts w:ascii="宋体" w:hAnsi="宋体" w:cs="宋体" w:eastAsia="宋体" w:hint="default"/>
                <w:spacing w:val="-2"/>
                <w:sz w:val="18"/>
                <w:szCs w:val="18"/>
              </w:rPr>
              <w:t>或类似的业务。（</w:t>
            </w:r>
            <w:r>
              <w:rPr>
                <w:rFonts w:ascii="宋体" w:hAnsi="宋体" w:cs="宋体" w:eastAsia="宋体" w:hint="default"/>
                <w:spacing w:val="-2"/>
                <w:sz w:val="18"/>
                <w:szCs w:val="18"/>
              </w:rPr>
              <w:t>3</w:t>
            </w:r>
            <w:r>
              <w:rPr>
                <w:rFonts w:ascii="宋体" w:hAnsi="宋体" w:cs="宋体" w:eastAsia="宋体" w:hint="default"/>
                <w:spacing w:val="-2"/>
                <w:sz w:val="18"/>
                <w:szCs w:val="18"/>
              </w:rPr>
              <w:t>）本函自签署出具之日起</w:t>
            </w:r>
            <w:r>
              <w:rPr>
                <w:rFonts w:ascii="宋体" w:hAnsi="宋体" w:cs="宋体" w:eastAsia="宋体" w:hint="default"/>
                <w:spacing w:val="-79"/>
                <w:sz w:val="18"/>
                <w:szCs w:val="18"/>
              </w:rPr>
              <w:t> </w:t>
            </w:r>
            <w:r>
              <w:rPr>
                <w:rFonts w:ascii="宋体" w:hAnsi="宋体" w:cs="宋体" w:eastAsia="宋体" w:hint="default"/>
                <w:spacing w:val="3"/>
                <w:sz w:val="18"/>
                <w:szCs w:val="18"/>
              </w:rPr>
              <w:t>立即生效，即对本人具有法律约束力。自本</w:t>
            </w:r>
            <w:r>
              <w:rPr>
                <w:rFonts w:ascii="宋体" w:hAnsi="宋体" w:cs="宋体" w:eastAsia="宋体" w:hint="default"/>
                <w:sz w:val="18"/>
                <w:szCs w:val="18"/>
              </w:rPr>
              <w:t> </w:t>
            </w:r>
            <w:r>
              <w:rPr>
                <w:rFonts w:ascii="宋体" w:hAnsi="宋体" w:cs="宋体" w:eastAsia="宋体" w:hint="default"/>
                <w:spacing w:val="13"/>
                <w:sz w:val="18"/>
                <w:szCs w:val="18"/>
              </w:rPr>
              <w:t>函生效至本人作为光一科技股东的任何时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候，本人将严格遵守并履行本函所作的承诺</w:t>
            </w:r>
            <w:r>
              <w:rPr>
                <w:rFonts w:ascii="宋体" w:hAnsi="宋体" w:cs="宋体" w:eastAsia="宋体" w:hint="default"/>
                <w:sz w:val="18"/>
                <w:szCs w:val="18"/>
              </w:rPr>
              <w:t> </w:t>
            </w:r>
            <w:r>
              <w:rPr>
                <w:rFonts w:ascii="宋体" w:hAnsi="宋体" w:cs="宋体" w:eastAsia="宋体" w:hint="default"/>
                <w:spacing w:val="3"/>
                <w:sz w:val="18"/>
                <w:szCs w:val="18"/>
              </w:rPr>
              <w:t>及保证义务；对于违反本函承诺及保证义务</w:t>
            </w:r>
            <w:r>
              <w:rPr>
                <w:rFonts w:ascii="宋体" w:hAnsi="宋体" w:cs="宋体" w:eastAsia="宋体" w:hint="default"/>
                <w:sz w:val="18"/>
                <w:szCs w:val="18"/>
              </w:rPr>
              <w:t> </w:t>
            </w:r>
            <w:r>
              <w:rPr>
                <w:rFonts w:ascii="宋体" w:hAnsi="宋体" w:cs="宋体" w:eastAsia="宋体" w:hint="default"/>
                <w:spacing w:val="3"/>
                <w:sz w:val="18"/>
                <w:szCs w:val="18"/>
              </w:rPr>
              <w:t>的，本人承诺采取一切必要且有效的措施及</w:t>
            </w:r>
            <w:r>
              <w:rPr>
                <w:rFonts w:ascii="宋体" w:hAnsi="宋体" w:cs="宋体" w:eastAsia="宋体" w:hint="default"/>
                <w:sz w:val="18"/>
                <w:szCs w:val="18"/>
              </w:rPr>
              <w:t> </w:t>
            </w:r>
            <w:r>
              <w:rPr>
                <w:rFonts w:ascii="宋体" w:hAnsi="宋体" w:cs="宋体" w:eastAsia="宋体" w:hint="default"/>
                <w:spacing w:val="3"/>
                <w:sz w:val="18"/>
                <w:szCs w:val="18"/>
              </w:rPr>
              <w:t>时纠正消除由此造成光一科技的不利影响，</w:t>
            </w:r>
            <w:r>
              <w:rPr>
                <w:rFonts w:ascii="宋体" w:hAnsi="宋体" w:cs="宋体" w:eastAsia="宋体" w:hint="default"/>
                <w:sz w:val="18"/>
                <w:szCs w:val="18"/>
              </w:rPr>
              <w:t> </w:t>
            </w:r>
            <w:r>
              <w:rPr>
                <w:rFonts w:ascii="宋体" w:hAnsi="宋体" w:cs="宋体" w:eastAsia="宋体" w:hint="default"/>
                <w:spacing w:val="3"/>
                <w:sz w:val="18"/>
                <w:szCs w:val="18"/>
              </w:rPr>
              <w:t>并对造成光一科技直接和间接损失承担赔偿</w:t>
            </w:r>
            <w:r>
              <w:rPr>
                <w:rFonts w:ascii="宋体" w:hAnsi="宋体" w:cs="宋体" w:eastAsia="宋体" w:hint="default"/>
                <w:sz w:val="18"/>
                <w:szCs w:val="18"/>
              </w:rPr>
              <w:t> </w:t>
            </w:r>
            <w:r>
              <w:rPr>
                <w:rFonts w:ascii="宋体" w:hAnsi="宋体" w:cs="宋体" w:eastAsia="宋体" w:hint="default"/>
                <w:spacing w:val="3"/>
                <w:sz w:val="18"/>
                <w:szCs w:val="18"/>
              </w:rPr>
              <w:t>责任。</w:t>
            </w:r>
            <w:r>
              <w:rPr>
                <w:rFonts w:ascii="宋体" w:hAnsi="宋体" w:cs="宋体" w:eastAsia="宋体" w:hint="default"/>
                <w:spacing w:val="3"/>
                <w:sz w:val="18"/>
                <w:szCs w:val="18"/>
              </w:rPr>
              <w:t>2</w:t>
            </w:r>
            <w:r>
              <w:rPr>
                <w:rFonts w:ascii="宋体" w:hAnsi="宋体" w:cs="宋体" w:eastAsia="宋体" w:hint="default"/>
                <w:spacing w:val="3"/>
                <w:sz w:val="18"/>
                <w:szCs w:val="18"/>
              </w:rPr>
              <w:t>、关于减少和规范关联交易的承诺</w:t>
            </w:r>
            <w:r>
              <w:rPr>
                <w:rFonts w:ascii="宋体" w:hAnsi="宋体" w:cs="宋体" w:eastAsia="宋体" w:hint="default"/>
                <w:sz w:val="18"/>
                <w:szCs w:val="18"/>
              </w:rPr>
            </w:r>
          </w:p>
          <w:p>
            <w:pPr>
              <w:pStyle w:val="TableParagraph"/>
              <w:spacing w:line="316" w:lineRule="auto" w:before="19"/>
              <w:ind w:left="20" w:right="1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）本次交易完成后，本人或本人近亲属及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本人或本人近亲属直接或间接控制或影响的</w:t>
            </w:r>
            <w:r>
              <w:rPr>
                <w:rFonts w:ascii="宋体" w:hAnsi="宋体" w:cs="宋体" w:eastAsia="宋体" w:hint="default"/>
                <w:sz w:val="18"/>
                <w:szCs w:val="18"/>
              </w:rPr>
              <w:t> </w:t>
            </w:r>
            <w:r>
              <w:rPr>
                <w:rFonts w:ascii="宋体" w:hAnsi="宋体" w:cs="宋体" w:eastAsia="宋体" w:hint="default"/>
                <w:spacing w:val="3"/>
                <w:sz w:val="18"/>
                <w:szCs w:val="18"/>
              </w:rPr>
              <w:t>企业与重组后的光一科技及其控股企业之间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将减少并尽可能避免关联交易。对于无法避</w:t>
            </w:r>
            <w:r>
              <w:rPr>
                <w:rFonts w:ascii="宋体" w:hAnsi="宋体" w:cs="宋体" w:eastAsia="宋体" w:hint="default"/>
                <w:sz w:val="18"/>
                <w:szCs w:val="18"/>
              </w:rPr>
              <w:t> </w:t>
            </w:r>
            <w:r>
              <w:rPr>
                <w:rFonts w:ascii="宋体" w:hAnsi="宋体" w:cs="宋体" w:eastAsia="宋体" w:hint="default"/>
                <w:spacing w:val="3"/>
                <w:sz w:val="18"/>
                <w:szCs w:val="18"/>
              </w:rPr>
              <w:t>免或者有合理原因而发生的关联交易，本人</w:t>
            </w:r>
            <w:r>
              <w:rPr>
                <w:rFonts w:ascii="宋体" w:hAnsi="宋体" w:cs="宋体" w:eastAsia="宋体" w:hint="default"/>
                <w:sz w:val="18"/>
                <w:szCs w:val="18"/>
              </w:rPr>
              <w:t> </w:t>
            </w:r>
            <w:r>
              <w:rPr>
                <w:rFonts w:ascii="宋体" w:hAnsi="宋体" w:cs="宋体" w:eastAsia="宋体" w:hint="default"/>
                <w:spacing w:val="3"/>
                <w:sz w:val="18"/>
                <w:szCs w:val="18"/>
              </w:rPr>
              <w:t>或本人近亲属承诺将按照公平、公允、等价</w:t>
            </w:r>
            <w:r>
              <w:rPr>
                <w:rFonts w:ascii="宋体" w:hAnsi="宋体" w:cs="宋体" w:eastAsia="宋体" w:hint="default"/>
                <w:sz w:val="18"/>
                <w:szCs w:val="18"/>
              </w:rPr>
              <w:t> </w:t>
            </w:r>
            <w:r>
              <w:rPr>
                <w:rFonts w:ascii="宋体" w:hAnsi="宋体" w:cs="宋体" w:eastAsia="宋体" w:hint="default"/>
                <w:spacing w:val="3"/>
                <w:sz w:val="18"/>
                <w:szCs w:val="18"/>
              </w:rPr>
              <w:t>有偿等原则依法签订协议，履行合法程序，</w:t>
            </w:r>
            <w:r>
              <w:rPr>
                <w:rFonts w:ascii="宋体" w:hAnsi="宋体" w:cs="宋体" w:eastAsia="宋体" w:hint="default"/>
                <w:sz w:val="18"/>
                <w:szCs w:val="18"/>
              </w:rPr>
              <w:t> </w:t>
            </w:r>
            <w:r>
              <w:rPr>
                <w:rFonts w:ascii="宋体" w:hAnsi="宋体" w:cs="宋体" w:eastAsia="宋体" w:hint="default"/>
                <w:spacing w:val="3"/>
                <w:sz w:val="18"/>
                <w:szCs w:val="18"/>
              </w:rPr>
              <w:t>并将按照有关法律、法规、其他规范性文件</w:t>
            </w:r>
            <w:r>
              <w:rPr>
                <w:rFonts w:ascii="宋体" w:hAnsi="宋体" w:cs="宋体" w:eastAsia="宋体" w:hint="default"/>
                <w:sz w:val="18"/>
                <w:szCs w:val="18"/>
              </w:rPr>
              <w:t> </w:t>
            </w:r>
            <w:r>
              <w:rPr>
                <w:rFonts w:ascii="宋体" w:hAnsi="宋体" w:cs="宋体" w:eastAsia="宋体" w:hint="default"/>
                <w:spacing w:val="3"/>
                <w:sz w:val="18"/>
                <w:szCs w:val="18"/>
              </w:rPr>
              <w:t>以及光一科技公司章程等的规定，依法履行</w:t>
            </w:r>
            <w:r>
              <w:rPr>
                <w:rFonts w:ascii="宋体" w:hAnsi="宋体" w:cs="宋体" w:eastAsia="宋体" w:hint="default"/>
                <w:sz w:val="18"/>
                <w:szCs w:val="18"/>
              </w:rPr>
              <w:t> </w:t>
            </w:r>
            <w:r>
              <w:rPr>
                <w:rFonts w:ascii="宋体" w:hAnsi="宋体" w:cs="宋体" w:eastAsia="宋体" w:hint="default"/>
                <w:spacing w:val="3"/>
                <w:sz w:val="18"/>
                <w:szCs w:val="18"/>
              </w:rPr>
              <w:t>相关内部决策批准程序并及时履行信息披露</w:t>
            </w:r>
            <w:r>
              <w:rPr>
                <w:rFonts w:ascii="宋体" w:hAnsi="宋体" w:cs="宋体" w:eastAsia="宋体" w:hint="default"/>
                <w:sz w:val="18"/>
                <w:szCs w:val="18"/>
              </w:rPr>
              <w:t> </w:t>
            </w:r>
            <w:r>
              <w:rPr>
                <w:rFonts w:ascii="宋体" w:hAnsi="宋体" w:cs="宋体" w:eastAsia="宋体" w:hint="default"/>
                <w:spacing w:val="3"/>
                <w:sz w:val="18"/>
                <w:szCs w:val="18"/>
              </w:rPr>
              <w:t>义务，保证不以与市场价格相比显失公允的</w:t>
            </w:r>
            <w:r>
              <w:rPr>
                <w:rFonts w:ascii="宋体" w:hAnsi="宋体" w:cs="宋体" w:eastAsia="宋体" w:hint="default"/>
                <w:sz w:val="18"/>
                <w:szCs w:val="18"/>
              </w:rPr>
              <w:t> </w:t>
            </w:r>
            <w:r>
              <w:rPr>
                <w:rFonts w:ascii="宋体" w:hAnsi="宋体" w:cs="宋体" w:eastAsia="宋体" w:hint="default"/>
                <w:spacing w:val="3"/>
                <w:sz w:val="18"/>
                <w:szCs w:val="18"/>
              </w:rPr>
              <w:t>条件与光一科技进行交易，保证不利用关联</w:t>
            </w:r>
            <w:r>
              <w:rPr>
                <w:rFonts w:ascii="宋体" w:hAnsi="宋体" w:cs="宋体" w:eastAsia="宋体" w:hint="default"/>
                <w:sz w:val="18"/>
                <w:szCs w:val="18"/>
              </w:rPr>
              <w:t> </w:t>
            </w:r>
            <w:r>
              <w:rPr>
                <w:rFonts w:ascii="宋体" w:hAnsi="宋体" w:cs="宋体" w:eastAsia="宋体" w:hint="default"/>
                <w:spacing w:val="3"/>
                <w:sz w:val="18"/>
                <w:szCs w:val="18"/>
              </w:rPr>
              <w:t>交易非法转移光一科技的资金、利润，亦不</w:t>
            </w:r>
            <w:r>
              <w:rPr>
                <w:rFonts w:ascii="宋体" w:hAnsi="宋体" w:cs="宋体" w:eastAsia="宋体" w:hint="default"/>
                <w:sz w:val="18"/>
                <w:szCs w:val="18"/>
              </w:rPr>
              <w:t> </w:t>
            </w:r>
            <w:r>
              <w:rPr>
                <w:rFonts w:ascii="宋体" w:hAnsi="宋体" w:cs="宋体" w:eastAsia="宋体" w:hint="default"/>
                <w:spacing w:val="3"/>
                <w:sz w:val="18"/>
                <w:szCs w:val="18"/>
              </w:rPr>
              <w:t>利用该类交易从事任何损害光一科技及其他</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135"/>
        <w:gridCol w:w="1276"/>
        <w:gridCol w:w="852"/>
        <w:gridCol w:w="3543"/>
        <w:gridCol w:w="851"/>
        <w:gridCol w:w="805"/>
        <w:gridCol w:w="1107"/>
      </w:tblGrid>
      <w:tr>
        <w:trPr>
          <w:trHeight w:val="5678" w:hRule="exact"/>
        </w:trPr>
        <w:tc>
          <w:tcPr>
            <w:tcW w:w="1135"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852" w:type="dxa"/>
            <w:tcBorders>
              <w:top w:val="single" w:sz="12" w:space="0" w:color="000000"/>
              <w:left w:val="single" w:sz="6" w:space="0" w:color="000000"/>
              <w:bottom w:val="single" w:sz="6" w:space="0" w:color="000000"/>
              <w:right w:val="single" w:sz="6" w:space="0" w:color="000000"/>
            </w:tcBorders>
          </w:tcPr>
          <w:p>
            <w:pPr/>
          </w:p>
        </w:tc>
        <w:tc>
          <w:tcPr>
            <w:tcW w:w="354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0" w:right="13"/>
              <w:jc w:val="both"/>
              <w:rPr>
                <w:rFonts w:ascii="宋体" w:hAnsi="宋体" w:cs="宋体" w:eastAsia="宋体" w:hint="default"/>
                <w:sz w:val="18"/>
                <w:szCs w:val="18"/>
              </w:rPr>
            </w:pPr>
            <w:r>
              <w:rPr>
                <w:rFonts w:ascii="宋体" w:hAnsi="宋体" w:cs="宋体" w:eastAsia="宋体" w:hint="default"/>
                <w:spacing w:val="-2"/>
                <w:sz w:val="18"/>
                <w:szCs w:val="18"/>
              </w:rPr>
              <w:t>股东合法权益的行为。（</w:t>
            </w:r>
            <w:r>
              <w:rPr>
                <w:rFonts w:ascii="宋体" w:hAnsi="宋体" w:cs="宋体" w:eastAsia="宋体" w:hint="default"/>
                <w:spacing w:val="-2"/>
                <w:sz w:val="18"/>
                <w:szCs w:val="18"/>
              </w:rPr>
              <w:t>2</w:t>
            </w:r>
            <w:r>
              <w:rPr>
                <w:rFonts w:ascii="宋体" w:hAnsi="宋体" w:cs="宋体" w:eastAsia="宋体" w:hint="default"/>
                <w:spacing w:val="-2"/>
                <w:sz w:val="18"/>
                <w:szCs w:val="18"/>
              </w:rPr>
              <w:t>）本人或本人近亲</w:t>
            </w:r>
            <w:r>
              <w:rPr>
                <w:rFonts w:ascii="宋体" w:hAnsi="宋体" w:cs="宋体" w:eastAsia="宋体" w:hint="default"/>
                <w:spacing w:val="-80"/>
                <w:sz w:val="18"/>
                <w:szCs w:val="18"/>
              </w:rPr>
              <w:t> </w:t>
            </w:r>
            <w:r>
              <w:rPr>
                <w:rFonts w:ascii="宋体" w:hAnsi="宋体" w:cs="宋体" w:eastAsia="宋体" w:hint="default"/>
                <w:spacing w:val="3"/>
                <w:sz w:val="18"/>
                <w:szCs w:val="18"/>
              </w:rPr>
              <w:t>属及本人或本人近亲属直接或间接控制或影</w:t>
            </w:r>
            <w:r>
              <w:rPr>
                <w:rFonts w:ascii="宋体" w:hAnsi="宋体" w:cs="宋体" w:eastAsia="宋体" w:hint="default"/>
                <w:sz w:val="18"/>
                <w:szCs w:val="18"/>
              </w:rPr>
              <w:t> </w:t>
            </w:r>
            <w:r>
              <w:rPr>
                <w:rFonts w:ascii="宋体" w:hAnsi="宋体" w:cs="宋体" w:eastAsia="宋体" w:hint="default"/>
                <w:spacing w:val="3"/>
                <w:sz w:val="18"/>
                <w:szCs w:val="18"/>
              </w:rPr>
              <w:t>响的企业将严格避免向光一科技及其控股和</w:t>
            </w:r>
            <w:r>
              <w:rPr>
                <w:rFonts w:ascii="宋体" w:hAnsi="宋体" w:cs="宋体" w:eastAsia="宋体" w:hint="default"/>
                <w:sz w:val="18"/>
                <w:szCs w:val="18"/>
              </w:rPr>
              <w:t> </w:t>
            </w:r>
            <w:r>
              <w:rPr>
                <w:rFonts w:ascii="宋体" w:hAnsi="宋体" w:cs="宋体" w:eastAsia="宋体" w:hint="default"/>
                <w:spacing w:val="3"/>
                <w:sz w:val="18"/>
                <w:szCs w:val="18"/>
              </w:rPr>
              <w:t>参股公司拆借、占用光一科技及其控股和参</w:t>
            </w:r>
            <w:r>
              <w:rPr>
                <w:rFonts w:ascii="宋体" w:hAnsi="宋体" w:cs="宋体" w:eastAsia="宋体" w:hint="default"/>
                <w:sz w:val="18"/>
                <w:szCs w:val="18"/>
              </w:rPr>
              <w:t> </w:t>
            </w:r>
            <w:r>
              <w:rPr>
                <w:rFonts w:ascii="宋体" w:hAnsi="宋体" w:cs="宋体" w:eastAsia="宋体" w:hint="default"/>
                <w:spacing w:val="3"/>
                <w:sz w:val="18"/>
                <w:szCs w:val="18"/>
              </w:rPr>
              <w:t>股公司资金或采取由光一科技及其控股和参</w:t>
            </w:r>
            <w:r>
              <w:rPr>
                <w:rFonts w:ascii="宋体" w:hAnsi="宋体" w:cs="宋体" w:eastAsia="宋体" w:hint="default"/>
                <w:sz w:val="18"/>
                <w:szCs w:val="18"/>
              </w:rPr>
              <w:t> </w:t>
            </w:r>
            <w:r>
              <w:rPr>
                <w:rFonts w:ascii="宋体" w:hAnsi="宋体" w:cs="宋体" w:eastAsia="宋体" w:hint="default"/>
                <w:spacing w:val="3"/>
                <w:sz w:val="18"/>
                <w:szCs w:val="18"/>
              </w:rPr>
              <w:t>股公司代垫款、代偿债务等方式侵占光一科</w:t>
            </w:r>
            <w:r>
              <w:rPr>
                <w:rFonts w:ascii="宋体" w:hAnsi="宋体" w:cs="宋体" w:eastAsia="宋体" w:hint="default"/>
                <w:sz w:val="18"/>
                <w:szCs w:val="18"/>
              </w:rPr>
              <w:t> </w:t>
            </w:r>
            <w:r>
              <w:rPr>
                <w:rFonts w:ascii="宋体" w:hAnsi="宋体" w:cs="宋体" w:eastAsia="宋体" w:hint="default"/>
                <w:spacing w:val="-2"/>
                <w:sz w:val="18"/>
                <w:szCs w:val="18"/>
              </w:rPr>
              <w:t>技资金。（</w:t>
            </w:r>
            <w:r>
              <w:rPr>
                <w:rFonts w:ascii="宋体" w:hAnsi="宋体" w:cs="宋体" w:eastAsia="宋体" w:hint="default"/>
                <w:spacing w:val="-2"/>
                <w:sz w:val="18"/>
                <w:szCs w:val="18"/>
              </w:rPr>
              <w:t>3</w:t>
            </w:r>
            <w:r>
              <w:rPr>
                <w:rFonts w:ascii="宋体" w:hAnsi="宋体" w:cs="宋体" w:eastAsia="宋体" w:hint="default"/>
                <w:spacing w:val="-2"/>
                <w:sz w:val="18"/>
                <w:szCs w:val="18"/>
              </w:rPr>
              <w:t>）本次交易完成后本人将继续严</w:t>
            </w:r>
            <w:r>
              <w:rPr>
                <w:rFonts w:ascii="宋体" w:hAnsi="宋体" w:cs="宋体" w:eastAsia="宋体" w:hint="default"/>
                <w:spacing w:val="-80"/>
                <w:sz w:val="18"/>
                <w:szCs w:val="18"/>
              </w:rPr>
              <w:t> </w:t>
            </w:r>
            <w:r>
              <w:rPr>
                <w:rFonts w:ascii="宋体" w:hAnsi="宋体" w:cs="宋体" w:eastAsia="宋体" w:hint="default"/>
                <w:spacing w:val="3"/>
                <w:sz w:val="18"/>
                <w:szCs w:val="18"/>
              </w:rPr>
              <w:t>格按照有关法律法规、规范性文件以及光一</w:t>
            </w:r>
            <w:r>
              <w:rPr>
                <w:rFonts w:ascii="宋体" w:hAnsi="宋体" w:cs="宋体" w:eastAsia="宋体" w:hint="default"/>
                <w:sz w:val="18"/>
                <w:szCs w:val="18"/>
              </w:rPr>
              <w:t> </w:t>
            </w:r>
            <w:r>
              <w:rPr>
                <w:rFonts w:ascii="宋体" w:hAnsi="宋体" w:cs="宋体" w:eastAsia="宋体" w:hint="default"/>
                <w:spacing w:val="3"/>
                <w:sz w:val="18"/>
                <w:szCs w:val="18"/>
              </w:rPr>
              <w:t>科技公司章程的有关规定行使股东权利；在</w:t>
            </w:r>
            <w:r>
              <w:rPr>
                <w:rFonts w:ascii="宋体" w:hAnsi="宋体" w:cs="宋体" w:eastAsia="宋体" w:hint="default"/>
                <w:sz w:val="18"/>
                <w:szCs w:val="18"/>
              </w:rPr>
              <w:t> </w:t>
            </w:r>
            <w:r>
              <w:rPr>
                <w:rFonts w:ascii="宋体" w:hAnsi="宋体" w:cs="宋体" w:eastAsia="宋体" w:hint="default"/>
                <w:spacing w:val="3"/>
                <w:sz w:val="18"/>
                <w:szCs w:val="18"/>
              </w:rPr>
              <w:t>光一科技股东大会对有关涉及本人的关联交</w:t>
            </w:r>
            <w:r>
              <w:rPr>
                <w:rFonts w:ascii="宋体" w:hAnsi="宋体" w:cs="宋体" w:eastAsia="宋体" w:hint="default"/>
                <w:sz w:val="18"/>
                <w:szCs w:val="18"/>
              </w:rPr>
              <w:t> </w:t>
            </w:r>
            <w:r>
              <w:rPr>
                <w:rFonts w:ascii="宋体" w:hAnsi="宋体" w:cs="宋体" w:eastAsia="宋体" w:hint="default"/>
                <w:spacing w:val="-2"/>
                <w:sz w:val="18"/>
                <w:szCs w:val="18"/>
              </w:rPr>
              <w:t>易进行表决时，履行回避表决的义务。（</w:t>
            </w:r>
            <w:r>
              <w:rPr>
                <w:rFonts w:ascii="宋体" w:hAnsi="宋体" w:cs="宋体" w:eastAsia="宋体" w:hint="default"/>
                <w:spacing w:val="-2"/>
                <w:sz w:val="18"/>
                <w:szCs w:val="18"/>
              </w:rPr>
              <w:t>4</w:t>
            </w:r>
            <w:r>
              <w:rPr>
                <w:rFonts w:ascii="宋体" w:hAnsi="宋体" w:cs="宋体" w:eastAsia="宋体" w:hint="default"/>
                <w:spacing w:val="-2"/>
                <w:sz w:val="18"/>
                <w:szCs w:val="18"/>
              </w:rPr>
              <w:t>）</w:t>
            </w:r>
            <w:r>
              <w:rPr>
                <w:rFonts w:ascii="宋体" w:hAnsi="宋体" w:cs="宋体" w:eastAsia="宋体" w:hint="default"/>
                <w:spacing w:val="-83"/>
                <w:sz w:val="18"/>
                <w:szCs w:val="18"/>
              </w:rPr>
              <w:t> </w:t>
            </w:r>
            <w:r>
              <w:rPr>
                <w:rFonts w:ascii="宋体" w:hAnsi="宋体" w:cs="宋体" w:eastAsia="宋体" w:hint="default"/>
                <w:spacing w:val="3"/>
                <w:sz w:val="18"/>
                <w:szCs w:val="18"/>
              </w:rPr>
              <w:t>本人保证不通过关联交易取得任何不正当的</w:t>
            </w:r>
            <w:r>
              <w:rPr>
                <w:rFonts w:ascii="宋体" w:hAnsi="宋体" w:cs="宋体" w:eastAsia="宋体" w:hint="default"/>
                <w:sz w:val="18"/>
                <w:szCs w:val="18"/>
              </w:rPr>
              <w:t> </w:t>
            </w:r>
            <w:r>
              <w:rPr>
                <w:rFonts w:ascii="宋体" w:hAnsi="宋体" w:cs="宋体" w:eastAsia="宋体" w:hint="default"/>
                <w:spacing w:val="3"/>
                <w:sz w:val="18"/>
                <w:szCs w:val="18"/>
              </w:rPr>
              <w:t>利益或使光一科技及其控股和参股公司承担</w:t>
            </w:r>
            <w:r>
              <w:rPr>
                <w:rFonts w:ascii="宋体" w:hAnsi="宋体" w:cs="宋体" w:eastAsia="宋体" w:hint="default"/>
                <w:sz w:val="18"/>
                <w:szCs w:val="18"/>
              </w:rPr>
              <w:t> </w:t>
            </w:r>
            <w:r>
              <w:rPr>
                <w:rFonts w:ascii="宋体" w:hAnsi="宋体" w:cs="宋体" w:eastAsia="宋体" w:hint="default"/>
                <w:spacing w:val="-2"/>
                <w:sz w:val="18"/>
                <w:szCs w:val="18"/>
              </w:rPr>
              <w:t>任何不正当的义务。（</w:t>
            </w:r>
            <w:r>
              <w:rPr>
                <w:rFonts w:ascii="宋体" w:hAnsi="宋体" w:cs="宋体" w:eastAsia="宋体" w:hint="default"/>
                <w:spacing w:val="-2"/>
                <w:sz w:val="18"/>
                <w:szCs w:val="18"/>
              </w:rPr>
              <w:t>5</w:t>
            </w:r>
            <w:r>
              <w:rPr>
                <w:rFonts w:ascii="宋体" w:hAnsi="宋体" w:cs="宋体" w:eastAsia="宋体" w:hint="default"/>
                <w:spacing w:val="-2"/>
                <w:sz w:val="18"/>
                <w:szCs w:val="18"/>
              </w:rPr>
              <w:t>）如果因违反上述承</w:t>
            </w:r>
            <w:r>
              <w:rPr>
                <w:rFonts w:ascii="宋体" w:hAnsi="宋体" w:cs="宋体" w:eastAsia="宋体" w:hint="default"/>
                <w:spacing w:val="-80"/>
                <w:sz w:val="18"/>
                <w:szCs w:val="18"/>
              </w:rPr>
              <w:t> </w:t>
            </w:r>
            <w:r>
              <w:rPr>
                <w:rFonts w:ascii="宋体" w:hAnsi="宋体" w:cs="宋体" w:eastAsia="宋体" w:hint="default"/>
                <w:spacing w:val="3"/>
                <w:sz w:val="18"/>
                <w:szCs w:val="18"/>
              </w:rPr>
              <w:t>诺导致光一科技或其控股和参股公司损失或</w:t>
            </w:r>
            <w:r>
              <w:rPr>
                <w:rFonts w:ascii="宋体" w:hAnsi="宋体" w:cs="宋体" w:eastAsia="宋体" w:hint="default"/>
                <w:sz w:val="18"/>
                <w:szCs w:val="18"/>
              </w:rPr>
              <w:t> </w:t>
            </w:r>
            <w:r>
              <w:rPr>
                <w:rFonts w:ascii="宋体" w:hAnsi="宋体" w:cs="宋体" w:eastAsia="宋体" w:hint="default"/>
                <w:spacing w:val="3"/>
                <w:sz w:val="18"/>
                <w:szCs w:val="18"/>
              </w:rPr>
              <w:t>利用关联交易侵占光一科技或其控股和参股</w:t>
            </w:r>
            <w:r>
              <w:rPr>
                <w:rFonts w:ascii="宋体" w:hAnsi="宋体" w:cs="宋体" w:eastAsia="宋体" w:hint="default"/>
                <w:sz w:val="18"/>
                <w:szCs w:val="18"/>
              </w:rPr>
              <w:t> </w:t>
            </w:r>
            <w:r>
              <w:rPr>
                <w:rFonts w:ascii="宋体" w:hAnsi="宋体" w:cs="宋体" w:eastAsia="宋体" w:hint="default"/>
                <w:spacing w:val="3"/>
                <w:sz w:val="18"/>
                <w:szCs w:val="18"/>
              </w:rPr>
              <w:t>公司利益的，本人依法承担光一科技或其控</w:t>
            </w:r>
            <w:r>
              <w:rPr>
                <w:rFonts w:ascii="宋体" w:hAnsi="宋体" w:cs="宋体" w:eastAsia="宋体" w:hint="default"/>
                <w:sz w:val="18"/>
                <w:szCs w:val="18"/>
              </w:rPr>
              <w:t> 股和参股公司的损失。</w:t>
            </w:r>
          </w:p>
        </w:tc>
        <w:tc>
          <w:tcPr>
            <w:tcW w:w="851" w:type="dxa"/>
            <w:tcBorders>
              <w:top w:val="single" w:sz="12" w:space="0" w:color="000000"/>
              <w:left w:val="single" w:sz="6" w:space="0" w:color="000000"/>
              <w:bottom w:val="single" w:sz="6" w:space="0" w:color="000000"/>
              <w:right w:val="single" w:sz="6" w:space="0" w:color="000000"/>
            </w:tcBorders>
          </w:tcPr>
          <w:p>
            <w:pPr/>
          </w:p>
        </w:tc>
        <w:tc>
          <w:tcPr>
            <w:tcW w:w="805" w:type="dxa"/>
            <w:tcBorders>
              <w:top w:val="single" w:sz="12" w:space="0" w:color="000000"/>
              <w:left w:val="single" w:sz="6" w:space="0" w:color="000000"/>
              <w:bottom w:val="single" w:sz="6" w:space="0" w:color="000000"/>
              <w:right w:val="single" w:sz="6" w:space="0" w:color="000000"/>
            </w:tcBorders>
          </w:tcPr>
          <w:p>
            <w:pPr/>
          </w:p>
        </w:tc>
        <w:tc>
          <w:tcPr>
            <w:tcW w:w="1107" w:type="dxa"/>
            <w:tcBorders>
              <w:top w:val="single" w:sz="12" w:space="0" w:color="000000"/>
              <w:left w:val="single" w:sz="6" w:space="0" w:color="000000"/>
              <w:bottom w:val="single" w:sz="6" w:space="0" w:color="000000"/>
              <w:right w:val="single" w:sz="12" w:space="0" w:color="000000"/>
            </w:tcBorders>
          </w:tcPr>
          <w:p>
            <w:pPr/>
          </w:p>
        </w:tc>
      </w:tr>
      <w:tr>
        <w:trPr>
          <w:trHeight w:val="3839" w:hRule="exact"/>
        </w:trPr>
        <w:tc>
          <w:tcPr>
            <w:tcW w:w="1135" w:type="dxa"/>
            <w:vMerge/>
            <w:tcBorders>
              <w:left w:val="single" w:sz="12"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0" w:right="158"/>
              <w:jc w:val="both"/>
              <w:rPr>
                <w:rFonts w:ascii="宋体" w:hAnsi="宋体" w:cs="宋体" w:eastAsia="宋体" w:hint="default"/>
                <w:sz w:val="18"/>
                <w:szCs w:val="18"/>
              </w:rPr>
            </w:pPr>
            <w:r>
              <w:rPr>
                <w:rFonts w:ascii="宋体" w:hAnsi="宋体" w:cs="宋体" w:eastAsia="宋体" w:hint="default"/>
                <w:sz w:val="18"/>
                <w:szCs w:val="18"/>
              </w:rPr>
              <w:t>江苏光一投资 管理有限责任 公司、龙昌明</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7"/>
              <w:jc w:val="left"/>
              <w:rPr>
                <w:rFonts w:ascii="宋体" w:hAnsi="宋体" w:cs="宋体" w:eastAsia="宋体" w:hint="default"/>
                <w:sz w:val="18"/>
                <w:szCs w:val="18"/>
              </w:rPr>
            </w:pPr>
            <w:r>
              <w:rPr>
                <w:rFonts w:ascii="宋体" w:hAnsi="宋体" w:cs="宋体" w:eastAsia="宋体" w:hint="default"/>
                <w:spacing w:val="3"/>
                <w:sz w:val="18"/>
                <w:szCs w:val="18"/>
              </w:rPr>
              <w:t>公司控股股东江苏光一投资管理有限责任公</w:t>
            </w:r>
            <w:r>
              <w:rPr>
                <w:rFonts w:ascii="宋体" w:hAnsi="宋体" w:cs="宋体" w:eastAsia="宋体" w:hint="default"/>
                <w:sz w:val="18"/>
                <w:szCs w:val="18"/>
              </w:rPr>
              <w:t> </w:t>
            </w:r>
            <w:r>
              <w:rPr>
                <w:rFonts w:ascii="宋体" w:hAnsi="宋体" w:cs="宋体" w:eastAsia="宋体" w:hint="default"/>
                <w:spacing w:val="3"/>
                <w:sz w:val="18"/>
                <w:szCs w:val="18"/>
              </w:rPr>
              <w:t>司、实际控制人龙昌明先生就公司发行股份</w:t>
            </w:r>
            <w:r>
              <w:rPr>
                <w:rFonts w:ascii="宋体" w:hAnsi="宋体" w:cs="宋体" w:eastAsia="宋体" w:hint="default"/>
                <w:sz w:val="18"/>
                <w:szCs w:val="18"/>
              </w:rPr>
              <w:t> 及</w:t>
            </w:r>
            <w:r>
              <w:rPr>
                <w:rFonts w:ascii="宋体" w:hAnsi="宋体" w:cs="宋体" w:eastAsia="宋体" w:hint="default"/>
                <w:spacing w:val="-64"/>
                <w:sz w:val="18"/>
                <w:szCs w:val="18"/>
              </w:rPr>
              <w:t> </w:t>
            </w:r>
            <w:r>
              <w:rPr>
                <w:rFonts w:ascii="宋体" w:hAnsi="宋体" w:cs="宋体" w:eastAsia="宋体" w:hint="default"/>
                <w:sz w:val="18"/>
                <w:szCs w:val="18"/>
              </w:rPr>
              <w:t>支</w:t>
            </w:r>
            <w:r>
              <w:rPr>
                <w:rFonts w:ascii="宋体" w:hAnsi="宋体" w:cs="宋体" w:eastAsia="宋体" w:hint="default"/>
                <w:spacing w:val="-64"/>
                <w:sz w:val="18"/>
                <w:szCs w:val="18"/>
              </w:rPr>
              <w:t> </w:t>
            </w:r>
            <w:r>
              <w:rPr>
                <w:rFonts w:ascii="宋体" w:hAnsi="宋体" w:cs="宋体" w:eastAsia="宋体" w:hint="default"/>
                <w:sz w:val="18"/>
                <w:szCs w:val="18"/>
              </w:rPr>
              <w:t>付</w:t>
            </w:r>
            <w:r>
              <w:rPr>
                <w:rFonts w:ascii="宋体" w:hAnsi="宋体" w:cs="宋体" w:eastAsia="宋体" w:hint="default"/>
                <w:spacing w:val="-64"/>
                <w:sz w:val="18"/>
                <w:szCs w:val="18"/>
              </w:rPr>
              <w:t> </w:t>
            </w:r>
            <w:r>
              <w:rPr>
                <w:rFonts w:ascii="宋体" w:hAnsi="宋体" w:cs="宋体" w:eastAsia="宋体" w:hint="default"/>
                <w:sz w:val="18"/>
                <w:szCs w:val="18"/>
              </w:rPr>
              <w:t>现</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3"/>
                <w:sz w:val="18"/>
                <w:szCs w:val="18"/>
              </w:rPr>
              <w:t> </w:t>
            </w:r>
            <w:r>
              <w:rPr>
                <w:rFonts w:ascii="宋体" w:hAnsi="宋体" w:cs="宋体" w:eastAsia="宋体" w:hint="default"/>
                <w:sz w:val="18"/>
                <w:szCs w:val="18"/>
              </w:rPr>
              <w:t>购</w:t>
            </w:r>
            <w:r>
              <w:rPr>
                <w:rFonts w:ascii="宋体" w:hAnsi="宋体" w:cs="宋体" w:eastAsia="宋体" w:hint="default"/>
                <w:spacing w:val="-64"/>
                <w:sz w:val="18"/>
                <w:szCs w:val="18"/>
              </w:rPr>
              <w:t> </w:t>
            </w:r>
            <w:r>
              <w:rPr>
                <w:rFonts w:ascii="宋体" w:hAnsi="宋体" w:cs="宋体" w:eastAsia="宋体" w:hint="default"/>
                <w:sz w:val="18"/>
                <w:szCs w:val="18"/>
              </w:rPr>
              <w:t>买</w:t>
            </w:r>
            <w:r>
              <w:rPr>
                <w:rFonts w:ascii="宋体" w:hAnsi="宋体" w:cs="宋体" w:eastAsia="宋体" w:hint="default"/>
                <w:spacing w:val="-64"/>
                <w:sz w:val="18"/>
                <w:szCs w:val="18"/>
              </w:rPr>
              <w:t> </w:t>
            </w:r>
            <w:r>
              <w:rPr>
                <w:rFonts w:ascii="宋体" w:hAnsi="宋体" w:cs="宋体" w:eastAsia="宋体" w:hint="default"/>
                <w:sz w:val="18"/>
                <w:szCs w:val="18"/>
              </w:rPr>
              <w:t>湖</w:t>
            </w:r>
            <w:r>
              <w:rPr>
                <w:rFonts w:ascii="宋体" w:hAnsi="宋体" w:cs="宋体" w:eastAsia="宋体" w:hint="default"/>
                <w:spacing w:val="-64"/>
                <w:sz w:val="18"/>
                <w:szCs w:val="18"/>
              </w:rPr>
              <w:t> </w:t>
            </w:r>
            <w:r>
              <w:rPr>
                <w:rFonts w:ascii="宋体" w:hAnsi="宋体" w:cs="宋体" w:eastAsia="宋体" w:hint="default"/>
                <w:sz w:val="18"/>
                <w:szCs w:val="18"/>
              </w:rPr>
              <w:t>北</w:t>
            </w:r>
            <w:r>
              <w:rPr>
                <w:rFonts w:ascii="宋体" w:hAnsi="宋体" w:cs="宋体" w:eastAsia="宋体" w:hint="default"/>
                <w:spacing w:val="-64"/>
                <w:sz w:val="18"/>
                <w:szCs w:val="18"/>
              </w:rPr>
              <w:t> </w:t>
            </w:r>
            <w:r>
              <w:rPr>
                <w:rFonts w:ascii="宋体" w:hAnsi="宋体" w:cs="宋体" w:eastAsia="宋体" w:hint="default"/>
                <w:sz w:val="18"/>
                <w:szCs w:val="18"/>
              </w:rPr>
              <w:t>索</w:t>
            </w:r>
            <w:r>
              <w:rPr>
                <w:rFonts w:ascii="宋体" w:hAnsi="宋体" w:cs="宋体" w:eastAsia="宋体" w:hint="default"/>
                <w:spacing w:val="-63"/>
                <w:sz w:val="18"/>
                <w:szCs w:val="18"/>
              </w:rPr>
              <w:t> </w:t>
            </w:r>
            <w:r>
              <w:rPr>
                <w:rFonts w:ascii="宋体" w:hAnsi="宋体" w:cs="宋体" w:eastAsia="宋体" w:hint="default"/>
                <w:sz w:val="18"/>
                <w:szCs w:val="18"/>
              </w:rPr>
              <w:t>瑞</w:t>
            </w:r>
            <w:r>
              <w:rPr>
                <w:rFonts w:ascii="宋体" w:hAnsi="宋体" w:cs="宋体" w:eastAsia="宋体" w:hint="default"/>
                <w:spacing w:val="-64"/>
                <w:sz w:val="18"/>
                <w:szCs w:val="18"/>
              </w:rPr>
              <w:t> </w:t>
            </w:r>
            <w:r>
              <w:rPr>
                <w:rFonts w:ascii="宋体" w:hAnsi="宋体" w:cs="宋体" w:eastAsia="宋体" w:hint="default"/>
                <w:sz w:val="18"/>
                <w:szCs w:val="18"/>
              </w:rPr>
              <w:t>电</w:t>
            </w:r>
            <w:r>
              <w:rPr>
                <w:rFonts w:ascii="宋体" w:hAnsi="宋体" w:cs="宋体" w:eastAsia="宋体" w:hint="default"/>
                <w:spacing w:val="-64"/>
                <w:sz w:val="18"/>
                <w:szCs w:val="18"/>
              </w:rPr>
              <w:t> </w:t>
            </w:r>
            <w:r>
              <w:rPr>
                <w:rFonts w:ascii="宋体" w:hAnsi="宋体" w:cs="宋体" w:eastAsia="宋体" w:hint="default"/>
                <w:sz w:val="18"/>
                <w:szCs w:val="18"/>
              </w:rPr>
              <w:t>气</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63"/>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宋体" w:hAnsi="宋体" w:cs="宋体" w:eastAsia="宋体" w:hint="default"/>
                <w:spacing w:val="2"/>
                <w:sz w:val="18"/>
                <w:szCs w:val="18"/>
              </w:rPr>
              <w:t>84.82%</w:t>
            </w:r>
            <w:r>
              <w:rPr>
                <w:rFonts w:ascii="宋体" w:hAnsi="宋体" w:cs="宋体" w:eastAsia="宋体" w:hint="default"/>
                <w:spacing w:val="2"/>
                <w:sz w:val="18"/>
                <w:szCs w:val="18"/>
              </w:rPr>
              <w:t>股权事项承诺：在本次交易完成后，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本公司</w:t>
            </w:r>
            <w:r>
              <w:rPr>
                <w:rFonts w:ascii="宋体" w:hAnsi="宋体" w:cs="宋体" w:eastAsia="宋体" w:hint="default"/>
                <w:spacing w:val="-10"/>
                <w:sz w:val="18"/>
                <w:szCs w:val="18"/>
              </w:rPr>
              <w:t>/</w:t>
            </w:r>
            <w:r>
              <w:rPr>
                <w:rFonts w:ascii="宋体" w:hAnsi="宋体" w:cs="宋体" w:eastAsia="宋体" w:hint="default"/>
                <w:spacing w:val="-10"/>
                <w:sz w:val="18"/>
                <w:szCs w:val="18"/>
              </w:rPr>
              <w:t>本人将按照《公司法》、《证券法》和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其他有关法律法规对上市公司的要求，合法</w:t>
            </w:r>
            <w:r>
              <w:rPr>
                <w:rFonts w:ascii="宋体" w:hAnsi="宋体" w:cs="宋体" w:eastAsia="宋体" w:hint="default"/>
                <w:sz w:val="18"/>
                <w:szCs w:val="18"/>
              </w:rPr>
              <w:t> </w:t>
            </w:r>
            <w:r>
              <w:rPr>
                <w:rFonts w:ascii="宋体" w:hAnsi="宋体" w:cs="宋体" w:eastAsia="宋体" w:hint="default"/>
                <w:spacing w:val="3"/>
                <w:sz w:val="18"/>
                <w:szCs w:val="18"/>
              </w:rPr>
              <w:t>合规地行使股东权利并履行相应的义务，采</w:t>
            </w:r>
            <w:r>
              <w:rPr>
                <w:rFonts w:ascii="宋体" w:hAnsi="宋体" w:cs="宋体" w:eastAsia="宋体" w:hint="default"/>
                <w:sz w:val="18"/>
                <w:szCs w:val="18"/>
              </w:rPr>
              <w:t> </w:t>
            </w:r>
            <w:r>
              <w:rPr>
                <w:rFonts w:ascii="宋体" w:hAnsi="宋体" w:cs="宋体" w:eastAsia="宋体" w:hint="default"/>
                <w:spacing w:val="3"/>
                <w:sz w:val="18"/>
                <w:szCs w:val="18"/>
              </w:rPr>
              <w:t>取切实有效措施保证上市公司及其子公司在</w:t>
            </w:r>
            <w:r>
              <w:rPr>
                <w:rFonts w:ascii="宋体" w:hAnsi="宋体" w:cs="宋体" w:eastAsia="宋体" w:hint="default"/>
                <w:sz w:val="18"/>
                <w:szCs w:val="18"/>
              </w:rPr>
              <w:t> </w:t>
            </w:r>
            <w:r>
              <w:rPr>
                <w:rFonts w:ascii="宋体" w:hAnsi="宋体" w:cs="宋体" w:eastAsia="宋体" w:hint="default"/>
                <w:spacing w:val="3"/>
                <w:sz w:val="18"/>
                <w:szCs w:val="18"/>
              </w:rPr>
              <w:t>业务、资产、人员、机构和财务等方面的独</w:t>
            </w:r>
            <w:r>
              <w:rPr>
                <w:rFonts w:ascii="宋体" w:hAnsi="宋体" w:cs="宋体" w:eastAsia="宋体" w:hint="default"/>
                <w:sz w:val="18"/>
                <w:szCs w:val="18"/>
              </w:rPr>
              <w:t> 立和完整，同时确保上市公司在采购、生产 </w:t>
            </w:r>
            <w:r>
              <w:rPr>
                <w:rFonts w:ascii="宋体" w:hAnsi="宋体" w:cs="宋体" w:eastAsia="宋体" w:hint="default"/>
                <w:spacing w:val="3"/>
                <w:sz w:val="18"/>
                <w:szCs w:val="18"/>
              </w:rPr>
              <w:t>销售、知识产权等方面保持独立，使上市公</w:t>
            </w:r>
            <w:r>
              <w:rPr>
                <w:rFonts w:ascii="宋体" w:hAnsi="宋体" w:cs="宋体" w:eastAsia="宋体" w:hint="default"/>
                <w:sz w:val="18"/>
                <w:szCs w:val="18"/>
              </w:rPr>
              <w:t> 司具有完全和完整的独立经营能力。</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15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1.85pt;height:78pt;mso-position-horizontal-relative:char;mso-position-vertical-relative:line" coordorigin="0,0" coordsize="837,1560">
                  <v:group style="position:absolute;left:0;top:0;width:837;height:1560" coordorigin="0,0" coordsize="837,1560">
                    <v:shape style="position:absolute;left:0;top:0;width:837;height:1560" coordorigin="0,0" coordsize="837,1560" path="m0,1560l837,1560,837,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86"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80" w:hRule="exact"/>
        </w:trPr>
        <w:tc>
          <w:tcPr>
            <w:tcW w:w="1135"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13" w:right="197"/>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276" w:type="dxa"/>
            <w:tcBorders>
              <w:top w:val="single" w:sz="6" w:space="0" w:color="000000"/>
              <w:left w:val="single" w:sz="6" w:space="0" w:color="000000"/>
              <w:bottom w:val="single" w:sz="6" w:space="0" w:color="000000"/>
              <w:right w:val="single" w:sz="1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20" w:right="-31"/>
              <w:jc w:val="left"/>
              <w:rPr>
                <w:rFonts w:ascii="宋体" w:hAnsi="宋体" w:cs="宋体" w:eastAsia="宋体" w:hint="default"/>
                <w:sz w:val="18"/>
                <w:szCs w:val="18"/>
              </w:rPr>
            </w:pPr>
            <w:r>
              <w:rPr>
                <w:rFonts w:ascii="宋体" w:hAnsi="宋体" w:cs="宋体" w:eastAsia="宋体" w:hint="default"/>
                <w:sz w:val="18"/>
                <w:szCs w:val="18"/>
              </w:rPr>
              <w:t>江苏光一投资 管理有限责任 公司、龙昌明、</w:t>
            </w:r>
          </w:p>
          <w:p>
            <w:pPr>
              <w:pStyle w:val="TableParagraph"/>
              <w:spacing w:line="240" w:lineRule="auto" w:before="56"/>
              <w:ind w:left="20" w:right="0"/>
              <w:jc w:val="left"/>
              <w:rPr>
                <w:rFonts w:ascii="宋体" w:hAnsi="宋体" w:cs="宋体" w:eastAsia="宋体" w:hint="default"/>
                <w:sz w:val="18"/>
                <w:szCs w:val="18"/>
              </w:rPr>
            </w:pPr>
            <w:r>
              <w:rPr>
                <w:rFonts w:ascii="宋体" w:hAnsi="宋体" w:cs="宋体" w:eastAsia="宋体" w:hint="default"/>
                <w:sz w:val="18"/>
                <w:szCs w:val="18"/>
              </w:rPr>
              <w:t>熊珂</w:t>
            </w:r>
          </w:p>
        </w:tc>
        <w:tc>
          <w:tcPr>
            <w:tcW w:w="852" w:type="dxa"/>
            <w:tcBorders>
              <w:top w:val="single" w:sz="6" w:space="0" w:color="000000"/>
              <w:left w:val="single" w:sz="14" w:space="0" w:color="FFFFFF"/>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8"/>
              <w:jc w:val="both"/>
              <w:rPr>
                <w:rFonts w:ascii="宋体" w:hAnsi="宋体" w:cs="宋体" w:eastAsia="宋体" w:hint="default"/>
                <w:sz w:val="18"/>
                <w:szCs w:val="18"/>
              </w:rPr>
            </w:pPr>
            <w:r>
              <w:rPr>
                <w:rFonts w:ascii="宋体" w:hAnsi="宋体" w:cs="宋体" w:eastAsia="宋体" w:hint="default"/>
                <w:spacing w:val="3"/>
                <w:sz w:val="18"/>
                <w:szCs w:val="18"/>
              </w:rPr>
              <w:t>公司控股股东光一投资、实际控制人龙昌明</w:t>
            </w:r>
            <w:r>
              <w:rPr>
                <w:rFonts w:ascii="宋体" w:hAnsi="宋体" w:cs="宋体" w:eastAsia="宋体" w:hint="default"/>
                <w:sz w:val="18"/>
                <w:szCs w:val="18"/>
              </w:rPr>
              <w:t> </w:t>
            </w:r>
            <w:r>
              <w:rPr>
                <w:rFonts w:ascii="宋体" w:hAnsi="宋体" w:cs="宋体" w:eastAsia="宋体" w:hint="default"/>
                <w:spacing w:val="3"/>
                <w:sz w:val="18"/>
                <w:szCs w:val="18"/>
              </w:rPr>
              <w:t>及关联人熊珂分别出具《关于避免同业竞争</w:t>
            </w:r>
            <w:r>
              <w:rPr>
                <w:rFonts w:ascii="宋体" w:hAnsi="宋体" w:cs="宋体" w:eastAsia="宋体" w:hint="default"/>
                <w:sz w:val="18"/>
                <w:szCs w:val="18"/>
              </w:rPr>
              <w:t> </w:t>
            </w:r>
            <w:r>
              <w:rPr>
                <w:rFonts w:ascii="宋体" w:hAnsi="宋体" w:cs="宋体" w:eastAsia="宋体" w:hint="default"/>
                <w:spacing w:val="-6"/>
                <w:sz w:val="18"/>
                <w:szCs w:val="18"/>
              </w:rPr>
              <w:t>的声明、承诺及保证函》，承诺对于公司目前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从事的业务以及未来从事的业务，光一投资</w:t>
            </w:r>
            <w:r>
              <w:rPr>
                <w:rFonts w:ascii="宋体" w:hAnsi="宋体" w:cs="宋体" w:eastAsia="宋体" w:hint="default"/>
                <w:spacing w:val="-2"/>
                <w:sz w:val="18"/>
                <w:szCs w:val="18"/>
              </w:rPr>
              <w:t>/</w:t>
            </w:r>
            <w:r>
              <w:rPr>
                <w:rFonts w:ascii="宋体" w:hAnsi="宋体" w:cs="宋体" w:eastAsia="宋体" w:hint="default"/>
                <w:spacing w:val="-73"/>
                <w:sz w:val="18"/>
                <w:szCs w:val="18"/>
              </w:rPr>
              <w:t> </w:t>
            </w:r>
            <w:r>
              <w:rPr>
                <w:rFonts w:ascii="宋体" w:hAnsi="宋体" w:cs="宋体" w:eastAsia="宋体" w:hint="default"/>
                <w:spacing w:val="-2"/>
                <w:sz w:val="18"/>
                <w:szCs w:val="18"/>
              </w:rPr>
              <w:t>龙昌明</w:t>
            </w:r>
            <w:r>
              <w:rPr>
                <w:rFonts w:ascii="宋体" w:hAnsi="宋体" w:cs="宋体" w:eastAsia="宋体" w:hint="default"/>
                <w:spacing w:val="-2"/>
                <w:sz w:val="18"/>
                <w:szCs w:val="18"/>
              </w:rPr>
              <w:t>/</w:t>
            </w:r>
            <w:r>
              <w:rPr>
                <w:rFonts w:ascii="宋体" w:hAnsi="宋体" w:cs="宋体" w:eastAsia="宋体" w:hint="default"/>
                <w:spacing w:val="-2"/>
                <w:sz w:val="18"/>
                <w:szCs w:val="18"/>
              </w:rPr>
              <w:t>熊珂自身不会，也不会通过投资、合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资、合作、联营、委托经营、承包、租赁经</w:t>
            </w:r>
            <w:r>
              <w:rPr>
                <w:rFonts w:ascii="宋体" w:hAnsi="宋体" w:cs="宋体" w:eastAsia="宋体" w:hint="default"/>
                <w:sz w:val="18"/>
                <w:szCs w:val="18"/>
              </w:rPr>
              <w:t> 营等任何方式从事与公司构成竞争的业务。</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86"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975" w:hRule="exact"/>
        </w:trPr>
        <w:tc>
          <w:tcPr>
            <w:tcW w:w="113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1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0" w:right="-31"/>
              <w:jc w:val="left"/>
              <w:rPr>
                <w:rFonts w:ascii="宋体" w:hAnsi="宋体" w:cs="宋体" w:eastAsia="宋体" w:hint="default"/>
                <w:sz w:val="18"/>
                <w:szCs w:val="18"/>
              </w:rPr>
            </w:pPr>
            <w:r>
              <w:rPr>
                <w:rFonts w:ascii="宋体" w:hAnsi="宋体" w:cs="宋体" w:eastAsia="宋体" w:hint="default"/>
                <w:sz w:val="18"/>
                <w:szCs w:val="18"/>
              </w:rPr>
              <w:t>江苏光一投资 管理有限责任 公司、龙昌明、 熊珂</w:t>
            </w:r>
          </w:p>
        </w:tc>
        <w:tc>
          <w:tcPr>
            <w:tcW w:w="852" w:type="dxa"/>
            <w:tcBorders>
              <w:top w:val="single" w:sz="6" w:space="0" w:color="000000"/>
              <w:left w:val="single" w:sz="14" w:space="0" w:color="FFFFFF"/>
              <w:bottom w:val="single" w:sz="12" w:space="0" w:color="000000"/>
              <w:right w:val="single" w:sz="6" w:space="0" w:color="000000"/>
            </w:tcBorders>
          </w:tcPr>
          <w:p>
            <w:pPr>
              <w:pStyle w:val="TableParagraph"/>
              <w:spacing w:line="316" w:lineRule="auto" w:before="51"/>
              <w:ind w:left="10"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5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0" w:right="13"/>
              <w:jc w:val="both"/>
              <w:rPr>
                <w:rFonts w:ascii="宋体" w:hAnsi="宋体" w:cs="宋体" w:eastAsia="宋体" w:hint="default"/>
                <w:sz w:val="18"/>
                <w:szCs w:val="18"/>
              </w:rPr>
            </w:pPr>
            <w:r>
              <w:rPr>
                <w:rFonts w:ascii="宋体" w:hAnsi="宋体" w:cs="宋体" w:eastAsia="宋体" w:hint="default"/>
                <w:spacing w:val="3"/>
                <w:sz w:val="18"/>
                <w:szCs w:val="18"/>
              </w:rPr>
              <w:t>光一投资、实际控制人龙昌明及关联人熊珂</w:t>
            </w:r>
            <w:r>
              <w:rPr>
                <w:rFonts w:ascii="宋体" w:hAnsi="宋体" w:cs="宋体" w:eastAsia="宋体" w:hint="default"/>
                <w:sz w:val="18"/>
                <w:szCs w:val="18"/>
              </w:rPr>
              <w:t> </w:t>
            </w:r>
            <w:r>
              <w:rPr>
                <w:rFonts w:ascii="宋体" w:hAnsi="宋体" w:cs="宋体" w:eastAsia="宋体" w:hint="default"/>
                <w:spacing w:val="-6"/>
                <w:sz w:val="18"/>
                <w:szCs w:val="18"/>
              </w:rPr>
              <w:t>分别出具《关于不占用资金的承诺函》，承诺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保证不利用控股股东</w:t>
            </w:r>
            <w:r>
              <w:rPr>
                <w:rFonts w:ascii="宋体" w:hAnsi="宋体" w:cs="宋体" w:eastAsia="宋体" w:hint="default"/>
                <w:spacing w:val="3"/>
                <w:sz w:val="18"/>
                <w:szCs w:val="18"/>
              </w:rPr>
              <w:t>/</w:t>
            </w:r>
            <w:r>
              <w:rPr>
                <w:rFonts w:ascii="宋体" w:hAnsi="宋体" w:cs="宋体" w:eastAsia="宋体" w:hint="default"/>
                <w:spacing w:val="3"/>
                <w:sz w:val="18"/>
                <w:szCs w:val="18"/>
              </w:rPr>
              <w:t>实际控制人</w:t>
            </w:r>
            <w:r>
              <w:rPr>
                <w:rFonts w:ascii="宋体" w:hAnsi="宋体" w:cs="宋体" w:eastAsia="宋体" w:hint="default"/>
                <w:spacing w:val="3"/>
                <w:sz w:val="18"/>
                <w:szCs w:val="18"/>
              </w:rPr>
              <w:t>/</w:t>
            </w:r>
            <w:r>
              <w:rPr>
                <w:rFonts w:ascii="宋体" w:hAnsi="宋体" w:cs="宋体" w:eastAsia="宋体" w:hint="default"/>
                <w:spacing w:val="3"/>
                <w:sz w:val="18"/>
                <w:szCs w:val="18"/>
              </w:rPr>
              <w:t>实际控制 人的一致行动人的地位，直接或间接地占用</w:t>
            </w:r>
            <w:r>
              <w:rPr>
                <w:rFonts w:ascii="宋体" w:hAnsi="宋体" w:cs="宋体" w:eastAsia="宋体" w:hint="default"/>
                <w:sz w:val="18"/>
                <w:szCs w:val="18"/>
              </w:rPr>
              <w:t> 公司资金。</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125"/>
        <w:gridCol w:w="1286"/>
        <w:gridCol w:w="852"/>
        <w:gridCol w:w="3543"/>
        <w:gridCol w:w="851"/>
        <w:gridCol w:w="805"/>
        <w:gridCol w:w="1107"/>
      </w:tblGrid>
      <w:tr>
        <w:trPr>
          <w:trHeight w:val="727" w:hRule="exact"/>
        </w:trPr>
        <w:tc>
          <w:tcPr>
            <w:tcW w:w="112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13" w:right="187"/>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286" w:type="dxa"/>
            <w:tcBorders>
              <w:top w:val="single" w:sz="12" w:space="0" w:color="000000"/>
              <w:left w:val="single" w:sz="14" w:space="0" w:color="D2D2D2"/>
              <w:bottom w:val="single" w:sz="6" w:space="0" w:color="000000"/>
              <w:right w:val="single" w:sz="6" w:space="0" w:color="000000"/>
            </w:tcBorders>
          </w:tcPr>
          <w:p>
            <w:pPr/>
          </w:p>
        </w:tc>
        <w:tc>
          <w:tcPr>
            <w:tcW w:w="852" w:type="dxa"/>
            <w:tcBorders>
              <w:top w:val="single" w:sz="12" w:space="0" w:color="000000"/>
              <w:left w:val="single" w:sz="6" w:space="0" w:color="000000"/>
              <w:bottom w:val="single" w:sz="6" w:space="0" w:color="000000"/>
              <w:right w:val="single" w:sz="6" w:space="0" w:color="000000"/>
            </w:tcBorders>
          </w:tcPr>
          <w:p>
            <w:pPr/>
          </w:p>
        </w:tc>
        <w:tc>
          <w:tcPr>
            <w:tcW w:w="3543" w:type="dxa"/>
            <w:tcBorders>
              <w:top w:val="single" w:sz="12" w:space="0" w:color="000000"/>
              <w:left w:val="single" w:sz="6" w:space="0" w:color="000000"/>
              <w:bottom w:val="single" w:sz="6" w:space="0" w:color="000000"/>
              <w:right w:val="single" w:sz="6" w:space="0" w:color="000000"/>
            </w:tcBorders>
          </w:tcPr>
          <w:p>
            <w:pPr/>
          </w:p>
        </w:tc>
        <w:tc>
          <w:tcPr>
            <w:tcW w:w="851" w:type="dxa"/>
            <w:tcBorders>
              <w:top w:val="single" w:sz="12" w:space="0" w:color="000000"/>
              <w:left w:val="single" w:sz="6" w:space="0" w:color="000000"/>
              <w:bottom w:val="single" w:sz="6" w:space="0" w:color="000000"/>
              <w:right w:val="single" w:sz="6" w:space="0" w:color="000000"/>
            </w:tcBorders>
          </w:tcPr>
          <w:p>
            <w:pPr/>
          </w:p>
        </w:tc>
        <w:tc>
          <w:tcPr>
            <w:tcW w:w="805" w:type="dxa"/>
            <w:tcBorders>
              <w:top w:val="single" w:sz="12" w:space="0" w:color="000000"/>
              <w:left w:val="single" w:sz="6" w:space="0" w:color="000000"/>
              <w:bottom w:val="single" w:sz="6" w:space="0" w:color="000000"/>
              <w:right w:val="single" w:sz="6" w:space="0" w:color="000000"/>
            </w:tcBorders>
          </w:tcPr>
          <w:p>
            <w:pPr/>
          </w:p>
        </w:tc>
        <w:tc>
          <w:tcPr>
            <w:tcW w:w="1107" w:type="dxa"/>
            <w:tcBorders>
              <w:top w:val="single" w:sz="12" w:space="0" w:color="000000"/>
              <w:left w:val="single" w:sz="6" w:space="0" w:color="000000"/>
              <w:bottom w:val="single" w:sz="6" w:space="0" w:color="000000"/>
              <w:right w:val="single" w:sz="12" w:space="0" w:color="000000"/>
            </w:tcBorders>
          </w:tcPr>
          <w:p>
            <w:pPr/>
          </w:p>
        </w:tc>
      </w:tr>
      <w:tr>
        <w:trPr>
          <w:trHeight w:val="1031" w:hRule="exact"/>
        </w:trPr>
        <w:tc>
          <w:tcPr>
            <w:tcW w:w="112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187"/>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286" w:type="dxa"/>
            <w:tcBorders>
              <w:top w:val="single" w:sz="6" w:space="0" w:color="000000"/>
              <w:left w:val="single" w:sz="14" w:space="0" w:color="D2D2D2"/>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3543"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107"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112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9" w:lineRule="auto" w:before="51"/>
              <w:ind w:left="13" w:right="187"/>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128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6" w:space="0" w:color="000000"/>
              <w:left w:val="single" w:sz="6" w:space="0" w:color="000000"/>
              <w:bottom w:val="single" w:sz="12" w:space="0" w:color="000000"/>
              <w:right w:val="single" w:sz="6" w:space="0" w:color="000000"/>
            </w:tcBorders>
            <w:shd w:val="clear" w:color="auto" w:fill="D2D2D2"/>
          </w:tcPr>
          <w:p>
            <w:pPr/>
          </w:p>
        </w:tc>
        <w:tc>
          <w:tcPr>
            <w:tcW w:w="3543" w:type="dxa"/>
            <w:tcBorders>
              <w:top w:val="single" w:sz="6" w:space="0" w:color="000000"/>
              <w:left w:val="single" w:sz="6" w:space="0" w:color="000000"/>
              <w:bottom w:val="single" w:sz="12" w:space="0" w:color="000000"/>
              <w:right w:val="single" w:sz="6" w:space="0" w:color="000000"/>
            </w:tcBorders>
            <w:shd w:val="clear" w:color="auto" w:fill="D2D2D2"/>
          </w:tcPr>
          <w:p>
            <w:pPr/>
          </w:p>
        </w:tc>
        <w:tc>
          <w:tcPr>
            <w:tcW w:w="851" w:type="dxa"/>
            <w:tcBorders>
              <w:top w:val="single" w:sz="6" w:space="0" w:color="000000"/>
              <w:left w:val="single" w:sz="6" w:space="0" w:color="000000"/>
              <w:bottom w:val="single" w:sz="12" w:space="0" w:color="000000"/>
              <w:right w:val="single" w:sz="6" w:space="0" w:color="000000"/>
            </w:tcBorders>
            <w:shd w:val="clear" w:color="auto" w:fill="D2D2D2"/>
          </w:tcPr>
          <w:p>
            <w:pPr/>
          </w:p>
        </w:tc>
        <w:tc>
          <w:tcPr>
            <w:tcW w:w="805" w:type="dxa"/>
            <w:tcBorders>
              <w:top w:val="single" w:sz="6" w:space="0" w:color="000000"/>
              <w:left w:val="single" w:sz="6" w:space="0" w:color="000000"/>
              <w:bottom w:val="single" w:sz="12" w:space="0" w:color="000000"/>
              <w:right w:val="single" w:sz="6" w:space="0" w:color="000000"/>
            </w:tcBorders>
            <w:shd w:val="clear" w:color="auto" w:fill="D2D2D2"/>
          </w:tcPr>
          <w:p>
            <w:pPr/>
          </w:p>
        </w:tc>
        <w:tc>
          <w:tcPr>
            <w:tcW w:w="1107" w:type="dxa"/>
            <w:tcBorders>
              <w:top w:val="single" w:sz="6" w:space="0" w:color="000000"/>
              <w:left w:val="single" w:sz="6" w:space="0" w:color="000000"/>
              <w:bottom w:val="single" w:sz="12" w:space="0" w:color="000000"/>
              <w:right w:val="single" w:sz="12" w:space="0" w:color="000000"/>
            </w:tcBorders>
            <w:shd w:val="clear" w:color="auto" w:fill="D2D2D2"/>
          </w:tcPr>
          <w:p>
            <w:pPr/>
          </w:p>
        </w:tc>
      </w:tr>
    </w:tbl>
    <w:p>
      <w:pPr>
        <w:spacing w:line="240" w:lineRule="auto" w:before="11"/>
        <w:rPr>
          <w:rFonts w:ascii="Times New Roman" w:hAnsi="Times New Roman" w:cs="Times New Roman" w:eastAsia="Times New Roman" w:hint="default"/>
          <w:sz w:val="15"/>
          <w:szCs w:val="15"/>
        </w:rPr>
      </w:pPr>
    </w:p>
    <w:p>
      <w:pPr>
        <w:pStyle w:val="Heading4"/>
        <w:spacing w:line="408" w:lineRule="auto" w:before="35"/>
        <w:ind w:right="1122"/>
        <w:jc w:val="left"/>
        <w:rPr>
          <w:b w:val="0"/>
          <w:bCs w:val="0"/>
        </w:rPr>
      </w:pPr>
      <w:bookmarkStart w:name="2、公司资产或项目存在盈利预测，且报告期仍处在盈利预测期间，公司就资产或项目达到" w:id="67"/>
      <w:bookmarkEnd w:id="67"/>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73"/>
        </w:rPr>
        <w:t> </w:t>
      </w:r>
      <w:r>
        <w:rPr>
          <w:spacing w:val="-73"/>
        </w:rPr>
      </w:r>
      <w:r>
        <w:rPr/>
        <w:t>其原因做出说明</w:t>
      </w:r>
      <w:r>
        <w:rPr>
          <w:b w:val="0"/>
          <w:bCs w:val="0"/>
        </w:rPr>
      </w:r>
    </w:p>
    <w:p>
      <w:pPr>
        <w:pStyle w:val="BodyText"/>
        <w:spacing w:line="240" w:lineRule="auto"/>
        <w:ind w:right="1122"/>
        <w:jc w:val="left"/>
      </w:pPr>
      <w:r>
        <w:rPr/>
        <w:t>□ 适用 √</w:t>
      </w:r>
      <w:r>
        <w:rPr>
          <w:spacing w:val="-1"/>
        </w:rPr>
        <w:t> </w:t>
      </w:r>
      <w:r>
        <w:rPr/>
        <w:t>不适用</w:t>
      </w:r>
    </w:p>
    <w:p>
      <w:pPr>
        <w:pStyle w:val="Heading2"/>
        <w:spacing w:line="240" w:lineRule="auto" w:before="170"/>
        <w:ind w:right="1122"/>
        <w:jc w:val="left"/>
        <w:rPr>
          <w:b w:val="0"/>
          <w:bCs w:val="0"/>
        </w:rPr>
      </w:pPr>
      <w:bookmarkStart w:name="三、控股股东及其关联方对上市公司的非经营性占用资金情况" w:id="68"/>
      <w:bookmarkEnd w:id="68"/>
      <w:r>
        <w:rPr>
          <w:b w:val="0"/>
          <w:bCs w:val="0"/>
        </w:rPr>
      </w:r>
      <w:r>
        <w:rPr/>
        <w:t>三、控股股东及其关联方对上市公司的非经营性占用资金情况</w:t>
      </w:r>
      <w:r>
        <w:rPr>
          <w:b w:val="0"/>
          <w:bCs w:val="0"/>
        </w:rPr>
      </w:r>
    </w:p>
    <w:p>
      <w:pPr>
        <w:pStyle w:val="BodyText"/>
        <w:spacing w:line="240" w:lineRule="auto" w:before="177"/>
        <w:ind w:right="1122"/>
        <w:jc w:val="left"/>
      </w:pPr>
      <w:r>
        <w:rPr/>
        <w:t>□ 适用 √</w:t>
      </w:r>
      <w:r>
        <w:rPr>
          <w:spacing w:val="-1"/>
        </w:rPr>
        <w:t> </w:t>
      </w:r>
      <w:r>
        <w:rPr/>
        <w:t>不适用</w:t>
      </w:r>
    </w:p>
    <w:p>
      <w:pPr>
        <w:pStyle w:val="Heading2"/>
        <w:spacing w:line="240" w:lineRule="auto" w:before="170"/>
        <w:ind w:right="1122"/>
        <w:jc w:val="left"/>
        <w:rPr>
          <w:b w:val="0"/>
          <w:bCs w:val="0"/>
        </w:rPr>
      </w:pPr>
      <w:bookmarkStart w:name="四、董事会对最近一期“非标准审计报告”相关情况的说明" w:id="69"/>
      <w:bookmarkEnd w:id="69"/>
      <w:r>
        <w:rPr>
          <w:b w:val="0"/>
          <w:bCs w:val="0"/>
        </w:rPr>
      </w:r>
      <w:r>
        <w:rPr/>
        <w:t>四、董事会对最近一期“非标准审计报告”相关情况的说明</w:t>
      </w:r>
      <w:r>
        <w:rPr>
          <w:b w:val="0"/>
          <w:bCs w:val="0"/>
        </w:rPr>
      </w:r>
    </w:p>
    <w:p>
      <w:pPr>
        <w:spacing w:line="240" w:lineRule="auto" w:before="8"/>
        <w:rPr>
          <w:rFonts w:ascii="宋体" w:hAnsi="宋体" w:cs="宋体" w:eastAsia="宋体" w:hint="default"/>
          <w:b/>
          <w:bCs/>
          <w:sz w:val="16"/>
          <w:szCs w:val="16"/>
        </w:rPr>
      </w:pPr>
    </w:p>
    <w:p>
      <w:pPr>
        <w:pStyle w:val="BodyText"/>
        <w:spacing w:line="240" w:lineRule="auto" w:before="0"/>
        <w:ind w:right="1122"/>
        <w:jc w:val="left"/>
      </w:pPr>
      <w:r>
        <w:rPr/>
        <w:t>□ 适用 √</w:t>
      </w:r>
      <w:r>
        <w:rPr>
          <w:spacing w:val="-1"/>
        </w:rPr>
        <w:t> </w:t>
      </w:r>
      <w:r>
        <w:rPr/>
        <w:t>不适用</w:t>
      </w:r>
    </w:p>
    <w:p>
      <w:pPr>
        <w:pStyle w:val="Heading2"/>
        <w:spacing w:line="240" w:lineRule="auto" w:before="169"/>
        <w:ind w:right="0"/>
        <w:jc w:val="left"/>
        <w:rPr>
          <w:b w:val="0"/>
          <w:bCs w:val="0"/>
        </w:rPr>
      </w:pPr>
      <w:bookmarkStart w:name="五、董事会、监事会、独立董事（如有）对会计师事务所本报告期“非标准审计报告”的说" w:id="70"/>
      <w:bookmarkEnd w:id="70"/>
      <w:r>
        <w:rPr>
          <w:b w:val="0"/>
          <w:bCs w:val="0"/>
        </w:rPr>
      </w:r>
      <w:r>
        <w:rPr>
          <w:spacing w:val="-3"/>
        </w:rPr>
        <w:t>五、董事会、监事会、独立董事（如有）对会计师事务所本报告期“非标准审计报告”的说明</w:t>
      </w:r>
      <w:r>
        <w:rPr>
          <w:b w:val="0"/>
          <w:bCs w:val="0"/>
          <w:spacing w:val="-3"/>
        </w:rPr>
      </w:r>
    </w:p>
    <w:p>
      <w:pPr>
        <w:spacing w:line="240" w:lineRule="auto" w:before="8"/>
        <w:rPr>
          <w:rFonts w:ascii="宋体" w:hAnsi="宋体" w:cs="宋体" w:eastAsia="宋体" w:hint="default"/>
          <w:b/>
          <w:bCs/>
          <w:sz w:val="16"/>
          <w:szCs w:val="16"/>
        </w:rPr>
      </w:pPr>
    </w:p>
    <w:p>
      <w:pPr>
        <w:pStyle w:val="BodyText"/>
        <w:spacing w:line="240" w:lineRule="auto" w:before="0"/>
        <w:ind w:right="1122"/>
        <w:jc w:val="left"/>
      </w:pPr>
      <w:r>
        <w:rPr/>
        <w:t>□ 适用 √</w:t>
      </w:r>
      <w:r>
        <w:rPr>
          <w:spacing w:val="-1"/>
        </w:rPr>
        <w:t> </w:t>
      </w:r>
      <w:r>
        <w:rPr/>
        <w:t>不适用</w:t>
      </w:r>
    </w:p>
    <w:p>
      <w:pPr>
        <w:pStyle w:val="Heading2"/>
        <w:spacing w:line="240" w:lineRule="auto" w:before="170"/>
        <w:ind w:right="1122"/>
        <w:jc w:val="left"/>
        <w:rPr>
          <w:b w:val="0"/>
          <w:bCs w:val="0"/>
        </w:rPr>
      </w:pPr>
      <w:bookmarkStart w:name="六、董事会关于报告期会计政策、会计估计变更或重大会计差错更正的说明" w:id="71"/>
      <w:bookmarkEnd w:id="71"/>
      <w:r>
        <w:rPr>
          <w:b w:val="0"/>
          <w:bCs w:val="0"/>
        </w:rPr>
      </w:r>
      <w:r>
        <w:rPr/>
        <w:t>六、董事会关于报告期会计政策、会计估计变更或重大会计差错更正的说明</w:t>
      </w:r>
      <w:r>
        <w:rPr>
          <w:b w:val="0"/>
          <w:bCs w:val="0"/>
        </w:rPr>
      </w:r>
    </w:p>
    <w:p>
      <w:pPr>
        <w:pStyle w:val="BodyText"/>
        <w:spacing w:line="408" w:lineRule="auto" w:before="177"/>
        <w:ind w:left="577" w:right="1122" w:hanging="424"/>
        <w:jc w:val="left"/>
      </w:pPr>
      <w:r>
        <w:rPr/>
        <w:t>√ 适用 □</w:t>
      </w:r>
      <w:r>
        <w:rPr>
          <w:spacing w:val="-1"/>
        </w:rPr>
        <w:t> </w:t>
      </w:r>
      <w:r>
        <w:rPr/>
        <w:t>不适用</w:t>
      </w:r>
      <w:r>
        <w:rPr/>
        <w:t> </w:t>
      </w:r>
      <w:r>
        <w:rPr>
          <w:rFonts w:ascii="宋体" w:hAnsi="宋体" w:cs="宋体" w:eastAsia="宋体" w:hint="default"/>
        </w:rPr>
        <w:t>1</w:t>
      </w:r>
      <w:r>
        <w:rPr/>
        <w:t>、根据财政部《关于修订印发一般企业财务报表格式的通知》（财会</w:t>
      </w:r>
      <w:r>
        <w:rPr>
          <w:rFonts w:ascii="宋体" w:hAnsi="宋体" w:cs="宋体" w:eastAsia="宋体" w:hint="default"/>
        </w:rPr>
        <w:t>[2017]30</w:t>
      </w:r>
      <w:r>
        <w:rPr/>
        <w:t>号）的要求，公司于</w:t>
      </w:r>
    </w:p>
    <w:p>
      <w:pPr>
        <w:pStyle w:val="BodyText"/>
        <w:spacing w:line="408" w:lineRule="auto"/>
        <w:ind w:right="1131"/>
        <w:jc w:val="both"/>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日召开第三届董事会第二十次会议审议通过了《关于会计政策变更的议案》，本次会计政策</w:t>
      </w:r>
      <w:r>
        <w:rPr>
          <w:spacing w:val="-36"/>
        </w:rPr>
        <w:t> </w:t>
      </w:r>
      <w:r>
        <w:rPr>
          <w:spacing w:val="-36"/>
        </w:rPr>
      </w:r>
      <w:r>
        <w:rPr>
          <w:spacing w:val="-1"/>
        </w:rPr>
        <w:t>变更为修改财务报表列报，对公司当期及前期列报净损益亦无影响，具体内容详见《关于会计政策变更的</w:t>
      </w:r>
      <w:r>
        <w:rPr>
          <w:spacing w:val="-83"/>
        </w:rPr>
        <w:t> </w:t>
      </w:r>
      <w:r>
        <w:rPr>
          <w:spacing w:val="-83"/>
        </w:rPr>
      </w:r>
      <w:r>
        <w:rPr/>
        <w:t>公告》（公告编号</w:t>
      </w:r>
      <w:r>
        <w:rPr>
          <w:rFonts w:ascii="宋体" w:hAnsi="宋体" w:cs="宋体" w:eastAsia="宋体" w:hint="default"/>
        </w:rPr>
        <w:t>2018-046</w:t>
      </w:r>
      <w:r>
        <w:rPr/>
        <w:t>）。</w:t>
      </w:r>
    </w:p>
    <w:p>
      <w:pPr>
        <w:pStyle w:val="BodyText"/>
        <w:spacing w:line="408" w:lineRule="auto"/>
        <w:ind w:right="1131" w:firstLine="423"/>
        <w:jc w:val="both"/>
      </w:pPr>
      <w:r>
        <w:rPr>
          <w:rFonts w:ascii="宋体" w:hAnsi="宋体" w:cs="宋体" w:eastAsia="宋体" w:hint="default"/>
          <w:spacing w:val="-3"/>
        </w:rPr>
        <w:t>2</w:t>
      </w:r>
      <w:r>
        <w:rPr>
          <w:spacing w:val="-3"/>
        </w:rPr>
        <w:t>、根据财政部《关于修订印发</w:t>
      </w:r>
      <w:r>
        <w:rPr>
          <w:rFonts w:ascii="宋体" w:hAnsi="宋体" w:cs="宋体" w:eastAsia="宋体" w:hint="default"/>
          <w:spacing w:val="-3"/>
        </w:rPr>
        <w:t>2018</w:t>
      </w:r>
      <w:r>
        <w:rPr>
          <w:spacing w:val="-3"/>
        </w:rPr>
        <w:t>年度一般企业财务报表格式的通知》（财会</w:t>
      </w:r>
      <w:r>
        <w:rPr>
          <w:rFonts w:ascii="宋体" w:hAnsi="宋体" w:cs="宋体" w:eastAsia="宋体" w:hint="default"/>
          <w:spacing w:val="-3"/>
        </w:rPr>
        <w:t>[2018]15</w:t>
      </w:r>
      <w:r>
        <w:rPr>
          <w:spacing w:val="-3"/>
        </w:rPr>
        <w:t>号）的要求，</w:t>
      </w:r>
      <w:r>
        <w:rPr/>
        <w:t> </w:t>
      </w: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26</w:t>
      </w:r>
      <w:r>
        <w:rPr>
          <w:spacing w:val="-1"/>
        </w:rPr>
        <w:t>日召开第三届董事会第二十六次会议审议通过了《关于财务报表格式之会计政策变更</w:t>
      </w:r>
      <w:r>
        <w:rPr>
          <w:spacing w:val="-81"/>
        </w:rPr>
        <w:t> </w:t>
      </w:r>
      <w:r>
        <w:rPr>
          <w:spacing w:val="-81"/>
        </w:rPr>
      </w:r>
      <w:r>
        <w:rPr>
          <w:spacing w:val="-1"/>
        </w:rPr>
        <w:t>的议案》，本次会计政策变更仅涉及财务报表部分项目的汇总或分列列报，对公司资产总额、净资产、营</w:t>
      </w:r>
      <w:r>
        <w:rPr>
          <w:spacing w:val="-82"/>
        </w:rPr>
        <w:t> </w:t>
      </w:r>
      <w:r>
        <w:rPr>
          <w:spacing w:val="-82"/>
        </w:rPr>
      </w:r>
      <w:r>
        <w:rPr>
          <w:spacing w:val="-1"/>
        </w:rPr>
        <w:t>业收入、净利润均无实质性影响，具体内容详见《关于财务报表格式之会计政策变更的公告》（公告编号</w:t>
      </w:r>
      <w:r>
        <w:rPr>
          <w:spacing w:val="-83"/>
        </w:rPr>
        <w:t> </w:t>
      </w:r>
      <w:r>
        <w:rPr>
          <w:spacing w:val="-83"/>
        </w:rPr>
      </w:r>
      <w:r>
        <w:rPr>
          <w:rFonts w:ascii="宋体" w:hAnsi="宋体" w:cs="宋体" w:eastAsia="宋体" w:hint="default"/>
        </w:rPr>
        <w:t>2018-101</w:t>
      </w:r>
      <w:r>
        <w:rPr/>
        <w:t>）。</w:t>
      </w:r>
    </w:p>
    <w:p>
      <w:pPr>
        <w:pStyle w:val="Heading2"/>
        <w:spacing w:line="240" w:lineRule="auto" w:before="23"/>
        <w:ind w:right="1122"/>
        <w:jc w:val="left"/>
        <w:rPr>
          <w:b w:val="0"/>
          <w:bCs w:val="0"/>
        </w:rPr>
      </w:pPr>
      <w:bookmarkStart w:name="七、与上年度财务报告相比，合并报表范围发生变化的情况说明" w:id="72"/>
      <w:bookmarkEnd w:id="72"/>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16"/>
          <w:szCs w:val="16"/>
        </w:rPr>
      </w:pPr>
    </w:p>
    <w:p>
      <w:pPr>
        <w:pStyle w:val="BodyText"/>
        <w:spacing w:line="408" w:lineRule="auto" w:before="0"/>
        <w:ind w:left="577" w:right="1122" w:hanging="424"/>
        <w:jc w:val="left"/>
      </w:pPr>
      <w:r>
        <w:rPr/>
        <w:t>√ 适用 □</w:t>
      </w:r>
      <w:r>
        <w:rPr>
          <w:spacing w:val="-1"/>
        </w:rPr>
        <w:t> </w:t>
      </w:r>
      <w:r>
        <w:rPr/>
        <w:t>不适用</w:t>
      </w:r>
      <w:r>
        <w:rPr/>
        <w:t> </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13</w:t>
      </w:r>
      <w:r>
        <w:rPr/>
        <w:t>日经第三届董事会第十九次会议审议通过了《关于全资子公司参与设立产业投资基金的</w:t>
      </w:r>
    </w:p>
    <w:p>
      <w:pPr>
        <w:pStyle w:val="BodyText"/>
        <w:spacing w:line="240" w:lineRule="auto"/>
        <w:ind w:right="0"/>
        <w:jc w:val="left"/>
      </w:pPr>
      <w:r>
        <w:rPr/>
        <w:t>议案》，同意全资子公司江苏光一贵仁股权投资基金管理有限公司作为普通合伙人出资成立南京领航光一</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7" w:right="1122" w:hanging="424"/>
        <w:jc w:val="left"/>
      </w:pPr>
      <w:r>
        <w:rPr/>
        <w:t>科技产业投资合伙企业（有限合伙），该合伙企业自成立之日起纳入合并范围。 </w:t>
      </w:r>
      <w:r>
        <w:rPr>
          <w:spacing w:val="-1"/>
        </w:rPr>
        <w:t>报告期内，控股子公司南京云商天下信息技术有限公司清算注销了孙公司云商天下信息技术河北有限</w:t>
      </w:r>
    </w:p>
    <w:p>
      <w:pPr>
        <w:spacing w:line="381" w:lineRule="auto" w:before="46"/>
        <w:ind w:left="154" w:right="6972" w:firstLine="0"/>
        <w:jc w:val="left"/>
        <w:rPr>
          <w:rFonts w:ascii="宋体" w:hAnsi="宋体" w:cs="宋体" w:eastAsia="宋体" w:hint="default"/>
          <w:sz w:val="21"/>
          <w:szCs w:val="21"/>
        </w:rPr>
      </w:pPr>
      <w:r>
        <w:rPr>
          <w:rFonts w:ascii="宋体" w:hAnsi="宋体" w:cs="宋体" w:eastAsia="宋体" w:hint="default"/>
          <w:sz w:val="21"/>
          <w:szCs w:val="21"/>
        </w:rPr>
        <w:t>公司，自清算后不再纳入公司合并范围。 </w:t>
      </w:r>
      <w:bookmarkStart w:name="八、聘任、解聘会计师事务所情况" w:id="73"/>
      <w:bookmarkEnd w:id="73"/>
      <w:r>
        <w:rPr>
          <w:rFonts w:ascii="宋体" w:hAnsi="宋体" w:cs="宋体" w:eastAsia="宋体" w:hint="default"/>
          <w:sz w:val="21"/>
          <w:szCs w:val="21"/>
        </w:rPr>
      </w:r>
      <w:r>
        <w:rPr>
          <w:rFonts w:ascii="宋体" w:hAnsi="宋体" w:cs="宋体" w:eastAsia="宋体" w:hint="default"/>
          <w:b/>
          <w:bCs/>
          <w:sz w:val="24"/>
          <w:szCs w:val="24"/>
        </w:rPr>
        <w:t>八、聘任、解聘会计师事务所情况</w:t>
      </w:r>
      <w:r>
        <w:rPr>
          <w:rFonts w:ascii="宋体" w:hAnsi="宋体" w:cs="宋体" w:eastAsia="宋体" w:hint="default"/>
          <w:b/>
          <w:bCs/>
          <w:w w:val="99"/>
          <w:sz w:val="24"/>
          <w:szCs w:val="24"/>
        </w:rPr>
        <w:t> </w:t>
      </w:r>
      <w:r>
        <w:rPr>
          <w:rFonts w:ascii="宋体" w:hAnsi="宋体" w:cs="宋体" w:eastAsia="宋体" w:hint="default"/>
          <w:sz w:val="21"/>
          <w:szCs w:val="21"/>
        </w:rPr>
        <w:t>现聘任的会计事务所</w:t>
      </w:r>
    </w:p>
    <w:p>
      <w:pPr>
        <w:spacing w:before="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793"/>
        <w:gridCol w:w="4776"/>
      </w:tblGrid>
      <w:tr>
        <w:trPr>
          <w:trHeight w:val="415" w:hRule="exact"/>
        </w:trPr>
        <w:tc>
          <w:tcPr>
            <w:tcW w:w="47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7" w:hRule="exact"/>
        </w:trPr>
        <w:tc>
          <w:tcPr>
            <w:tcW w:w="4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w:t>
            </w:r>
          </w:p>
        </w:tc>
        <w:tc>
          <w:tcPr>
            <w:tcW w:w="47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65</w:t>
            </w:r>
          </w:p>
        </w:tc>
      </w:tr>
      <w:tr>
        <w:trPr>
          <w:trHeight w:val="407" w:hRule="exact"/>
        </w:trPr>
        <w:tc>
          <w:tcPr>
            <w:tcW w:w="4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7</w:t>
            </w:r>
          </w:p>
        </w:tc>
      </w:tr>
      <w:tr>
        <w:trPr>
          <w:trHeight w:val="407" w:hRule="exact"/>
        </w:trPr>
        <w:tc>
          <w:tcPr>
            <w:tcW w:w="4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sz w:val="18"/>
                <w:szCs w:val="18"/>
              </w:rPr>
              <w:t>文爱凤、陈芝莲</w:t>
            </w:r>
          </w:p>
        </w:tc>
      </w:tr>
      <w:tr>
        <w:trPr>
          <w:trHeight w:val="414" w:hRule="exact"/>
        </w:trPr>
        <w:tc>
          <w:tcPr>
            <w:tcW w:w="47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w:t>
            </w:r>
          </w:p>
        </w:tc>
      </w:tr>
    </w:tbl>
    <w:p>
      <w:pPr>
        <w:pStyle w:val="BodyText"/>
        <w:spacing w:line="240" w:lineRule="auto" w:before="63"/>
        <w:ind w:right="1122"/>
        <w:jc w:val="left"/>
      </w:pPr>
      <w:r>
        <w:rPr/>
        <w:t>是否改聘会计师事务所</w:t>
      </w:r>
    </w:p>
    <w:p>
      <w:pPr>
        <w:spacing w:line="240" w:lineRule="auto" w:before="10"/>
        <w:rPr>
          <w:rFonts w:ascii="宋体" w:hAnsi="宋体" w:cs="宋体" w:eastAsia="宋体" w:hint="default"/>
          <w:sz w:val="14"/>
          <w:szCs w:val="14"/>
        </w:rPr>
      </w:pPr>
    </w:p>
    <w:p>
      <w:pPr>
        <w:pStyle w:val="BodyText"/>
        <w:spacing w:line="408" w:lineRule="auto" w:before="0"/>
        <w:ind w:right="5502"/>
        <w:jc w:val="left"/>
      </w:pPr>
      <w:r>
        <w:rPr/>
        <w:t>□ 是 √ 否 聘请内部控制审计会计师事务所、财务顾问或保荐人情况</w:t>
      </w:r>
    </w:p>
    <w:p>
      <w:pPr>
        <w:pStyle w:val="BodyText"/>
        <w:spacing w:line="240" w:lineRule="auto"/>
        <w:ind w:right="1122"/>
        <w:jc w:val="left"/>
      </w:pPr>
      <w:r>
        <w:rPr/>
        <w:t>□ 适用 √</w:t>
      </w:r>
      <w:r>
        <w:rPr>
          <w:spacing w:val="-1"/>
        </w:rPr>
        <w:t> </w:t>
      </w:r>
      <w:r>
        <w:rPr/>
        <w:t>不适用</w:t>
      </w:r>
    </w:p>
    <w:p>
      <w:pPr>
        <w:pStyle w:val="Heading2"/>
        <w:spacing w:line="240" w:lineRule="auto" w:before="170"/>
        <w:ind w:right="1122"/>
        <w:jc w:val="left"/>
        <w:rPr>
          <w:b w:val="0"/>
          <w:bCs w:val="0"/>
        </w:rPr>
      </w:pPr>
      <w:bookmarkStart w:name="九、年度报告披露后面临暂停上市和终止上市情况" w:id="74"/>
      <w:bookmarkEnd w:id="74"/>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16"/>
          <w:szCs w:val="16"/>
        </w:rPr>
      </w:pPr>
    </w:p>
    <w:p>
      <w:pPr>
        <w:pStyle w:val="BodyText"/>
        <w:spacing w:line="240" w:lineRule="auto" w:before="0"/>
        <w:ind w:right="1122"/>
        <w:jc w:val="left"/>
      </w:pPr>
      <w:r>
        <w:rPr/>
        <w:t>□ 适用 √</w:t>
      </w:r>
      <w:r>
        <w:rPr>
          <w:spacing w:val="-1"/>
        </w:rPr>
        <w:t> </w:t>
      </w:r>
      <w:r>
        <w:rPr/>
        <w:t>不适用</w:t>
      </w:r>
    </w:p>
    <w:p>
      <w:pPr>
        <w:pStyle w:val="Heading2"/>
        <w:spacing w:line="240" w:lineRule="auto" w:before="170"/>
        <w:ind w:right="1122"/>
        <w:jc w:val="left"/>
        <w:rPr>
          <w:b w:val="0"/>
          <w:bCs w:val="0"/>
        </w:rPr>
      </w:pPr>
      <w:bookmarkStart w:name="十、破产重整相关事项" w:id="75"/>
      <w:bookmarkEnd w:id="75"/>
      <w:r>
        <w:rPr>
          <w:b w:val="0"/>
          <w:bCs w:val="0"/>
        </w:rPr>
      </w:r>
      <w:r>
        <w:rPr/>
        <w:t>十、破产重整相关事项</w:t>
      </w:r>
      <w:r>
        <w:rPr>
          <w:b w:val="0"/>
          <w:bCs w:val="0"/>
        </w:rPr>
      </w:r>
    </w:p>
    <w:p>
      <w:pPr>
        <w:spacing w:line="240" w:lineRule="auto" w:before="8"/>
        <w:rPr>
          <w:rFonts w:ascii="宋体" w:hAnsi="宋体" w:cs="宋体" w:eastAsia="宋体" w:hint="default"/>
          <w:b/>
          <w:bCs/>
          <w:sz w:val="16"/>
          <w:szCs w:val="16"/>
        </w:rPr>
      </w:pPr>
    </w:p>
    <w:p>
      <w:pPr>
        <w:pStyle w:val="BodyText"/>
        <w:spacing w:line="240" w:lineRule="auto" w:before="0"/>
        <w:ind w:right="1122"/>
        <w:jc w:val="left"/>
      </w:pPr>
      <w:r>
        <w:rPr/>
        <w:t>□ 适用 √</w:t>
      </w:r>
      <w:r>
        <w:rPr>
          <w:spacing w:val="-1"/>
        </w:rPr>
        <w:t> </w:t>
      </w:r>
      <w:r>
        <w:rPr/>
        <w:t>不适用</w:t>
      </w:r>
    </w:p>
    <w:p>
      <w:pPr>
        <w:pStyle w:val="Heading2"/>
        <w:spacing w:line="240" w:lineRule="auto" w:before="169"/>
        <w:ind w:right="1122"/>
        <w:jc w:val="left"/>
        <w:rPr>
          <w:b w:val="0"/>
          <w:bCs w:val="0"/>
        </w:rPr>
      </w:pPr>
      <w:bookmarkStart w:name="十一、重大诉讼、仲裁事项" w:id="76"/>
      <w:bookmarkEnd w:id="76"/>
      <w:r>
        <w:rPr>
          <w:b w:val="0"/>
          <w:bCs w:val="0"/>
        </w:rPr>
      </w:r>
      <w:r>
        <w:rPr/>
        <w:t>十一、重大诉讼、仲裁事项</w:t>
      </w:r>
      <w:r>
        <w:rPr>
          <w:b w:val="0"/>
          <w:bCs w:val="0"/>
        </w:rPr>
      </w:r>
    </w:p>
    <w:p>
      <w:pPr>
        <w:pStyle w:val="BodyText"/>
        <w:spacing w:line="240" w:lineRule="auto" w:before="177"/>
        <w:ind w:right="1122"/>
        <w:jc w:val="left"/>
      </w:pPr>
      <w:r>
        <w:rPr/>
        <w:t>□ 适用 √</w:t>
      </w:r>
      <w:r>
        <w:rPr>
          <w:spacing w:val="-1"/>
        </w:rPr>
        <w:t> </w:t>
      </w:r>
      <w:r>
        <w:rPr/>
        <w:t>不适用</w:t>
      </w:r>
    </w:p>
    <w:p>
      <w:pPr>
        <w:pStyle w:val="Heading2"/>
        <w:spacing w:line="240" w:lineRule="auto" w:before="170"/>
        <w:ind w:right="1122"/>
        <w:jc w:val="left"/>
        <w:rPr>
          <w:b w:val="0"/>
          <w:bCs w:val="0"/>
        </w:rPr>
      </w:pPr>
      <w:bookmarkStart w:name="十二、处罚及整改情况" w:id="77"/>
      <w:bookmarkEnd w:id="77"/>
      <w:r>
        <w:rPr>
          <w:b w:val="0"/>
          <w:bCs w:val="0"/>
        </w:rPr>
      </w:r>
      <w:r>
        <w:rPr/>
        <w:t>十二、处罚及整改情况</w:t>
      </w:r>
      <w:r>
        <w:rPr>
          <w:b w:val="0"/>
          <w:bCs w:val="0"/>
        </w:rPr>
      </w:r>
    </w:p>
    <w:p>
      <w:pPr>
        <w:spacing w:line="240" w:lineRule="auto" w:before="8"/>
        <w:rPr>
          <w:rFonts w:ascii="宋体" w:hAnsi="宋体" w:cs="宋体" w:eastAsia="宋体" w:hint="default"/>
          <w:b/>
          <w:bCs/>
          <w:sz w:val="16"/>
          <w:szCs w:val="16"/>
        </w:rPr>
      </w:pPr>
    </w:p>
    <w:p>
      <w:pPr>
        <w:pStyle w:val="BodyText"/>
        <w:spacing w:line="240" w:lineRule="auto" w:before="0"/>
        <w:ind w:right="1122"/>
        <w:jc w:val="left"/>
      </w:pPr>
      <w:r>
        <w:rPr/>
        <w:t>□ 适用 √</w:t>
      </w:r>
      <w:r>
        <w:rPr>
          <w:spacing w:val="-1"/>
        </w:rPr>
        <w:t> </w:t>
      </w:r>
      <w:r>
        <w:rPr/>
        <w:t>不适用</w:t>
      </w:r>
    </w:p>
    <w:p>
      <w:pPr>
        <w:pStyle w:val="Heading2"/>
        <w:spacing w:line="240" w:lineRule="auto" w:before="169"/>
        <w:ind w:right="1122"/>
        <w:jc w:val="left"/>
        <w:rPr>
          <w:b w:val="0"/>
          <w:bCs w:val="0"/>
        </w:rPr>
      </w:pPr>
      <w:bookmarkStart w:name="十三、公司及其控股股东、实际控制人的诚信状况" w:id="78"/>
      <w:bookmarkEnd w:id="78"/>
      <w:r>
        <w:rPr>
          <w:b w:val="0"/>
          <w:bCs w:val="0"/>
        </w:rPr>
      </w:r>
      <w:r>
        <w:rPr/>
        <w:t>十三、公司及其控股股东、实际控制人的诚信状况</w:t>
      </w:r>
      <w:r>
        <w:rPr>
          <w:b w:val="0"/>
          <w:bCs w:val="0"/>
        </w:rPr>
      </w:r>
    </w:p>
    <w:p>
      <w:pPr>
        <w:pStyle w:val="BodyText"/>
        <w:spacing w:line="408" w:lineRule="auto" w:before="177"/>
        <w:ind w:left="574" w:right="0" w:hanging="420"/>
        <w:jc w:val="left"/>
      </w:pPr>
      <w:r>
        <w:rPr/>
        <w:t>√ 适用 □</w:t>
      </w:r>
      <w:r>
        <w:rPr>
          <w:spacing w:val="-1"/>
        </w:rPr>
        <w:t> </w:t>
      </w:r>
      <w:r>
        <w:rPr/>
        <w:t>不适用</w:t>
      </w:r>
      <w:r>
        <w:rPr/>
        <w:t> </w:t>
      </w:r>
      <w:r>
        <w:rPr>
          <w:spacing w:val="-3"/>
        </w:rPr>
        <w:t>公司分别于</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28</w:t>
      </w:r>
      <w:r>
        <w:rPr>
          <w:spacing w:val="-3"/>
        </w:rPr>
        <w:t>日、</w:t>
      </w:r>
      <w:r>
        <w:rPr>
          <w:rFonts w:ascii="宋体" w:hAnsi="宋体" w:cs="宋体" w:eastAsia="宋体" w:hint="default"/>
          <w:spacing w:val="-3"/>
        </w:rPr>
        <w:t>6</w:t>
      </w:r>
      <w:r>
        <w:rPr>
          <w:spacing w:val="-3"/>
        </w:rPr>
        <w:t>月</w:t>
      </w:r>
      <w:r>
        <w:rPr>
          <w:rFonts w:ascii="宋体" w:hAnsi="宋体" w:cs="宋体" w:eastAsia="宋体" w:hint="default"/>
          <w:spacing w:val="-3"/>
        </w:rPr>
        <w:t>29</w:t>
      </w:r>
      <w:r>
        <w:rPr>
          <w:spacing w:val="-3"/>
        </w:rPr>
        <w:t>日披露了《关于实际控制人及控股股东股权质押风险的提示性公告》</w:t>
      </w:r>
    </w:p>
    <w:p>
      <w:pPr>
        <w:pStyle w:val="BodyText"/>
        <w:spacing w:line="408" w:lineRule="auto"/>
        <w:ind w:right="1132"/>
        <w:jc w:val="left"/>
      </w:pPr>
      <w:r>
        <w:rPr>
          <w:spacing w:val="-1"/>
        </w:rPr>
        <w:t>（公告编号</w:t>
      </w:r>
      <w:r>
        <w:rPr>
          <w:rFonts w:ascii="宋体" w:hAnsi="宋体" w:cs="宋体" w:eastAsia="宋体" w:hint="default"/>
          <w:spacing w:val="-1"/>
        </w:rPr>
        <w:t>2018-068</w:t>
      </w:r>
      <w:r>
        <w:rPr>
          <w:spacing w:val="-1"/>
        </w:rPr>
        <w:t>）、《关于实际控制人及控股股东股权质押违约风险及采取措施消除风险的提示性公</w:t>
      </w:r>
      <w:r>
        <w:rPr>
          <w:spacing w:val="-80"/>
        </w:rPr>
        <w:t> </w:t>
      </w:r>
      <w:r>
        <w:rPr>
          <w:spacing w:val="-80"/>
        </w:rPr>
      </w:r>
      <w:r>
        <w:rPr/>
        <w:t>告》（公告编号</w:t>
      </w:r>
      <w:r>
        <w:rPr>
          <w:rFonts w:ascii="宋体" w:hAnsi="宋体" w:cs="宋体" w:eastAsia="宋体" w:hint="default"/>
        </w:rPr>
        <w:t>2018-070</w:t>
      </w:r>
      <w:r>
        <w:rPr/>
        <w:t>），详细说明了龙昌明先生及光一投资的股份质押情况。</w:t>
      </w:r>
    </w:p>
    <w:p>
      <w:pPr>
        <w:pStyle w:val="BodyText"/>
        <w:spacing w:line="408" w:lineRule="auto"/>
        <w:ind w:right="1132" w:firstLine="420"/>
        <w:jc w:val="left"/>
      </w:pPr>
      <w:r>
        <w:rPr>
          <w:spacing w:val="-1"/>
        </w:rPr>
        <w:t>公司分别于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26</w:t>
      </w:r>
      <w:r>
        <w:rPr>
          <w:spacing w:val="-1"/>
        </w:rPr>
        <w:t>日、</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日披露了《关于控股股东被动减持股份及风险提示的公告》（公</w:t>
      </w:r>
      <w:r>
        <w:rPr/>
        <w:t> </w:t>
      </w:r>
      <w:r>
        <w:rPr>
          <w:spacing w:val="-1"/>
        </w:rPr>
        <w:t>告编号</w:t>
      </w:r>
      <w:r>
        <w:rPr>
          <w:rFonts w:ascii="宋体" w:hAnsi="宋体" w:cs="宋体" w:eastAsia="宋体" w:hint="default"/>
          <w:spacing w:val="-1"/>
        </w:rPr>
        <w:t>2018-117</w:t>
      </w:r>
      <w:r>
        <w:rPr>
          <w:spacing w:val="-1"/>
        </w:rPr>
        <w:t>）和《关于控股股东被动减持股份达到</w:t>
      </w:r>
      <w:r>
        <w:rPr>
          <w:rFonts w:ascii="宋体" w:hAnsi="宋体" w:cs="宋体" w:eastAsia="宋体" w:hint="default"/>
          <w:spacing w:val="-1"/>
        </w:rPr>
        <w:t>1%</w:t>
      </w:r>
      <w:r>
        <w:rPr>
          <w:spacing w:val="-1"/>
        </w:rPr>
        <w:t>的公告》（公告编号</w:t>
      </w:r>
      <w:r>
        <w:rPr>
          <w:rFonts w:ascii="宋体" w:hAnsi="宋体" w:cs="宋体" w:eastAsia="宋体" w:hint="default"/>
          <w:spacing w:val="-1"/>
        </w:rPr>
        <w:t>2018-120</w:t>
      </w:r>
      <w:r>
        <w:rPr>
          <w:spacing w:val="-1"/>
        </w:rPr>
        <w:t>），控股股东光一</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22"/>
        <w:jc w:val="left"/>
      </w:pPr>
      <w:r>
        <w:rPr/>
        <w:t>投资因质押违约部分股份被强制处置。</w:t>
      </w:r>
    </w:p>
    <w:p>
      <w:pPr>
        <w:pStyle w:val="Heading2"/>
        <w:spacing w:line="240" w:lineRule="auto" w:before="170"/>
        <w:ind w:right="1122"/>
        <w:jc w:val="left"/>
        <w:rPr>
          <w:b w:val="0"/>
          <w:bCs w:val="0"/>
        </w:rPr>
      </w:pPr>
      <w:bookmarkStart w:name="十四、公司股权激励计划、员工持股计划或其他员工激励措施的实施情况" w:id="79"/>
      <w:bookmarkEnd w:id="79"/>
      <w:r>
        <w:rPr>
          <w:b w:val="0"/>
          <w:bCs w:val="0"/>
        </w:rPr>
      </w:r>
      <w:r>
        <w:rPr/>
        <w:t>十四、公司股权激励计划、员工持股计划或其他员工激励措施的实施情况</w:t>
      </w:r>
      <w:r>
        <w:rPr>
          <w:b w:val="0"/>
          <w:bCs w:val="0"/>
        </w:rPr>
      </w:r>
    </w:p>
    <w:p>
      <w:pPr>
        <w:pStyle w:val="BodyText"/>
        <w:spacing w:line="408" w:lineRule="auto" w:before="177"/>
        <w:ind w:left="580" w:right="1125" w:hanging="426"/>
        <w:jc w:val="left"/>
      </w:pPr>
      <w:r>
        <w:rPr/>
        <w:t>√ 适用 □</w:t>
      </w:r>
      <w:r>
        <w:rPr>
          <w:spacing w:val="-1"/>
        </w:rPr>
        <w:t> </w:t>
      </w:r>
      <w:r>
        <w:rPr/>
        <w:t>不适用</w:t>
      </w:r>
      <w:r>
        <w:rPr/>
        <w:t> </w:t>
      </w:r>
      <w:r>
        <w:rPr>
          <w:spacing w:val="-3"/>
        </w:rPr>
        <w:t>公司于</w:t>
      </w:r>
      <w:r>
        <w:rPr>
          <w:rFonts w:ascii="宋体" w:hAnsi="宋体" w:cs="宋体" w:eastAsia="宋体" w:hint="default"/>
          <w:spacing w:val="-3"/>
        </w:rPr>
        <w:t>2018</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23</w:t>
      </w:r>
      <w:r>
        <w:rPr>
          <w:spacing w:val="-3"/>
        </w:rPr>
        <w:t>日召开第三届董事会第二十次会议和第三届监事会第十四次会议，审议通过了《关</w:t>
      </w:r>
    </w:p>
    <w:p>
      <w:pPr>
        <w:pStyle w:val="BodyText"/>
        <w:spacing w:line="408" w:lineRule="auto"/>
        <w:ind w:right="0"/>
        <w:jc w:val="left"/>
      </w:pPr>
      <w:r>
        <w:rPr/>
        <w:t>于回购注销部分限制性股票的议案》，鉴于公司</w:t>
      </w:r>
      <w:r>
        <w:rPr>
          <w:rFonts w:ascii="宋体" w:hAnsi="宋体" w:cs="宋体" w:eastAsia="宋体" w:hint="default"/>
        </w:rPr>
        <w:t>2017</w:t>
      </w:r>
      <w:r>
        <w:rPr/>
        <w:t>年度实现的净利润未达到第二个解锁期的业绩指标，</w:t>
      </w:r>
      <w:r>
        <w:rPr>
          <w:spacing w:val="-31"/>
        </w:rPr>
        <w:t> </w:t>
      </w:r>
      <w:r>
        <w:rPr>
          <w:spacing w:val="-31"/>
        </w:rPr>
      </w:r>
      <w:r>
        <w:rPr/>
        <w:t>同意对第二期已授予尚未解锁的限制性股票及不符合激励条件的</w:t>
      </w:r>
      <w:r>
        <w:rPr>
          <w:rFonts w:ascii="宋体" w:hAnsi="宋体" w:cs="宋体" w:eastAsia="宋体" w:hint="default"/>
        </w:rPr>
        <w:t>6</w:t>
      </w:r>
      <w:r>
        <w:rPr/>
        <w:t>名激励对象已授予尚未解锁的限制性股</w:t>
      </w:r>
      <w:r>
        <w:rPr>
          <w:spacing w:val="-28"/>
        </w:rPr>
        <w:t> </w:t>
      </w:r>
      <w:r>
        <w:rPr>
          <w:spacing w:val="-28"/>
        </w:rPr>
      </w:r>
      <w:r>
        <w:rPr/>
        <w:t>票合计</w:t>
      </w:r>
      <w:r>
        <w:rPr>
          <w:rFonts w:ascii="宋体" w:hAnsi="宋体" w:cs="宋体" w:eastAsia="宋体" w:hint="default"/>
        </w:rPr>
        <w:t>373.125</w:t>
      </w:r>
      <w:r>
        <w:rPr/>
        <w:t>万股由公司回购注销，上述事项已经</w:t>
      </w:r>
      <w:r>
        <w:rPr>
          <w:rFonts w:ascii="宋体" w:hAnsi="宋体" w:cs="宋体" w:eastAsia="宋体" w:hint="default"/>
        </w:rPr>
        <w:t>2017</w:t>
      </w:r>
      <w:r>
        <w:rPr/>
        <w:t>年度股东大会审议批准，并于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30</w:t>
      </w:r>
      <w:r>
        <w:rPr/>
        <w:t>日在</w:t>
      </w:r>
      <w:r>
        <w:rPr>
          <w:spacing w:val="-27"/>
        </w:rPr>
        <w:t> </w:t>
      </w:r>
      <w:r>
        <w:rPr/>
        <w:t>中国证券登记结算有限责任公司深圳分公司完成注销手续。</w:t>
      </w:r>
    </w:p>
    <w:p>
      <w:pPr>
        <w:pStyle w:val="Heading2"/>
        <w:spacing w:line="240" w:lineRule="auto" w:before="23"/>
        <w:ind w:right="1122"/>
        <w:jc w:val="left"/>
        <w:rPr>
          <w:b w:val="0"/>
          <w:bCs w:val="0"/>
        </w:rPr>
      </w:pPr>
      <w:bookmarkStart w:name="十五、重大关联交易" w:id="80"/>
      <w:bookmarkEnd w:id="80"/>
      <w:r>
        <w:rPr>
          <w:b w:val="0"/>
          <w:bCs w:val="0"/>
        </w:rPr>
      </w:r>
      <w:r>
        <w:rPr/>
        <w:t>十五、重大关联交易</w:t>
      </w:r>
      <w:r>
        <w:rPr>
          <w:b w:val="0"/>
          <w:bCs w:val="0"/>
        </w:rPr>
      </w:r>
    </w:p>
    <w:p>
      <w:pPr>
        <w:pStyle w:val="Heading4"/>
        <w:spacing w:line="240" w:lineRule="auto" w:before="177"/>
        <w:ind w:right="1122"/>
        <w:jc w:val="left"/>
        <w:rPr>
          <w:b w:val="0"/>
          <w:bCs w:val="0"/>
        </w:rPr>
      </w:pPr>
      <w:bookmarkStart w:name="1、与日常经营相关的关联交易" w:id="81"/>
      <w:bookmarkEnd w:id="81"/>
      <w:r>
        <w:rPr>
          <w:b w:val="0"/>
          <w:bCs w:val="0"/>
        </w:rPr>
      </w:r>
      <w:r>
        <w:rPr>
          <w:rFonts w:ascii="宋体" w:hAnsi="宋体" w:cs="宋体" w:eastAsia="宋体" w:hint="default"/>
        </w:rPr>
        <w:t>1</w:t>
      </w:r>
      <w:r>
        <w:rPr/>
        <w:t>、与日常经营相关的关联交易</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685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资产或股权收购、出售发生的关联交易" w:id="82"/>
      <w:bookmarkEnd w:id="82"/>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408" w:lineRule="auto" w:before="46"/>
        <w:ind w:left="154" w:right="8116"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共同对外投资的关联交易" w:id="83"/>
      <w:bookmarkEnd w:id="83"/>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408" w:lineRule="auto" w:before="46"/>
        <w:ind w:left="154" w:right="874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关联债权债务往来" w:id="84"/>
      <w:bookmarkEnd w:id="84"/>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408" w:lineRule="auto" w:before="46"/>
        <w:ind w:left="154" w:right="874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其他重大关联交易" w:id="85"/>
      <w:bookmarkEnd w:id="85"/>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381" w:lineRule="auto" w:before="46"/>
        <w:ind w:left="154" w:right="655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十六、重大合同及其履行情况" w:id="86"/>
      <w:bookmarkEnd w:id="86"/>
      <w:r>
        <w:rPr>
          <w:rFonts w:ascii="宋体" w:hAnsi="宋体" w:cs="宋体" w:eastAsia="宋体" w:hint="default"/>
          <w:sz w:val="21"/>
          <w:szCs w:val="21"/>
        </w:rPr>
      </w:r>
      <w:r>
        <w:rPr>
          <w:rFonts w:ascii="宋体" w:hAnsi="宋体" w:cs="宋体" w:eastAsia="宋体" w:hint="default"/>
          <w:b/>
          <w:bCs/>
          <w:w w:val="95"/>
          <w:sz w:val="24"/>
          <w:szCs w:val="24"/>
        </w:rPr>
        <w:t>十六、重大合同及其履行情况</w:t>
      </w:r>
      <w:r>
        <w:rPr>
          <w:rFonts w:ascii="宋体" w:hAnsi="宋体" w:cs="宋体" w:eastAsia="宋体" w:hint="default"/>
          <w:b/>
          <w:bCs/>
          <w:spacing w:val="29"/>
          <w:w w:val="95"/>
          <w:sz w:val="24"/>
          <w:szCs w:val="24"/>
        </w:rPr>
        <w:t> </w:t>
      </w:r>
      <w:bookmarkStart w:name="1、托管、承包、租赁事项情况" w:id="87"/>
      <w:bookmarkEnd w:id="87"/>
      <w:r>
        <w:rPr>
          <w:rFonts w:ascii="宋体" w:hAnsi="宋体" w:cs="宋体" w:eastAsia="宋体" w:hint="default"/>
          <w:b/>
          <w:bCs/>
          <w:spacing w:val="29"/>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pStyle w:val="Heading4"/>
        <w:spacing w:line="240" w:lineRule="auto" w:before="69"/>
        <w:ind w:right="1122"/>
        <w:jc w:val="left"/>
        <w:rPr>
          <w:b w:val="0"/>
          <w:bCs w:val="0"/>
        </w:rPr>
      </w:pPr>
      <w:bookmarkStart w:name="（1）托管情况" w:id="88"/>
      <w:bookmarkEnd w:id="88"/>
      <w:r>
        <w:rPr>
          <w:b w:val="0"/>
          <w:bCs w:val="0"/>
        </w:rPr>
      </w:r>
      <w:r>
        <w:rPr/>
        <w:t>（</w:t>
      </w:r>
      <w:r>
        <w:rPr>
          <w:rFonts w:ascii="宋体" w:hAnsi="宋体" w:cs="宋体" w:eastAsia="宋体" w:hint="default"/>
        </w:rPr>
        <w:t>1</w:t>
      </w:r>
      <w:r>
        <w:rPr/>
        <w:t>）托管情况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2）承包情况" w:id="89"/>
      <w:bookmarkEnd w:id="89"/>
      <w:r>
        <w:rPr>
          <w:b w:val="0"/>
          <w:bCs w:val="0"/>
        </w:rPr>
      </w:r>
      <w:r>
        <w:rPr/>
        <w:t>（</w:t>
      </w:r>
      <w:r>
        <w:rPr>
          <w:rFonts w:ascii="宋体" w:hAnsi="宋体" w:cs="宋体" w:eastAsia="宋体" w:hint="default"/>
        </w:rPr>
        <w:t>2</w:t>
      </w:r>
      <w:r>
        <w:rPr/>
        <w:t>）承包情况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3）租赁情况" w:id="90"/>
      <w:bookmarkEnd w:id="90"/>
      <w:r>
        <w:rPr>
          <w:b w:val="0"/>
          <w:bCs w:val="0"/>
        </w:rPr>
      </w:r>
      <w:r>
        <w:rPr/>
        <w:t>（</w:t>
      </w:r>
      <w:r>
        <w:rPr>
          <w:rFonts w:ascii="宋体" w:hAnsi="宋体" w:cs="宋体" w:eastAsia="宋体" w:hint="default"/>
        </w:rPr>
        <w:t>3</w:t>
      </w:r>
      <w:r>
        <w:rPr/>
        <w:t>）租赁情况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重大担保" w:id="91"/>
      <w:bookmarkEnd w:id="91"/>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pStyle w:val="BodyText"/>
        <w:spacing w:line="240" w:lineRule="auto"/>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left="494" w:right="0"/>
        <w:jc w:val="left"/>
        <w:rPr>
          <w:b w:val="0"/>
          <w:bCs w:val="0"/>
        </w:rPr>
      </w:pPr>
      <w:bookmarkStart w:name="（1）担保情况" w:id="92"/>
      <w:bookmarkEnd w:id="92"/>
      <w:r>
        <w:rPr>
          <w:b w:val="0"/>
          <w:bCs w:val="0"/>
        </w:rPr>
      </w:r>
      <w:r>
        <w:rPr/>
        <w:t>（</w:t>
      </w:r>
      <w:r>
        <w:rPr>
          <w:rFonts w:ascii="宋体" w:hAnsi="宋体" w:cs="宋体" w:eastAsia="宋体" w:hint="default"/>
        </w:rPr>
        <w:t>1</w:t>
      </w:r>
      <w:r>
        <w:rPr/>
        <w:t>）担保情况</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419"/>
        <w:gridCol w:w="283"/>
        <w:gridCol w:w="1418"/>
        <w:gridCol w:w="282"/>
        <w:gridCol w:w="568"/>
        <w:gridCol w:w="156"/>
        <w:gridCol w:w="1544"/>
        <w:gridCol w:w="143"/>
        <w:gridCol w:w="780"/>
        <w:gridCol w:w="924"/>
        <w:gridCol w:w="421"/>
        <w:gridCol w:w="626"/>
        <w:gridCol w:w="792"/>
        <w:gridCol w:w="1029"/>
      </w:tblGrid>
      <w:tr>
        <w:trPr>
          <w:trHeight w:val="419" w:hRule="exact"/>
        </w:trPr>
        <w:tc>
          <w:tcPr>
            <w:tcW w:w="10387" w:type="dxa"/>
            <w:gridSpan w:val="14"/>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292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639" w:hRule="exact"/>
        </w:trPr>
        <w:tc>
          <w:tcPr>
            <w:tcW w:w="14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483" w:right="121"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237" w:right="235"/>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70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92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183" w:right="182"/>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274" w:right="273"/>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104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120" w:right="11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02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1"/>
              <w:ind w:left="146" w:right="13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758"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93" w:right="221"/>
              <w:jc w:val="both"/>
              <w:rPr>
                <w:rFonts w:ascii="宋体" w:hAnsi="宋体" w:cs="宋体" w:eastAsia="宋体" w:hint="default"/>
                <w:sz w:val="18"/>
                <w:szCs w:val="18"/>
              </w:rPr>
            </w:pPr>
            <w:r>
              <w:rPr>
                <w:rFonts w:ascii="宋体" w:hAnsi="宋体" w:cs="宋体" w:eastAsia="宋体" w:hint="default"/>
                <w:sz w:val="18"/>
                <w:szCs w:val="18"/>
              </w:rPr>
              <w:t>江苏光一投资 管理有限责任 公司</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94" w:right="0"/>
              <w:jc w:val="left"/>
              <w:rPr>
                <w:rFonts w:ascii="宋体" w:hAnsi="宋体" w:cs="宋体" w:eastAsia="宋体" w:hint="default"/>
                <w:sz w:val="18"/>
                <w:szCs w:val="18"/>
              </w:rPr>
            </w:pPr>
            <w:r>
              <w:rPr>
                <w:rFonts w:ascii="宋体"/>
                <w:sz w:val="18"/>
              </w:rPr>
              <w:t>28,800</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66" w:right="0"/>
              <w:jc w:val="left"/>
              <w:rPr>
                <w:rFonts w:ascii="宋体" w:hAnsi="宋体" w:cs="宋体" w:eastAsia="宋体" w:hint="default"/>
                <w:sz w:val="18"/>
                <w:szCs w:val="18"/>
              </w:rPr>
            </w:pPr>
            <w:r>
              <w:rPr>
                <w:rFonts w:ascii="宋体"/>
                <w:sz w:val="18"/>
              </w:rPr>
              <w:t>28,800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100" w:right="267"/>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8"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95"/>
              <w:jc w:val="left"/>
              <w:rPr>
                <w:rFonts w:ascii="宋体" w:hAnsi="宋体" w:cs="宋体" w:eastAsia="宋体" w:hint="default"/>
                <w:sz w:val="18"/>
                <w:szCs w:val="18"/>
              </w:rPr>
            </w:pPr>
            <w:r>
              <w:rPr>
                <w:rFonts w:ascii="宋体" w:hAnsi="宋体" w:cs="宋体" w:eastAsia="宋体" w:hint="default"/>
                <w:sz w:val="18"/>
                <w:szCs w:val="18"/>
              </w:rPr>
              <w:t>南京捷尼 瑞科技产 业投资合 </w:t>
            </w:r>
            <w:r>
              <w:rPr>
                <w:rFonts w:ascii="宋体" w:hAnsi="宋体" w:cs="宋体" w:eastAsia="宋体" w:hint="default"/>
                <w:spacing w:val="-13"/>
                <w:sz w:val="18"/>
                <w:szCs w:val="18"/>
              </w:rPr>
              <w:t>伙企业（有</w:t>
            </w:r>
            <w:r>
              <w:rPr>
                <w:rFonts w:ascii="宋体" w:hAnsi="宋体" w:cs="宋体" w:eastAsia="宋体" w:hint="default"/>
                <w:sz w:val="18"/>
                <w:szCs w:val="18"/>
              </w:rPr>
              <w:t> </w:t>
            </w:r>
            <w:r>
              <w:rPr>
                <w:rFonts w:ascii="宋体" w:hAnsi="宋体" w:cs="宋体" w:eastAsia="宋体" w:hint="default"/>
                <w:spacing w:val="-13"/>
                <w:sz w:val="18"/>
                <w:szCs w:val="18"/>
              </w:rPr>
              <w:t>限合伙）成</w:t>
            </w:r>
            <w:r>
              <w:rPr>
                <w:rFonts w:ascii="宋体" w:hAnsi="宋体" w:cs="宋体" w:eastAsia="宋体" w:hint="default"/>
                <w:sz w:val="18"/>
                <w:szCs w:val="18"/>
              </w:rPr>
              <w:t> 立之日起 至回购协 议项下光 一投资应 履行回购 义务之日 起的</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00"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9" w:lineRule="auto"/>
              <w:ind w:left="93" w:right="99"/>
              <w:jc w:val="left"/>
              <w:rPr>
                <w:rFonts w:ascii="宋体" w:hAnsi="宋体" w:cs="宋体" w:eastAsia="宋体" w:hint="default"/>
                <w:sz w:val="18"/>
                <w:szCs w:val="18"/>
              </w:rPr>
            </w:pPr>
            <w:r>
              <w:rPr>
                <w:rFonts w:ascii="宋体" w:hAnsi="宋体" w:cs="宋体" w:eastAsia="宋体" w:hint="default"/>
                <w:sz w:val="18"/>
                <w:szCs w:val="18"/>
              </w:rPr>
              <w:t>无锡金投领航 产业升级并购 </w:t>
            </w:r>
            <w:r>
              <w:rPr>
                <w:rFonts w:ascii="宋体" w:hAnsi="宋体" w:cs="宋体" w:eastAsia="宋体" w:hint="default"/>
                <w:spacing w:val="-9"/>
                <w:sz w:val="18"/>
                <w:szCs w:val="18"/>
              </w:rPr>
              <w:t>投资企业（有限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sz w:val="18"/>
              </w:rPr>
              <w:t>29,386</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18"/>
                <w:szCs w:val="18"/>
              </w:rPr>
            </w:pPr>
            <w:r>
              <w:rPr>
                <w:rFonts w:ascii="宋体"/>
                <w:sz w:val="18"/>
              </w:rPr>
              <w:t>29,386</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9" w:lineRule="auto"/>
              <w:ind w:left="100" w:right="267"/>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8"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10"/>
              <w:jc w:val="both"/>
              <w:rPr>
                <w:rFonts w:ascii="宋体" w:hAnsi="宋体" w:cs="宋体" w:eastAsia="宋体" w:hint="default"/>
                <w:sz w:val="18"/>
                <w:szCs w:val="18"/>
              </w:rPr>
            </w:pPr>
            <w:r>
              <w:rPr>
                <w:rFonts w:ascii="宋体" w:hAnsi="宋体" w:cs="宋体" w:eastAsia="宋体" w:hint="default"/>
                <w:sz w:val="18"/>
                <w:szCs w:val="18"/>
              </w:rPr>
              <w:t>南京领航 光一科技 产业投资 合伙企业</w:t>
            </w:r>
          </w:p>
          <w:p>
            <w:pPr>
              <w:pStyle w:val="TableParagraph"/>
              <w:spacing w:line="316" w:lineRule="auto" w:before="19"/>
              <w:ind w:left="100" w:right="95"/>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3"/>
                <w:sz w:val="18"/>
                <w:szCs w:val="18"/>
              </w:rPr>
              <w:t>伙）存续期</w:t>
            </w:r>
            <w:r>
              <w:rPr>
                <w:rFonts w:ascii="宋体" w:hAnsi="宋体" w:cs="宋体" w:eastAsia="宋体" w:hint="default"/>
                <w:sz w:val="18"/>
                <w:szCs w:val="18"/>
              </w:rPr>
              <w:t> 内</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9" w:hRule="exact"/>
        </w:trPr>
        <w:tc>
          <w:tcPr>
            <w:tcW w:w="3121"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w:t>
            </w:r>
            <w:r>
              <w:rPr>
                <w:rFonts w:ascii="宋体" w:hAnsi="宋体" w:cs="宋体" w:eastAsia="宋体" w:hint="default"/>
                <w:sz w:val="18"/>
                <w:szCs w:val="18"/>
              </w:rPr>
              <w:t>）</w:t>
            </w:r>
          </w:p>
        </w:tc>
        <w:tc>
          <w:tcPr>
            <w:tcW w:w="25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29,386</w:t>
            </w:r>
          </w:p>
        </w:tc>
        <w:tc>
          <w:tcPr>
            <w:tcW w:w="1847"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100" w:right="111"/>
              <w:jc w:val="left"/>
              <w:rPr>
                <w:rFonts w:ascii="宋体" w:hAnsi="宋体" w:cs="宋体" w:eastAsia="宋体" w:hint="default"/>
                <w:sz w:val="18"/>
                <w:szCs w:val="18"/>
              </w:rPr>
            </w:pPr>
            <w:r>
              <w:rPr>
                <w:rFonts w:ascii="宋体" w:hAnsi="宋体" w:cs="宋体" w:eastAsia="宋体" w:hint="default"/>
                <w:sz w:val="18"/>
                <w:szCs w:val="18"/>
              </w:rPr>
              <w:t>报告期内对外担保实 际发生额合计（</w:t>
            </w:r>
            <w:r>
              <w:rPr>
                <w:rFonts w:ascii="宋体" w:hAnsi="宋体" w:cs="宋体" w:eastAsia="宋体" w:hint="default"/>
                <w:sz w:val="18"/>
                <w:szCs w:val="18"/>
              </w:rPr>
              <w:t>A2</w:t>
            </w:r>
            <w:r>
              <w:rPr>
                <w:rFonts w:ascii="宋体" w:hAnsi="宋体" w:cs="宋体" w:eastAsia="宋体" w:hint="default"/>
                <w:sz w:val="18"/>
                <w:szCs w:val="18"/>
              </w:rPr>
              <w:t>）</w:t>
            </w:r>
          </w:p>
        </w:tc>
        <w:tc>
          <w:tcPr>
            <w:tcW w:w="2869"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0"/>
              <w:jc w:val="right"/>
              <w:rPr>
                <w:rFonts w:ascii="宋体" w:hAnsi="宋体" w:cs="宋体" w:eastAsia="宋体" w:hint="default"/>
                <w:sz w:val="18"/>
                <w:szCs w:val="18"/>
              </w:rPr>
            </w:pPr>
            <w:r>
              <w:rPr>
                <w:rFonts w:ascii="宋体"/>
                <w:sz w:val="18"/>
              </w:rPr>
              <w:t>29,386</w:t>
            </w:r>
          </w:p>
        </w:tc>
      </w:tr>
      <w:tr>
        <w:trPr>
          <w:trHeight w:val="646" w:hRule="exact"/>
        </w:trPr>
        <w:tc>
          <w:tcPr>
            <w:tcW w:w="3121"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w:t>
            </w:r>
            <w:r>
              <w:rPr>
                <w:rFonts w:ascii="宋体" w:hAnsi="宋体" w:cs="宋体" w:eastAsia="宋体" w:hint="default"/>
                <w:sz w:val="18"/>
                <w:szCs w:val="18"/>
              </w:rPr>
              <w:t>）</w:t>
            </w:r>
          </w:p>
        </w:tc>
        <w:tc>
          <w:tcPr>
            <w:tcW w:w="25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58,186</w:t>
            </w:r>
          </w:p>
        </w:tc>
        <w:tc>
          <w:tcPr>
            <w:tcW w:w="1847"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100" w:right="111"/>
              <w:jc w:val="left"/>
              <w:rPr>
                <w:rFonts w:ascii="宋体" w:hAnsi="宋体" w:cs="宋体" w:eastAsia="宋体" w:hint="default"/>
                <w:sz w:val="18"/>
                <w:szCs w:val="18"/>
              </w:rPr>
            </w:pPr>
            <w:r>
              <w:rPr>
                <w:rFonts w:ascii="宋体" w:hAnsi="宋体" w:cs="宋体" w:eastAsia="宋体" w:hint="default"/>
                <w:sz w:val="18"/>
                <w:szCs w:val="18"/>
              </w:rPr>
              <w:t>报告期末实际对外担 保余额合计（</w:t>
            </w:r>
            <w:r>
              <w:rPr>
                <w:rFonts w:ascii="宋体" w:hAnsi="宋体" w:cs="宋体" w:eastAsia="宋体" w:hint="default"/>
                <w:sz w:val="18"/>
                <w:szCs w:val="18"/>
              </w:rPr>
              <w:t>A4</w:t>
            </w:r>
            <w:r>
              <w:rPr>
                <w:rFonts w:ascii="宋体" w:hAnsi="宋体" w:cs="宋体" w:eastAsia="宋体" w:hint="default"/>
                <w:sz w:val="18"/>
                <w:szCs w:val="18"/>
              </w:rPr>
              <w:t>）</w:t>
            </w:r>
          </w:p>
        </w:tc>
        <w:tc>
          <w:tcPr>
            <w:tcW w:w="2869"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0"/>
              <w:jc w:val="right"/>
              <w:rPr>
                <w:rFonts w:ascii="宋体" w:hAnsi="宋体" w:cs="宋体" w:eastAsia="宋体" w:hint="default"/>
                <w:sz w:val="18"/>
                <w:szCs w:val="18"/>
              </w:rPr>
            </w:pPr>
            <w:r>
              <w:rPr>
                <w:rFonts w:ascii="宋体"/>
                <w:sz w:val="18"/>
              </w:rPr>
              <w:t>58,186</w:t>
            </w:r>
          </w:p>
        </w:tc>
      </w:tr>
      <w:tr>
        <w:trPr>
          <w:trHeight w:val="405" w:hRule="exact"/>
        </w:trPr>
        <w:tc>
          <w:tcPr>
            <w:tcW w:w="10387" w:type="dxa"/>
            <w:gridSpan w:val="1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639" w:hRule="exact"/>
        </w:trPr>
        <w:tc>
          <w:tcPr>
            <w:tcW w:w="1703"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656" w:right="483"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70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483" w:right="12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173" w:right="173"/>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68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7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112" w:right="110"/>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34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6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213" w:right="126" w:hanging="90"/>
              <w:jc w:val="left"/>
              <w:rPr>
                <w:rFonts w:ascii="宋体" w:hAnsi="宋体" w:cs="宋体" w:eastAsia="宋体" w:hint="default"/>
                <w:sz w:val="18"/>
                <w:szCs w:val="18"/>
              </w:rPr>
            </w:pPr>
            <w:r>
              <w:rPr>
                <w:rFonts w:ascii="宋体" w:hAnsi="宋体" w:cs="宋体" w:eastAsia="宋体" w:hint="default"/>
                <w:sz w:val="18"/>
                <w:szCs w:val="18"/>
              </w:rPr>
              <w:t>担保 期</w:t>
            </w:r>
          </w:p>
        </w:tc>
        <w:tc>
          <w:tcPr>
            <w:tcW w:w="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116"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02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1"/>
              <w:ind w:left="146" w:right="13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638" w:hRule="exact"/>
        </w:trPr>
        <w:tc>
          <w:tcPr>
            <w:tcW w:w="1703"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144"/>
              <w:jc w:val="left"/>
              <w:rPr>
                <w:rFonts w:ascii="宋体" w:hAnsi="宋体" w:cs="宋体" w:eastAsia="宋体" w:hint="default"/>
                <w:sz w:val="18"/>
                <w:szCs w:val="18"/>
              </w:rPr>
            </w:pPr>
            <w:r>
              <w:rPr>
                <w:rFonts w:ascii="宋体" w:hAnsi="宋体" w:cs="宋体" w:eastAsia="宋体" w:hint="default"/>
                <w:sz w:val="18"/>
                <w:szCs w:val="18"/>
              </w:rPr>
              <w:t>湖北索瑞电气有限 公司</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sz w:val="18"/>
              </w:rPr>
              <w:t>8,000</w:t>
            </w:r>
          </w:p>
        </w:tc>
        <w:tc>
          <w:tcPr>
            <w:tcW w:w="16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1,400</w:t>
            </w:r>
          </w:p>
        </w:tc>
        <w:tc>
          <w:tcPr>
            <w:tcW w:w="13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是</w:t>
            </w:r>
          </w:p>
        </w:tc>
        <w:tc>
          <w:tcPr>
            <w:tcW w:w="10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1703"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93" w:right="144"/>
              <w:jc w:val="left"/>
              <w:rPr>
                <w:rFonts w:ascii="宋体" w:hAnsi="宋体" w:cs="宋体" w:eastAsia="宋体" w:hint="default"/>
                <w:sz w:val="18"/>
                <w:szCs w:val="18"/>
              </w:rPr>
            </w:pPr>
            <w:r>
              <w:rPr>
                <w:rFonts w:ascii="宋体" w:hAnsi="宋体" w:cs="宋体" w:eastAsia="宋体" w:hint="default"/>
                <w:sz w:val="18"/>
                <w:szCs w:val="18"/>
              </w:rPr>
              <w:t>江苏德能电力设计 咨询有限公司</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sz w:val="18"/>
              </w:rPr>
              <w:t>2,000</w:t>
            </w:r>
          </w:p>
        </w:tc>
        <w:tc>
          <w:tcPr>
            <w:tcW w:w="16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900</w:t>
            </w:r>
          </w:p>
        </w:tc>
        <w:tc>
          <w:tcPr>
            <w:tcW w:w="13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是</w:t>
            </w:r>
          </w:p>
        </w:tc>
        <w:tc>
          <w:tcPr>
            <w:tcW w:w="10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1703"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144"/>
              <w:jc w:val="left"/>
              <w:rPr>
                <w:rFonts w:ascii="宋体" w:hAnsi="宋体" w:cs="宋体" w:eastAsia="宋体" w:hint="default"/>
                <w:sz w:val="18"/>
                <w:szCs w:val="18"/>
              </w:rPr>
            </w:pPr>
            <w:r>
              <w:rPr>
                <w:rFonts w:ascii="宋体" w:hAnsi="宋体" w:cs="宋体" w:eastAsia="宋体" w:hint="default"/>
                <w:sz w:val="18"/>
                <w:szCs w:val="18"/>
              </w:rPr>
              <w:t>江苏德能电力设计 咨询有限公司</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sz w:val="18"/>
              </w:rPr>
              <w:t>2,000</w:t>
            </w:r>
          </w:p>
        </w:tc>
        <w:tc>
          <w:tcPr>
            <w:tcW w:w="16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600</w:t>
            </w:r>
          </w:p>
        </w:tc>
        <w:tc>
          <w:tcPr>
            <w:tcW w:w="13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是</w:t>
            </w:r>
          </w:p>
        </w:tc>
        <w:tc>
          <w:tcPr>
            <w:tcW w:w="10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1703"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9" w:lineRule="auto" w:before="11"/>
              <w:ind w:left="93" w:right="144"/>
              <w:jc w:val="left"/>
              <w:rPr>
                <w:rFonts w:ascii="宋体" w:hAnsi="宋体" w:cs="宋体" w:eastAsia="宋体" w:hint="default"/>
                <w:sz w:val="18"/>
                <w:szCs w:val="18"/>
              </w:rPr>
            </w:pPr>
            <w:r>
              <w:rPr>
                <w:rFonts w:ascii="宋体" w:hAnsi="宋体" w:cs="宋体" w:eastAsia="宋体" w:hint="default"/>
                <w:sz w:val="18"/>
                <w:szCs w:val="18"/>
              </w:rPr>
              <w:t>江苏其厚智能电气 设备有限公司</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sz w:val="18"/>
              </w:rPr>
              <w:t>2,000</w:t>
            </w:r>
          </w:p>
        </w:tc>
        <w:tc>
          <w:tcPr>
            <w:tcW w:w="16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500</w:t>
            </w:r>
          </w:p>
        </w:tc>
        <w:tc>
          <w:tcPr>
            <w:tcW w:w="13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是</w:t>
            </w:r>
          </w:p>
        </w:tc>
        <w:tc>
          <w:tcPr>
            <w:tcW w:w="10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1703"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144"/>
              <w:jc w:val="left"/>
              <w:rPr>
                <w:rFonts w:ascii="宋体" w:hAnsi="宋体" w:cs="宋体" w:eastAsia="宋体" w:hint="default"/>
                <w:sz w:val="18"/>
                <w:szCs w:val="18"/>
              </w:rPr>
            </w:pPr>
            <w:r>
              <w:rPr>
                <w:rFonts w:ascii="宋体" w:hAnsi="宋体" w:cs="宋体" w:eastAsia="宋体" w:hint="default"/>
                <w:sz w:val="18"/>
                <w:szCs w:val="18"/>
              </w:rPr>
              <w:t>江苏其厚智能电气 设备有限公司</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sz w:val="18"/>
              </w:rPr>
              <w:t>2,000</w:t>
            </w:r>
          </w:p>
        </w:tc>
        <w:tc>
          <w:tcPr>
            <w:tcW w:w="16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470</w:t>
            </w:r>
          </w:p>
        </w:tc>
        <w:tc>
          <w:tcPr>
            <w:tcW w:w="13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否</w:t>
            </w:r>
          </w:p>
        </w:tc>
        <w:tc>
          <w:tcPr>
            <w:tcW w:w="10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5" w:hRule="exact"/>
        </w:trPr>
        <w:tc>
          <w:tcPr>
            <w:tcW w:w="1703"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江苏其厚智能电气</w:t>
            </w:r>
          </w:p>
        </w:tc>
        <w:tc>
          <w:tcPr>
            <w:tcW w:w="170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2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58" w:right="0"/>
              <w:jc w:val="left"/>
              <w:rPr>
                <w:rFonts w:ascii="宋体" w:hAnsi="宋体" w:cs="宋体" w:eastAsia="宋体" w:hint="default"/>
                <w:sz w:val="18"/>
                <w:szCs w:val="18"/>
              </w:rPr>
            </w:pPr>
            <w:r>
              <w:rPr>
                <w:rFonts w:ascii="宋体"/>
                <w:sz w:val="18"/>
              </w:rPr>
              <w:t>2,000</w:t>
            </w:r>
          </w:p>
        </w:tc>
        <w:tc>
          <w:tcPr>
            <w:tcW w:w="168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500</w:t>
            </w:r>
          </w:p>
        </w:tc>
        <w:tc>
          <w:tcPr>
            <w:tcW w:w="134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6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299"/>
              <w:jc w:val="right"/>
              <w:rPr>
                <w:rFonts w:ascii="宋体" w:hAnsi="宋体" w:cs="宋体" w:eastAsia="宋体" w:hint="default"/>
                <w:sz w:val="18"/>
                <w:szCs w:val="18"/>
              </w:rPr>
            </w:pPr>
            <w:r>
              <w:rPr>
                <w:rFonts w:ascii="宋体" w:hAnsi="宋体" w:cs="宋体" w:eastAsia="宋体" w:hint="default"/>
                <w:sz w:val="18"/>
                <w:szCs w:val="18"/>
              </w:rPr>
              <w:t>否</w:t>
            </w:r>
          </w:p>
        </w:tc>
        <w:tc>
          <w:tcPr>
            <w:tcW w:w="10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408"/>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1000" w:top="1100" w:bottom="1180" w:left="640" w:right="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03"/>
        <w:gridCol w:w="566"/>
        <w:gridCol w:w="1134"/>
        <w:gridCol w:w="679"/>
        <w:gridCol w:w="1264"/>
        <w:gridCol w:w="468"/>
        <w:gridCol w:w="744"/>
        <w:gridCol w:w="888"/>
        <w:gridCol w:w="493"/>
        <w:gridCol w:w="587"/>
        <w:gridCol w:w="791"/>
        <w:gridCol w:w="1070"/>
      </w:tblGrid>
      <w:tr>
        <w:trPr>
          <w:trHeight w:val="334" w:hRule="exact"/>
        </w:trPr>
        <w:tc>
          <w:tcPr>
            <w:tcW w:w="170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设备有限公司</w:t>
            </w:r>
          </w:p>
        </w:tc>
        <w:tc>
          <w:tcPr>
            <w:tcW w:w="1700" w:type="dxa"/>
            <w:gridSpan w:val="2"/>
            <w:tcBorders>
              <w:top w:val="single" w:sz="12" w:space="0" w:color="000000"/>
              <w:left w:val="single" w:sz="6" w:space="0" w:color="000000"/>
              <w:bottom w:val="single" w:sz="6" w:space="0" w:color="000000"/>
              <w:right w:val="single" w:sz="6" w:space="0" w:color="000000"/>
            </w:tcBorders>
          </w:tcPr>
          <w:p>
            <w:pPr/>
          </w:p>
        </w:tc>
        <w:tc>
          <w:tcPr>
            <w:tcW w:w="679" w:type="dxa"/>
            <w:tcBorders>
              <w:top w:val="single" w:sz="12" w:space="0" w:color="000000"/>
              <w:left w:val="single" w:sz="6" w:space="0" w:color="000000"/>
              <w:bottom w:val="single" w:sz="6" w:space="0" w:color="000000"/>
              <w:right w:val="single" w:sz="6" w:space="0" w:color="000000"/>
            </w:tcBorders>
          </w:tcPr>
          <w:p>
            <w:pPr/>
          </w:p>
        </w:tc>
        <w:tc>
          <w:tcPr>
            <w:tcW w:w="1732" w:type="dxa"/>
            <w:gridSpan w:val="2"/>
            <w:tcBorders>
              <w:top w:val="single" w:sz="12" w:space="0" w:color="000000"/>
              <w:left w:val="single" w:sz="6" w:space="0" w:color="000000"/>
              <w:bottom w:val="single" w:sz="6" w:space="0" w:color="000000"/>
              <w:right w:val="single" w:sz="6" w:space="0" w:color="000000"/>
            </w:tcBorders>
          </w:tcPr>
          <w:p>
            <w:pPr/>
          </w:p>
        </w:tc>
        <w:tc>
          <w:tcPr>
            <w:tcW w:w="744" w:type="dxa"/>
            <w:tcBorders>
              <w:top w:val="single" w:sz="12" w:space="0" w:color="000000"/>
              <w:left w:val="single" w:sz="6" w:space="0" w:color="000000"/>
              <w:bottom w:val="single" w:sz="6" w:space="0" w:color="000000"/>
              <w:right w:val="single" w:sz="6" w:space="0" w:color="000000"/>
            </w:tcBorders>
          </w:tcPr>
          <w:p>
            <w:pPr/>
          </w:p>
        </w:tc>
        <w:tc>
          <w:tcPr>
            <w:tcW w:w="1382" w:type="dxa"/>
            <w:gridSpan w:val="2"/>
            <w:tcBorders>
              <w:top w:val="single" w:sz="12" w:space="0" w:color="000000"/>
              <w:left w:val="single" w:sz="6" w:space="0" w:color="000000"/>
              <w:bottom w:val="single" w:sz="6" w:space="0" w:color="000000"/>
              <w:right w:val="single" w:sz="6" w:space="0" w:color="000000"/>
            </w:tcBorders>
          </w:tcPr>
          <w:p>
            <w:pPr/>
          </w:p>
        </w:tc>
        <w:tc>
          <w:tcPr>
            <w:tcW w:w="587" w:type="dxa"/>
            <w:tcBorders>
              <w:top w:val="single" w:sz="12" w:space="0" w:color="000000"/>
              <w:left w:val="single" w:sz="6" w:space="0" w:color="000000"/>
              <w:bottom w:val="single" w:sz="6" w:space="0" w:color="000000"/>
              <w:right w:val="single" w:sz="6" w:space="0" w:color="000000"/>
            </w:tcBorders>
          </w:tcPr>
          <w:p>
            <w:pPr/>
          </w:p>
        </w:tc>
        <w:tc>
          <w:tcPr>
            <w:tcW w:w="791" w:type="dxa"/>
            <w:tcBorders>
              <w:top w:val="single" w:sz="12" w:space="0" w:color="000000"/>
              <w:left w:val="single" w:sz="6" w:space="0" w:color="000000"/>
              <w:bottom w:val="single" w:sz="6" w:space="0" w:color="000000"/>
              <w:right w:val="single" w:sz="6" w:space="0" w:color="000000"/>
            </w:tcBorders>
          </w:tcPr>
          <w:p>
            <w:pPr/>
          </w:p>
        </w:tc>
        <w:tc>
          <w:tcPr>
            <w:tcW w:w="1070" w:type="dxa"/>
            <w:tcBorders>
              <w:top w:val="single" w:sz="12" w:space="0" w:color="000000"/>
              <w:left w:val="single" w:sz="6" w:space="0" w:color="000000"/>
              <w:bottom w:val="single" w:sz="6" w:space="0" w:color="000000"/>
              <w:right w:val="single" w:sz="12" w:space="0" w:color="000000"/>
            </w:tcBorders>
          </w:tcPr>
          <w:p>
            <w:pPr/>
          </w:p>
        </w:tc>
      </w:tr>
      <w:tr>
        <w:trPr>
          <w:trHeight w:val="638"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144"/>
              <w:jc w:val="left"/>
              <w:rPr>
                <w:rFonts w:ascii="宋体" w:hAnsi="宋体" w:cs="宋体" w:eastAsia="宋体" w:hint="default"/>
                <w:sz w:val="18"/>
                <w:szCs w:val="18"/>
              </w:rPr>
            </w:pPr>
            <w:r>
              <w:rPr>
                <w:rFonts w:ascii="宋体" w:hAnsi="宋体" w:cs="宋体" w:eastAsia="宋体" w:hint="default"/>
                <w:sz w:val="18"/>
                <w:szCs w:val="18"/>
              </w:rPr>
              <w:t>江苏其厚智能电气 设备有限公司</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4"/>
              <w:jc w:val="right"/>
              <w:rPr>
                <w:rFonts w:ascii="宋体" w:hAnsi="宋体" w:cs="宋体" w:eastAsia="宋体" w:hint="default"/>
                <w:sz w:val="18"/>
                <w:szCs w:val="18"/>
              </w:rPr>
            </w:pPr>
            <w:r>
              <w:rPr>
                <w:rFonts w:ascii="宋体"/>
                <w:sz w:val="18"/>
              </w:rPr>
              <w:t>2,000</w:t>
            </w:r>
          </w:p>
        </w:tc>
        <w:tc>
          <w:tcPr>
            <w:tcW w:w="17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z w:val="18"/>
              </w:rPr>
              <w:t>500</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10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11"/>
              <w:ind w:left="93" w:right="144"/>
              <w:jc w:val="left"/>
              <w:rPr>
                <w:rFonts w:ascii="宋体" w:hAnsi="宋体" w:cs="宋体" w:eastAsia="宋体" w:hint="default"/>
                <w:sz w:val="18"/>
                <w:szCs w:val="18"/>
              </w:rPr>
            </w:pPr>
            <w:r>
              <w:rPr>
                <w:rFonts w:ascii="宋体" w:hAnsi="宋体" w:cs="宋体" w:eastAsia="宋体" w:hint="default"/>
                <w:sz w:val="18"/>
                <w:szCs w:val="18"/>
              </w:rPr>
              <w:t>江苏其厚智能电气 设备有限公司</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4"/>
              <w:jc w:val="right"/>
              <w:rPr>
                <w:rFonts w:ascii="宋体" w:hAnsi="宋体" w:cs="宋体" w:eastAsia="宋体" w:hint="default"/>
                <w:sz w:val="18"/>
                <w:szCs w:val="18"/>
              </w:rPr>
            </w:pPr>
            <w:r>
              <w:rPr>
                <w:rFonts w:ascii="宋体"/>
                <w:sz w:val="18"/>
              </w:rPr>
              <w:t>2,000</w:t>
            </w:r>
          </w:p>
        </w:tc>
        <w:tc>
          <w:tcPr>
            <w:tcW w:w="17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z w:val="18"/>
              </w:rPr>
              <w:t>1,000</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10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144"/>
              <w:jc w:val="left"/>
              <w:rPr>
                <w:rFonts w:ascii="宋体" w:hAnsi="宋体" w:cs="宋体" w:eastAsia="宋体" w:hint="default"/>
                <w:sz w:val="18"/>
                <w:szCs w:val="18"/>
              </w:rPr>
            </w:pPr>
            <w:r>
              <w:rPr>
                <w:rFonts w:ascii="宋体" w:hAnsi="宋体" w:cs="宋体" w:eastAsia="宋体" w:hint="default"/>
                <w:sz w:val="18"/>
                <w:szCs w:val="18"/>
              </w:rPr>
              <w:t>江苏其厚智能电气 设备有限公司</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4"/>
              <w:jc w:val="right"/>
              <w:rPr>
                <w:rFonts w:ascii="宋体" w:hAnsi="宋体" w:cs="宋体" w:eastAsia="宋体" w:hint="default"/>
                <w:sz w:val="18"/>
                <w:szCs w:val="18"/>
              </w:rPr>
            </w:pPr>
            <w:r>
              <w:rPr>
                <w:rFonts w:ascii="宋体"/>
                <w:sz w:val="18"/>
              </w:rPr>
              <w:t>3,000</w:t>
            </w:r>
          </w:p>
        </w:tc>
        <w:tc>
          <w:tcPr>
            <w:tcW w:w="17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z w:val="18"/>
              </w:rPr>
              <w:t>1,000</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10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93" w:right="144"/>
              <w:jc w:val="left"/>
              <w:rPr>
                <w:rFonts w:ascii="宋体" w:hAnsi="宋体" w:cs="宋体" w:eastAsia="宋体" w:hint="default"/>
                <w:sz w:val="18"/>
                <w:szCs w:val="18"/>
              </w:rPr>
            </w:pPr>
            <w:r>
              <w:rPr>
                <w:rFonts w:ascii="宋体" w:hAnsi="宋体" w:cs="宋体" w:eastAsia="宋体" w:hint="default"/>
                <w:sz w:val="18"/>
                <w:szCs w:val="18"/>
              </w:rPr>
              <w:t>江苏其厚智能电气 设备有限公司</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4"/>
              <w:jc w:val="right"/>
              <w:rPr>
                <w:rFonts w:ascii="宋体" w:hAnsi="宋体" w:cs="宋体" w:eastAsia="宋体" w:hint="default"/>
                <w:sz w:val="18"/>
                <w:szCs w:val="18"/>
              </w:rPr>
            </w:pPr>
            <w:r>
              <w:rPr>
                <w:rFonts w:ascii="宋体"/>
                <w:sz w:val="18"/>
              </w:rPr>
              <w:t>3,000</w:t>
            </w:r>
          </w:p>
        </w:tc>
        <w:tc>
          <w:tcPr>
            <w:tcW w:w="17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z w:val="18"/>
              </w:rPr>
              <w:t>450</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10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144"/>
              <w:jc w:val="left"/>
              <w:rPr>
                <w:rFonts w:ascii="宋体" w:hAnsi="宋体" w:cs="宋体" w:eastAsia="宋体" w:hint="default"/>
                <w:sz w:val="18"/>
                <w:szCs w:val="18"/>
              </w:rPr>
            </w:pPr>
            <w:r>
              <w:rPr>
                <w:rFonts w:ascii="宋体" w:hAnsi="宋体" w:cs="宋体" w:eastAsia="宋体" w:hint="default"/>
                <w:sz w:val="18"/>
                <w:szCs w:val="18"/>
              </w:rPr>
              <w:t>湖北索瑞电气有限 公司</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4"/>
              <w:jc w:val="right"/>
              <w:rPr>
                <w:rFonts w:ascii="宋体" w:hAnsi="宋体" w:cs="宋体" w:eastAsia="宋体" w:hint="default"/>
                <w:sz w:val="18"/>
                <w:szCs w:val="18"/>
              </w:rPr>
            </w:pPr>
            <w:r>
              <w:rPr>
                <w:rFonts w:ascii="宋体"/>
                <w:sz w:val="18"/>
              </w:rPr>
              <w:t>8,000</w:t>
            </w:r>
          </w:p>
        </w:tc>
        <w:tc>
          <w:tcPr>
            <w:tcW w:w="1732" w:type="dxa"/>
            <w:gridSpan w:val="2"/>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z w:val="18"/>
              </w:rPr>
              <w:t>0</w:t>
            </w:r>
          </w:p>
        </w:tc>
        <w:tc>
          <w:tcPr>
            <w:tcW w:w="1382" w:type="dxa"/>
            <w:gridSpan w:val="2"/>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93" w:right="144"/>
              <w:jc w:val="left"/>
              <w:rPr>
                <w:rFonts w:ascii="宋体" w:hAnsi="宋体" w:cs="宋体" w:eastAsia="宋体" w:hint="default"/>
                <w:sz w:val="18"/>
                <w:szCs w:val="18"/>
              </w:rPr>
            </w:pPr>
            <w:r>
              <w:rPr>
                <w:rFonts w:ascii="宋体" w:hAnsi="宋体" w:cs="宋体" w:eastAsia="宋体" w:hint="default"/>
                <w:sz w:val="18"/>
                <w:szCs w:val="18"/>
              </w:rPr>
              <w:t>南京云商天下信息 技术有限公司</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4"/>
              <w:jc w:val="right"/>
              <w:rPr>
                <w:rFonts w:ascii="宋体" w:hAnsi="宋体" w:cs="宋体" w:eastAsia="宋体" w:hint="default"/>
                <w:sz w:val="18"/>
                <w:szCs w:val="18"/>
              </w:rPr>
            </w:pPr>
            <w:r>
              <w:rPr>
                <w:rFonts w:ascii="宋体"/>
                <w:sz w:val="18"/>
              </w:rPr>
              <w:t>1,000</w:t>
            </w:r>
          </w:p>
        </w:tc>
        <w:tc>
          <w:tcPr>
            <w:tcW w:w="1732" w:type="dxa"/>
            <w:gridSpan w:val="2"/>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z w:val="18"/>
              </w:rPr>
              <w:t>0</w:t>
            </w:r>
          </w:p>
        </w:tc>
        <w:tc>
          <w:tcPr>
            <w:tcW w:w="1382" w:type="dxa"/>
            <w:gridSpan w:val="2"/>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12" w:space="0" w:color="000000"/>
            </w:tcBorders>
          </w:tcPr>
          <w:p>
            <w:pPr/>
          </w:p>
        </w:tc>
      </w:tr>
      <w:tr>
        <w:trPr>
          <w:trHeight w:val="639" w:hRule="exact"/>
        </w:trPr>
        <w:tc>
          <w:tcPr>
            <w:tcW w:w="3403"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B1</w:t>
            </w:r>
            <w:r>
              <w:rPr>
                <w:rFonts w:ascii="宋体" w:hAnsi="宋体" w:cs="宋体" w:eastAsia="宋体" w:hint="default"/>
                <w:sz w:val="18"/>
                <w:szCs w:val="18"/>
              </w:rPr>
              <w:t>）</w:t>
            </w:r>
          </w:p>
        </w:tc>
        <w:tc>
          <w:tcPr>
            <w:tcW w:w="24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12,000</w:t>
            </w:r>
          </w:p>
        </w:tc>
        <w:tc>
          <w:tcPr>
            <w:tcW w:w="212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100" w:right="209"/>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44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1"/>
              <w:jc w:val="right"/>
              <w:rPr>
                <w:rFonts w:ascii="宋体" w:hAnsi="宋体" w:cs="宋体" w:eastAsia="宋体" w:hint="default"/>
                <w:sz w:val="18"/>
                <w:szCs w:val="18"/>
              </w:rPr>
            </w:pPr>
            <w:r>
              <w:rPr>
                <w:rFonts w:ascii="宋体"/>
                <w:sz w:val="18"/>
              </w:rPr>
              <w:t>3,920</w:t>
            </w:r>
          </w:p>
        </w:tc>
      </w:tr>
      <w:tr>
        <w:trPr>
          <w:trHeight w:val="646" w:hRule="exact"/>
        </w:trPr>
        <w:tc>
          <w:tcPr>
            <w:tcW w:w="3403"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93" w:right="22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 计（</w:t>
            </w:r>
            <w:r>
              <w:rPr>
                <w:rFonts w:ascii="宋体" w:hAnsi="宋体" w:cs="宋体" w:eastAsia="宋体" w:hint="default"/>
                <w:sz w:val="18"/>
                <w:szCs w:val="18"/>
              </w:rPr>
              <w:t>B3</w:t>
            </w:r>
            <w:r>
              <w:rPr>
                <w:rFonts w:ascii="宋体" w:hAnsi="宋体" w:cs="宋体" w:eastAsia="宋体" w:hint="default"/>
                <w:sz w:val="18"/>
                <w:szCs w:val="18"/>
              </w:rPr>
              <w:t>）</w:t>
            </w:r>
          </w:p>
        </w:tc>
        <w:tc>
          <w:tcPr>
            <w:tcW w:w="24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12,000</w:t>
            </w:r>
          </w:p>
        </w:tc>
        <w:tc>
          <w:tcPr>
            <w:tcW w:w="212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100" w:right="208"/>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44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1"/>
              <w:jc w:val="right"/>
              <w:rPr>
                <w:rFonts w:ascii="宋体" w:hAnsi="宋体" w:cs="宋体" w:eastAsia="宋体" w:hint="default"/>
                <w:sz w:val="18"/>
                <w:szCs w:val="18"/>
              </w:rPr>
            </w:pPr>
            <w:r>
              <w:rPr>
                <w:rFonts w:ascii="宋体"/>
                <w:sz w:val="18"/>
              </w:rPr>
              <w:t>3,920</w:t>
            </w:r>
          </w:p>
        </w:tc>
      </w:tr>
      <w:tr>
        <w:trPr>
          <w:trHeight w:val="320" w:hRule="exact"/>
        </w:trPr>
        <w:tc>
          <w:tcPr>
            <w:tcW w:w="10387"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951" w:hRule="exact"/>
        </w:trPr>
        <w:tc>
          <w:tcPr>
            <w:tcW w:w="2269"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109" w:right="108"/>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6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9" w:right="173"/>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2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21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91" w:right="163"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8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28" w:right="183" w:hanging="180"/>
              <w:jc w:val="left"/>
              <w:rPr>
                <w:rFonts w:ascii="宋体" w:hAnsi="宋体" w:cs="宋体" w:eastAsia="宋体" w:hint="default"/>
                <w:sz w:val="18"/>
                <w:szCs w:val="18"/>
              </w:rPr>
            </w:pPr>
            <w:r>
              <w:rPr>
                <w:rFonts w:ascii="宋体" w:hAnsi="宋体" w:cs="宋体" w:eastAsia="宋体" w:hint="default"/>
                <w:sz w:val="18"/>
                <w:szCs w:val="18"/>
              </w:rPr>
              <w:t>担保类 型</w:t>
            </w:r>
          </w:p>
        </w:tc>
        <w:tc>
          <w:tcPr>
            <w:tcW w:w="108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9" w:right="15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07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7" w:right="17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639" w:hRule="exact"/>
        </w:trPr>
        <w:tc>
          <w:tcPr>
            <w:tcW w:w="3403"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C1</w:t>
            </w:r>
            <w:r>
              <w:rPr>
                <w:rFonts w:ascii="宋体" w:hAnsi="宋体" w:cs="宋体" w:eastAsia="宋体" w:hint="default"/>
                <w:sz w:val="18"/>
                <w:szCs w:val="18"/>
              </w:rPr>
              <w:t>）</w:t>
            </w:r>
          </w:p>
        </w:tc>
        <w:tc>
          <w:tcPr>
            <w:tcW w:w="1943" w:type="dxa"/>
            <w:gridSpan w:val="2"/>
            <w:tcBorders>
              <w:top w:val="single" w:sz="6" w:space="0" w:color="000000"/>
              <w:left w:val="single" w:sz="6" w:space="0" w:color="000000"/>
              <w:bottom w:val="single" w:sz="6" w:space="0" w:color="000000"/>
              <w:right w:val="single" w:sz="6" w:space="0" w:color="000000"/>
            </w:tcBorders>
          </w:tcPr>
          <w:p>
            <w:pPr/>
          </w:p>
        </w:tc>
        <w:tc>
          <w:tcPr>
            <w:tcW w:w="2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10"/>
              <w:ind w:left="104" w:right="179"/>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宋体" w:hAnsi="宋体" w:cs="宋体" w:eastAsia="宋体" w:hint="default"/>
                <w:sz w:val="18"/>
                <w:szCs w:val="18"/>
              </w:rPr>
              <w:t>C2</w:t>
            </w:r>
            <w:r>
              <w:rPr>
                <w:rFonts w:ascii="宋体" w:hAnsi="宋体" w:cs="宋体" w:eastAsia="宋体" w:hint="default"/>
                <w:sz w:val="18"/>
                <w:szCs w:val="18"/>
              </w:rPr>
              <w:t>）</w:t>
            </w:r>
          </w:p>
        </w:tc>
        <w:tc>
          <w:tcPr>
            <w:tcW w:w="2941" w:type="dxa"/>
            <w:gridSpan w:val="4"/>
            <w:tcBorders>
              <w:top w:val="single" w:sz="6" w:space="0" w:color="000000"/>
              <w:left w:val="single" w:sz="6" w:space="0" w:color="000000"/>
              <w:bottom w:val="single" w:sz="6" w:space="0" w:color="000000"/>
              <w:right w:val="single" w:sz="12" w:space="0" w:color="000000"/>
            </w:tcBorders>
          </w:tcPr>
          <w:p>
            <w:pPr/>
          </w:p>
        </w:tc>
      </w:tr>
      <w:tr>
        <w:trPr>
          <w:trHeight w:val="646" w:hRule="exact"/>
        </w:trPr>
        <w:tc>
          <w:tcPr>
            <w:tcW w:w="3403"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93" w:right="22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 计（</w:t>
            </w:r>
            <w:r>
              <w:rPr>
                <w:rFonts w:ascii="宋体" w:hAnsi="宋体" w:cs="宋体" w:eastAsia="宋体" w:hint="default"/>
                <w:sz w:val="18"/>
                <w:szCs w:val="18"/>
              </w:rPr>
              <w:t>C3</w:t>
            </w:r>
            <w:r>
              <w:rPr>
                <w:rFonts w:ascii="宋体" w:hAnsi="宋体" w:cs="宋体" w:eastAsia="宋体" w:hint="default"/>
                <w:sz w:val="18"/>
                <w:szCs w:val="18"/>
              </w:rPr>
              <w:t>）</w:t>
            </w:r>
          </w:p>
        </w:tc>
        <w:tc>
          <w:tcPr>
            <w:tcW w:w="1943" w:type="dxa"/>
            <w:gridSpan w:val="2"/>
            <w:tcBorders>
              <w:top w:val="single" w:sz="6" w:space="0" w:color="000000"/>
              <w:left w:val="single" w:sz="6" w:space="0" w:color="000000"/>
              <w:bottom w:val="single" w:sz="6" w:space="0" w:color="000000"/>
              <w:right w:val="single" w:sz="6" w:space="0" w:color="000000"/>
            </w:tcBorders>
          </w:tcPr>
          <w:p>
            <w:pPr/>
          </w:p>
        </w:tc>
        <w:tc>
          <w:tcPr>
            <w:tcW w:w="2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104" w:right="179"/>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宋体" w:hAnsi="宋体" w:cs="宋体" w:eastAsia="宋体" w:hint="default"/>
                <w:sz w:val="18"/>
                <w:szCs w:val="18"/>
              </w:rPr>
              <w:t>C4</w:t>
            </w:r>
            <w:r>
              <w:rPr>
                <w:rFonts w:ascii="宋体" w:hAnsi="宋体" w:cs="宋体" w:eastAsia="宋体" w:hint="default"/>
                <w:sz w:val="18"/>
                <w:szCs w:val="18"/>
              </w:rPr>
              <w:t>）</w:t>
            </w:r>
          </w:p>
        </w:tc>
        <w:tc>
          <w:tcPr>
            <w:tcW w:w="2941" w:type="dxa"/>
            <w:gridSpan w:val="4"/>
            <w:tcBorders>
              <w:top w:val="single" w:sz="6" w:space="0" w:color="000000"/>
              <w:left w:val="single" w:sz="6" w:space="0" w:color="000000"/>
              <w:bottom w:val="single" w:sz="6" w:space="0" w:color="000000"/>
              <w:right w:val="single" w:sz="12" w:space="0" w:color="000000"/>
            </w:tcBorders>
          </w:tcPr>
          <w:p>
            <w:pPr/>
          </w:p>
        </w:tc>
      </w:tr>
      <w:tr>
        <w:trPr>
          <w:trHeight w:val="320" w:hRule="exact"/>
        </w:trPr>
        <w:tc>
          <w:tcPr>
            <w:tcW w:w="10387"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
              <w:ind w:left="-1"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639" w:hRule="exact"/>
        </w:trPr>
        <w:tc>
          <w:tcPr>
            <w:tcW w:w="3403"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宋体" w:hAnsi="宋体" w:cs="宋体" w:eastAsia="宋体" w:hint="default"/>
                <w:sz w:val="18"/>
                <w:szCs w:val="18"/>
              </w:rPr>
              <w:t>A1+B1+C1</w:t>
            </w:r>
            <w:r>
              <w:rPr>
                <w:rFonts w:ascii="宋体" w:hAnsi="宋体" w:cs="宋体" w:eastAsia="宋体" w:hint="default"/>
                <w:sz w:val="18"/>
                <w:szCs w:val="18"/>
              </w:rPr>
              <w:t>）</w:t>
            </w:r>
          </w:p>
        </w:tc>
        <w:tc>
          <w:tcPr>
            <w:tcW w:w="1943" w:type="dxa"/>
            <w:gridSpan w:val="2"/>
            <w:tcBorders>
              <w:top w:val="single" w:sz="6" w:space="0" w:color="000000"/>
              <w:left w:val="single" w:sz="6" w:space="0" w:color="000000"/>
              <w:bottom w:val="single" w:sz="6" w:space="0" w:color="000000"/>
              <w:right w:val="single" w:sz="7"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41,386</w:t>
            </w:r>
          </w:p>
        </w:tc>
        <w:tc>
          <w:tcPr>
            <w:tcW w:w="2100" w:type="dxa"/>
            <w:gridSpan w:val="3"/>
            <w:tcBorders>
              <w:top w:val="single" w:sz="6" w:space="0" w:color="000000"/>
              <w:left w:val="single" w:sz="7" w:space="0" w:color="000000"/>
              <w:bottom w:val="single" w:sz="6" w:space="0" w:color="000000"/>
              <w:right w:val="single" w:sz="6" w:space="0" w:color="000000"/>
            </w:tcBorders>
            <w:shd w:val="clear" w:color="auto" w:fill="D2D2D2"/>
          </w:tcPr>
          <w:p>
            <w:pPr>
              <w:pStyle w:val="TableParagraph"/>
              <w:spacing w:line="316" w:lineRule="auto" w:before="11"/>
              <w:ind w:left="103" w:right="179"/>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宋体" w:hAnsi="宋体" w:cs="宋体" w:eastAsia="宋体" w:hint="default"/>
                <w:sz w:val="18"/>
                <w:szCs w:val="18"/>
              </w:rPr>
              <w:t>A2+B2+C2</w:t>
            </w:r>
            <w:r>
              <w:rPr>
                <w:rFonts w:ascii="宋体" w:hAnsi="宋体" w:cs="宋体" w:eastAsia="宋体" w:hint="default"/>
                <w:sz w:val="18"/>
                <w:szCs w:val="18"/>
              </w:rPr>
              <w:t>）</w:t>
            </w:r>
          </w:p>
        </w:tc>
        <w:tc>
          <w:tcPr>
            <w:tcW w:w="2941"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0"/>
              <w:jc w:val="right"/>
              <w:rPr>
                <w:rFonts w:ascii="宋体" w:hAnsi="宋体" w:cs="宋体" w:eastAsia="宋体" w:hint="default"/>
                <w:sz w:val="18"/>
                <w:szCs w:val="18"/>
              </w:rPr>
            </w:pPr>
            <w:r>
              <w:rPr>
                <w:rFonts w:ascii="宋体"/>
                <w:sz w:val="18"/>
              </w:rPr>
              <w:t>33,306</w:t>
            </w:r>
          </w:p>
        </w:tc>
      </w:tr>
      <w:tr>
        <w:trPr>
          <w:trHeight w:val="639" w:hRule="exact"/>
        </w:trPr>
        <w:tc>
          <w:tcPr>
            <w:tcW w:w="3403"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1943" w:type="dxa"/>
            <w:gridSpan w:val="2"/>
            <w:tcBorders>
              <w:top w:val="single" w:sz="6" w:space="0" w:color="000000"/>
              <w:left w:val="single" w:sz="6" w:space="0" w:color="000000"/>
              <w:bottom w:val="single" w:sz="6" w:space="0" w:color="000000"/>
              <w:right w:val="single" w:sz="7"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70,186</w:t>
            </w:r>
          </w:p>
        </w:tc>
        <w:tc>
          <w:tcPr>
            <w:tcW w:w="2100" w:type="dxa"/>
            <w:gridSpan w:val="3"/>
            <w:tcBorders>
              <w:top w:val="single" w:sz="6" w:space="0" w:color="000000"/>
              <w:left w:val="single" w:sz="7" w:space="0" w:color="000000"/>
              <w:bottom w:val="single" w:sz="6" w:space="0" w:color="000000"/>
              <w:right w:val="single" w:sz="6" w:space="0" w:color="000000"/>
            </w:tcBorders>
            <w:shd w:val="clear" w:color="auto" w:fill="D2D2D2"/>
          </w:tcPr>
          <w:p>
            <w:pPr>
              <w:pStyle w:val="TableParagraph"/>
              <w:spacing w:line="316" w:lineRule="auto" w:before="10"/>
              <w:ind w:left="103" w:right="179"/>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宋体" w:hAnsi="宋体" w:cs="宋体" w:eastAsia="宋体" w:hint="default"/>
                <w:sz w:val="18"/>
                <w:szCs w:val="18"/>
              </w:rPr>
              <w:t>A4+B4+C4</w:t>
            </w:r>
            <w:r>
              <w:rPr>
                <w:rFonts w:ascii="宋体" w:hAnsi="宋体" w:cs="宋体" w:eastAsia="宋体" w:hint="default"/>
                <w:sz w:val="18"/>
                <w:szCs w:val="18"/>
              </w:rPr>
              <w:t>）</w:t>
            </w:r>
          </w:p>
        </w:tc>
        <w:tc>
          <w:tcPr>
            <w:tcW w:w="2941"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0"/>
              <w:jc w:val="right"/>
              <w:rPr>
                <w:rFonts w:ascii="宋体" w:hAnsi="宋体" w:cs="宋体" w:eastAsia="宋体" w:hint="default"/>
                <w:sz w:val="18"/>
                <w:szCs w:val="18"/>
              </w:rPr>
            </w:pPr>
            <w:r>
              <w:rPr>
                <w:rFonts w:ascii="宋体"/>
                <w:sz w:val="18"/>
              </w:rPr>
              <w:t>62,106</w:t>
            </w:r>
          </w:p>
        </w:tc>
      </w:tr>
      <w:tr>
        <w:trPr>
          <w:trHeight w:val="334" w:hRule="exact"/>
        </w:trPr>
        <w:tc>
          <w:tcPr>
            <w:tcW w:w="5346" w:type="dxa"/>
            <w:gridSpan w:val="5"/>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5041"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宋体" w:hAnsi="宋体" w:cs="宋体" w:eastAsia="宋体" w:hint="default"/>
                <w:sz w:val="18"/>
                <w:szCs w:val="18"/>
              </w:rPr>
            </w:pPr>
            <w:r>
              <w:rPr>
                <w:rFonts w:ascii="宋体"/>
                <w:sz w:val="18"/>
              </w:rPr>
              <w:t>58.97%</w:t>
            </w:r>
          </w:p>
        </w:tc>
      </w:tr>
      <w:tr>
        <w:trPr>
          <w:trHeight w:val="320" w:hRule="exact"/>
        </w:trPr>
        <w:tc>
          <w:tcPr>
            <w:tcW w:w="10387"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
              <w:ind w:left="9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7" w:hRule="exact"/>
        </w:trPr>
        <w:tc>
          <w:tcPr>
            <w:tcW w:w="5346" w:type="dxa"/>
            <w:gridSpan w:val="5"/>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宋体" w:hAnsi="宋体" w:cs="宋体" w:eastAsia="宋体" w:hint="default"/>
                <w:sz w:val="18"/>
                <w:szCs w:val="18"/>
              </w:rPr>
              <w:t>D</w:t>
            </w:r>
            <w:r>
              <w:rPr>
                <w:rFonts w:ascii="宋体" w:hAnsi="宋体" w:cs="宋体" w:eastAsia="宋体" w:hint="default"/>
                <w:sz w:val="18"/>
                <w:szCs w:val="18"/>
              </w:rPr>
              <w:t>）</w:t>
            </w:r>
          </w:p>
        </w:tc>
        <w:tc>
          <w:tcPr>
            <w:tcW w:w="5041"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宋体" w:hAnsi="宋体" w:cs="宋体" w:eastAsia="宋体" w:hint="default"/>
                <w:sz w:val="18"/>
                <w:szCs w:val="18"/>
              </w:rPr>
            </w:pPr>
            <w:r>
              <w:rPr>
                <w:rFonts w:ascii="宋体"/>
                <w:sz w:val="18"/>
              </w:rPr>
              <w:t>28,800</w:t>
            </w:r>
          </w:p>
        </w:tc>
      </w:tr>
      <w:tr>
        <w:trPr>
          <w:trHeight w:val="639" w:hRule="exact"/>
        </w:trPr>
        <w:tc>
          <w:tcPr>
            <w:tcW w:w="5346" w:type="dxa"/>
            <w:gridSpan w:val="5"/>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93" w:right="23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的被担保对象提供的债务担保 余额（</w:t>
            </w:r>
            <w:r>
              <w:rPr>
                <w:rFonts w:ascii="宋体" w:hAnsi="宋体" w:cs="宋体" w:eastAsia="宋体" w:hint="default"/>
                <w:sz w:val="18"/>
                <w:szCs w:val="18"/>
              </w:rPr>
              <w:t>E</w:t>
            </w:r>
            <w:r>
              <w:rPr>
                <w:rFonts w:ascii="宋体" w:hAnsi="宋体" w:cs="宋体" w:eastAsia="宋体" w:hint="default"/>
                <w:sz w:val="18"/>
                <w:szCs w:val="18"/>
              </w:rPr>
              <w:t>）</w:t>
            </w:r>
          </w:p>
        </w:tc>
        <w:tc>
          <w:tcPr>
            <w:tcW w:w="5041"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1"/>
              <w:jc w:val="right"/>
              <w:rPr>
                <w:rFonts w:ascii="宋体" w:hAnsi="宋体" w:cs="宋体" w:eastAsia="宋体" w:hint="default"/>
                <w:sz w:val="18"/>
                <w:szCs w:val="18"/>
              </w:rPr>
            </w:pPr>
            <w:r>
              <w:rPr>
                <w:rFonts w:ascii="宋体"/>
                <w:sz w:val="18"/>
              </w:rPr>
              <w:t>0</w:t>
            </w:r>
          </w:p>
        </w:tc>
      </w:tr>
      <w:tr>
        <w:trPr>
          <w:trHeight w:val="327" w:hRule="exact"/>
        </w:trPr>
        <w:tc>
          <w:tcPr>
            <w:tcW w:w="5346" w:type="dxa"/>
            <w:gridSpan w:val="5"/>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F</w:t>
            </w:r>
            <w:r>
              <w:rPr>
                <w:rFonts w:ascii="宋体" w:hAnsi="宋体" w:cs="宋体" w:eastAsia="宋体" w:hint="default"/>
                <w:sz w:val="18"/>
                <w:szCs w:val="18"/>
              </w:rPr>
              <w:t>）</w:t>
            </w:r>
          </w:p>
        </w:tc>
        <w:tc>
          <w:tcPr>
            <w:tcW w:w="5041"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宋体" w:hAnsi="宋体" w:cs="宋体" w:eastAsia="宋体" w:hint="default"/>
                <w:sz w:val="18"/>
                <w:szCs w:val="18"/>
              </w:rPr>
            </w:pPr>
            <w:r>
              <w:rPr>
                <w:rFonts w:ascii="宋体"/>
                <w:sz w:val="18"/>
              </w:rPr>
              <w:t>9,447</w:t>
            </w:r>
          </w:p>
        </w:tc>
      </w:tr>
      <w:tr>
        <w:trPr>
          <w:trHeight w:val="327" w:hRule="exact"/>
        </w:trPr>
        <w:tc>
          <w:tcPr>
            <w:tcW w:w="5346" w:type="dxa"/>
            <w:gridSpan w:val="5"/>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D+E+F</w:t>
            </w:r>
            <w:r>
              <w:rPr>
                <w:rFonts w:ascii="宋体" w:hAnsi="宋体" w:cs="宋体" w:eastAsia="宋体" w:hint="default"/>
                <w:sz w:val="18"/>
                <w:szCs w:val="18"/>
              </w:rPr>
              <w:t>）</w:t>
            </w:r>
          </w:p>
        </w:tc>
        <w:tc>
          <w:tcPr>
            <w:tcW w:w="5041"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38,247</w:t>
            </w:r>
          </w:p>
        </w:tc>
      </w:tr>
      <w:tr>
        <w:trPr>
          <w:trHeight w:val="639" w:hRule="exact"/>
        </w:trPr>
        <w:tc>
          <w:tcPr>
            <w:tcW w:w="5346" w:type="dxa"/>
            <w:gridSpan w:val="5"/>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93" w:right="188"/>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 任的情况说明（如有）</w:t>
            </w:r>
          </w:p>
        </w:tc>
        <w:tc>
          <w:tcPr>
            <w:tcW w:w="5041"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5" w:hRule="exact"/>
        </w:trPr>
        <w:tc>
          <w:tcPr>
            <w:tcW w:w="5346" w:type="dxa"/>
            <w:gridSpan w:val="5"/>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5041" w:type="dxa"/>
            <w:gridSpan w:val="7"/>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Heading4"/>
        <w:spacing w:line="240" w:lineRule="auto" w:before="63"/>
        <w:ind w:left="494" w:right="0"/>
        <w:jc w:val="left"/>
        <w:rPr>
          <w:b w:val="0"/>
          <w:bCs w:val="0"/>
        </w:rPr>
      </w:pPr>
      <w:bookmarkStart w:name="（2）违规对外担保情况" w:id="93"/>
      <w:bookmarkEnd w:id="93"/>
      <w:r>
        <w:rPr>
          <w:b w:val="0"/>
          <w:bCs w:val="0"/>
        </w:rPr>
      </w:r>
      <w:r>
        <w:rPr/>
        <w:t>（</w:t>
      </w:r>
      <w:r>
        <w:rPr>
          <w:rFonts w:ascii="宋体" w:hAnsi="宋体" w:cs="宋体" w:eastAsia="宋体" w:hint="default"/>
        </w:rPr>
        <w:t>2</w:t>
      </w:r>
      <w:r>
        <w:rPr/>
        <w:t>）违规对外担保情况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494" w:right="0"/>
        <w:jc w:val="left"/>
      </w:pPr>
      <w:r>
        <w:rPr/>
        <w:t>□ 适用 √</w:t>
      </w:r>
      <w:r>
        <w:rPr>
          <w:spacing w:val="-1"/>
        </w:rPr>
        <w:t> </w:t>
      </w:r>
      <w:r>
        <w:rPr/>
        <w:t>不适用</w:t>
      </w:r>
    </w:p>
    <w:p>
      <w:pPr>
        <w:spacing w:after="0" w:line="240" w:lineRule="auto"/>
        <w:jc w:val="left"/>
        <w:sectPr>
          <w:pgSz w:w="11910" w:h="16840"/>
          <w:pgMar w:header="877" w:footer="1000" w:top="1100" w:bottom="1180" w:left="640" w:right="0"/>
        </w:sectPr>
      </w:pPr>
    </w:p>
    <w:p>
      <w:pPr>
        <w:spacing w:line="240" w:lineRule="auto" w:before="8"/>
        <w:rPr>
          <w:rFonts w:ascii="宋体" w:hAnsi="宋体" w:cs="宋体" w:eastAsia="宋体" w:hint="default"/>
          <w:sz w:val="26"/>
          <w:szCs w:val="26"/>
        </w:rPr>
      </w:pPr>
    </w:p>
    <w:p>
      <w:pPr>
        <w:spacing w:line="408" w:lineRule="auto" w:before="35"/>
        <w:ind w:left="154" w:right="7484" w:firstLine="0"/>
        <w:jc w:val="left"/>
        <w:rPr>
          <w:rFonts w:ascii="宋体" w:hAnsi="宋体" w:cs="宋体" w:eastAsia="宋体" w:hint="default"/>
          <w:sz w:val="21"/>
          <w:szCs w:val="21"/>
        </w:rPr>
      </w:pPr>
      <w:r>
        <w:rPr>
          <w:rFonts w:ascii="宋体" w:hAnsi="宋体" w:cs="宋体" w:eastAsia="宋体" w:hint="default"/>
          <w:sz w:val="21"/>
          <w:szCs w:val="21"/>
        </w:rPr>
        <w:t>公司报告期无违规对外担保情况。 </w:t>
      </w:r>
      <w:bookmarkStart w:name="3、委托他人进行现金资产管理情况" w:id="94"/>
      <w:bookmarkEnd w:id="94"/>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pStyle w:val="Heading4"/>
        <w:spacing w:line="240" w:lineRule="auto" w:before="46"/>
        <w:ind w:right="0"/>
        <w:jc w:val="both"/>
        <w:rPr>
          <w:b w:val="0"/>
          <w:bCs w:val="0"/>
        </w:rPr>
      </w:pPr>
      <w:bookmarkStart w:name="（1）委托理财情况" w:id="95"/>
      <w:bookmarkEnd w:id="95"/>
      <w:r>
        <w:rPr>
          <w:b w:val="0"/>
          <w:bCs w:val="0"/>
        </w:rPr>
      </w:r>
      <w:r>
        <w:rPr/>
        <w:t>（</w:t>
      </w:r>
      <w:r>
        <w:rPr>
          <w:rFonts w:ascii="宋体" w:hAnsi="宋体" w:cs="宋体" w:eastAsia="宋体" w:hint="default"/>
        </w:rPr>
        <w:t>1</w:t>
      </w:r>
      <w:r>
        <w:rPr/>
        <w:t>）委托理财情况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2）委托贷款情况" w:id="96"/>
      <w:bookmarkEnd w:id="96"/>
      <w:r>
        <w:rPr>
          <w:b w:val="0"/>
          <w:bCs w:val="0"/>
        </w:rPr>
      </w:r>
      <w:r>
        <w:rPr/>
        <w:t>（</w:t>
      </w:r>
      <w:r>
        <w:rPr>
          <w:rFonts w:ascii="宋体" w:hAnsi="宋体" w:cs="宋体" w:eastAsia="宋体" w:hint="default"/>
        </w:rPr>
        <w:t>2</w:t>
      </w:r>
      <w:r>
        <w:rPr/>
        <w:t>）委托贷款情况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其他重大合同" w:id="97"/>
      <w:bookmarkEnd w:id="97"/>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381" w:lineRule="auto" w:before="46"/>
        <w:ind w:left="154" w:right="858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十七、社会责任情况" w:id="98"/>
      <w:bookmarkEnd w:id="98"/>
      <w:r>
        <w:rPr>
          <w:rFonts w:ascii="宋体" w:hAnsi="宋体" w:cs="宋体" w:eastAsia="宋体" w:hint="default"/>
          <w:sz w:val="21"/>
          <w:szCs w:val="21"/>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9"/>
      <w:bookmarkEnd w:id="99"/>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pStyle w:val="BodyText"/>
        <w:spacing w:line="408" w:lineRule="auto" w:before="69"/>
        <w:ind w:left="574" w:right="0"/>
        <w:jc w:val="left"/>
      </w:pPr>
      <w:r>
        <w:rPr/>
        <w:t>（</w:t>
      </w:r>
      <w:r>
        <w:rPr>
          <w:rFonts w:ascii="宋体" w:hAnsi="宋体" w:cs="宋体" w:eastAsia="宋体" w:hint="default"/>
        </w:rPr>
        <w:t>1</w:t>
      </w:r>
      <w:r>
        <w:rPr/>
        <w:t>）宗旨和理念 公司始终坚持以“把握信息之源、创造客户价值”为企业宗旨，秉承“承载社会责任、尊重投资者、</w:t>
      </w:r>
    </w:p>
    <w:p>
      <w:pPr>
        <w:pStyle w:val="BodyText"/>
        <w:spacing w:line="408" w:lineRule="auto"/>
        <w:ind w:right="1132"/>
        <w:jc w:val="both"/>
      </w:pPr>
      <w:r>
        <w:rPr>
          <w:spacing w:val="-1"/>
        </w:rPr>
        <w:t>重视人才、关爱员工”的经营理念，以合作、竞争、创新、求实的工作态度，在企业发展中兼顾股东、债</w:t>
      </w:r>
      <w:r>
        <w:rPr>
          <w:spacing w:val="-85"/>
        </w:rPr>
        <w:t> </w:t>
      </w:r>
      <w:r>
        <w:rPr>
          <w:spacing w:val="-85"/>
        </w:rPr>
      </w:r>
      <w:r>
        <w:rPr>
          <w:spacing w:val="-1"/>
        </w:rPr>
        <w:t>权人、员工、客户、供应商、政府、行业企业、社会弱势群体等各相关方利益，将社会责任融入到企业战</w:t>
      </w:r>
      <w:r>
        <w:rPr>
          <w:spacing w:val="-85"/>
        </w:rPr>
        <w:t> </w:t>
      </w:r>
      <w:r>
        <w:rPr>
          <w:spacing w:val="-85"/>
        </w:rPr>
      </w:r>
      <w:r>
        <w:rPr/>
        <w:t>略发展、文化建设和生产经营全过程，促进企业经济效益与环境效益、社会效益的协调统一。</w:t>
      </w:r>
    </w:p>
    <w:p>
      <w:pPr>
        <w:pStyle w:val="BodyText"/>
        <w:spacing w:line="408" w:lineRule="auto"/>
        <w:ind w:left="574" w:right="1122"/>
        <w:jc w:val="left"/>
      </w:pPr>
      <w:r>
        <w:rPr/>
        <w:t>（</w:t>
      </w:r>
      <w:r>
        <w:rPr>
          <w:rFonts w:ascii="宋体" w:hAnsi="宋体" w:cs="宋体" w:eastAsia="宋体" w:hint="default"/>
        </w:rPr>
        <w:t>2</w:t>
      </w:r>
      <w:r>
        <w:rPr/>
        <w:t>）股东和债权人权益保护 </w:t>
      </w:r>
      <w:r>
        <w:rPr>
          <w:spacing w:val="-1"/>
        </w:rPr>
        <w:t>公司通过投资者热线、现场接待、电话会、业绩说明会以及邮件、电话、深交所互动易平台等方式积</w:t>
      </w:r>
    </w:p>
    <w:p>
      <w:pPr>
        <w:pStyle w:val="BodyText"/>
        <w:spacing w:line="408" w:lineRule="auto"/>
        <w:ind w:right="1122"/>
        <w:jc w:val="left"/>
      </w:pPr>
      <w:r>
        <w:rPr>
          <w:spacing w:val="-1"/>
        </w:rPr>
        <w:t>极听取投资者的建议与意见，鼓励股东参加股东大会，加强与股东的沟通交流，保证股东知情权、参与权</w:t>
      </w:r>
      <w:r>
        <w:rPr>
          <w:spacing w:val="-86"/>
        </w:rPr>
        <w:t> </w:t>
      </w:r>
      <w:r>
        <w:rPr>
          <w:spacing w:val="-86"/>
        </w:rPr>
      </w:r>
      <w:r>
        <w:rPr/>
        <w:t>及经营成果的分享权。</w:t>
      </w:r>
    </w:p>
    <w:p>
      <w:pPr>
        <w:pStyle w:val="BodyText"/>
        <w:spacing w:line="408" w:lineRule="auto"/>
        <w:ind w:right="1122" w:firstLine="420"/>
        <w:jc w:val="left"/>
      </w:pPr>
      <w:r>
        <w:rPr>
          <w:spacing w:val="-1"/>
        </w:rPr>
        <w:t>公司在经营决策过程中，严格按照与债权人签订的合同履行债务，对债权人及其合法权益予以尊重和</w:t>
      </w:r>
      <w:r>
        <w:rPr/>
        <w:t> 保护。</w:t>
      </w:r>
    </w:p>
    <w:p>
      <w:pPr>
        <w:pStyle w:val="BodyText"/>
        <w:spacing w:line="408" w:lineRule="auto"/>
        <w:ind w:left="574" w:right="1122"/>
        <w:jc w:val="left"/>
      </w:pPr>
      <w:r>
        <w:rPr/>
        <w:t>（</w:t>
      </w:r>
      <w:r>
        <w:rPr>
          <w:rFonts w:ascii="宋体" w:hAnsi="宋体" w:cs="宋体" w:eastAsia="宋体" w:hint="default"/>
        </w:rPr>
        <w:t>3</w:t>
      </w:r>
      <w:r>
        <w:rPr/>
        <w:t>）职工权益保护 </w:t>
      </w:r>
      <w:r>
        <w:rPr>
          <w:spacing w:val="-1"/>
        </w:rPr>
        <w:t>公司一直高度重视企业文化建设工作，《攀登者》期刊是企业文化宣传的重要窗口，</w:t>
      </w:r>
      <w:r>
        <w:rPr>
          <w:rFonts w:ascii="宋体" w:hAnsi="宋体" w:cs="宋体" w:eastAsia="宋体" w:hint="default"/>
          <w:spacing w:val="-1"/>
        </w:rPr>
        <w:t>2018</w:t>
      </w:r>
      <w:r>
        <w:rPr>
          <w:spacing w:val="-1"/>
        </w:rPr>
        <w:t>年公司在传</w:t>
      </w:r>
    </w:p>
    <w:p>
      <w:pPr>
        <w:pStyle w:val="BodyText"/>
        <w:spacing w:line="408" w:lineRule="auto"/>
        <w:ind w:right="1131"/>
        <w:jc w:val="both"/>
      </w:pPr>
      <w:r>
        <w:rPr>
          <w:spacing w:val="-1"/>
        </w:rPr>
        <w:t>统的企业年会中融合了新春论坛，欢庆的同时为员工带来了知识的盛宴。在日常工作中，不定期的组织羽</w:t>
      </w:r>
      <w:r>
        <w:rPr>
          <w:spacing w:val="-83"/>
        </w:rPr>
        <w:t> </w:t>
      </w:r>
      <w:r>
        <w:rPr>
          <w:spacing w:val="-83"/>
        </w:rPr>
      </w:r>
      <w:r>
        <w:rPr>
          <w:spacing w:val="-1"/>
        </w:rPr>
        <w:t>毛球、乒乓球、摄影大赛等形式多样的文体活动，以部门为单位组织员工拓展活动，将企业文化融入各项</w:t>
      </w:r>
      <w:r>
        <w:rPr>
          <w:spacing w:val="-86"/>
        </w:rPr>
        <w:t> </w:t>
      </w:r>
      <w:r>
        <w:rPr>
          <w:spacing w:val="-86"/>
        </w:rPr>
      </w:r>
      <w:r>
        <w:rPr/>
        <w:t>活动中，凝聚人心、鼓舞士气，进而转化为强大内生动力。</w:t>
      </w:r>
    </w:p>
    <w:p>
      <w:pPr>
        <w:pStyle w:val="BodyText"/>
        <w:spacing w:line="408" w:lineRule="auto"/>
        <w:ind w:right="0" w:firstLine="420"/>
        <w:jc w:val="left"/>
      </w:pPr>
      <w:r>
        <w:rPr/>
        <w:t>在员工权益方面，公司积极引导员工制定明确的职业发展规划，以“全员、全程、全方位、多渠道” 的培训理念开展员工多元化培训工作，实现员企共同成长。一方面，公司严格按照国家相关规定开展常规 业务和职业技能的培训，通过常态化的定期培训管理，提升员工的职业技能水平；另一方面，通过论坛、</w:t>
      </w:r>
      <w:r>
        <w:rPr>
          <w:spacing w:val="-35"/>
        </w:rPr>
        <w:t> </w:t>
      </w:r>
      <w:r>
        <w:rPr>
          <w:spacing w:val="-35"/>
        </w:rPr>
      </w:r>
      <w:r>
        <w:rPr/>
        <w:t>专题培训、讲座、读书活动等方式，为员工提供丰富多彩的培训项目，使员工能够在本职工作之外，整体</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22"/>
        <w:jc w:val="left"/>
      </w:pPr>
      <w:r>
        <w:rPr/>
        <w:t>职业素养和综合素质得到有效提升。</w:t>
      </w:r>
    </w:p>
    <w:p>
      <w:pPr>
        <w:spacing w:line="240" w:lineRule="auto" w:before="10"/>
        <w:rPr>
          <w:rFonts w:ascii="宋体" w:hAnsi="宋体" w:cs="宋体" w:eastAsia="宋体" w:hint="default"/>
          <w:sz w:val="14"/>
          <w:szCs w:val="14"/>
        </w:rPr>
      </w:pPr>
    </w:p>
    <w:p>
      <w:pPr>
        <w:pStyle w:val="BodyText"/>
        <w:spacing w:line="408" w:lineRule="auto" w:before="0"/>
        <w:ind w:left="574" w:right="1122"/>
        <w:jc w:val="left"/>
      </w:pPr>
      <w:r>
        <w:rPr/>
        <w:t>（</w:t>
      </w:r>
      <w:r>
        <w:rPr>
          <w:rFonts w:ascii="宋体" w:hAnsi="宋体" w:cs="宋体" w:eastAsia="宋体" w:hint="default"/>
        </w:rPr>
        <w:t>4</w:t>
      </w:r>
      <w:r>
        <w:rPr/>
        <w:t>）供应商、客户权益保护 </w:t>
      </w:r>
      <w:r>
        <w:rPr>
          <w:spacing w:val="-1"/>
        </w:rPr>
        <w:t>公司已建立供应商评价体系，对供应商进行全面的事前、事中、事后全方位考核与评估，为供应商提</w:t>
      </w:r>
    </w:p>
    <w:p>
      <w:pPr>
        <w:pStyle w:val="BodyText"/>
        <w:spacing w:line="408" w:lineRule="auto"/>
        <w:ind w:right="1122"/>
        <w:jc w:val="left"/>
      </w:pPr>
      <w:r>
        <w:rPr>
          <w:spacing w:val="-1"/>
        </w:rPr>
        <w:t>供公平透明的竞争环境，削减供应商寻租空间，也为优秀供应商的成长提供良好的条件，关注和保障供应</w:t>
      </w:r>
      <w:r>
        <w:rPr>
          <w:spacing w:val="-83"/>
        </w:rPr>
        <w:t> </w:t>
      </w:r>
      <w:r>
        <w:rPr>
          <w:spacing w:val="-83"/>
        </w:rPr>
      </w:r>
      <w:r>
        <w:rPr/>
        <w:t>商利益，力图与供应商实现共赢。</w:t>
      </w:r>
    </w:p>
    <w:p>
      <w:pPr>
        <w:pStyle w:val="BodyText"/>
        <w:spacing w:line="408" w:lineRule="auto"/>
        <w:ind w:right="1131" w:firstLine="420"/>
        <w:jc w:val="both"/>
      </w:pPr>
      <w:r>
        <w:rPr>
          <w:spacing w:val="-1"/>
        </w:rPr>
        <w:t>公司电力业务主要客户是国家电网及各网省电力公司，在产品交付中严把质量关，同时建立完善的售</w:t>
      </w:r>
      <w:r>
        <w:rPr/>
        <w:t> 后服务体系，保质保量的完成客户需求，深受客户好评。</w:t>
      </w:r>
    </w:p>
    <w:p>
      <w:pPr>
        <w:pStyle w:val="BodyText"/>
        <w:spacing w:line="408" w:lineRule="auto"/>
        <w:ind w:left="574" w:right="0"/>
        <w:jc w:val="left"/>
      </w:pPr>
      <w:r>
        <w:rPr/>
        <w:t>（</w:t>
      </w:r>
      <w:r>
        <w:rPr>
          <w:rFonts w:ascii="宋体" w:hAnsi="宋体" w:cs="宋体" w:eastAsia="宋体" w:hint="default"/>
        </w:rPr>
        <w:t>5</w:t>
      </w:r>
      <w:r>
        <w:rPr/>
        <w:t>）公共关系和社会公益事业 公司在保持生产经营平稳发展的同时，积极履行依法纳税的义务，注重加强与相关部门的沟通联系。</w:t>
      </w:r>
    </w:p>
    <w:p>
      <w:pPr>
        <w:pStyle w:val="BodyText"/>
        <w:spacing w:line="408" w:lineRule="auto"/>
        <w:ind w:right="1122"/>
        <w:jc w:val="left"/>
        <w:rPr>
          <w:rFonts w:ascii="宋体" w:hAnsi="宋体" w:cs="宋体" w:eastAsia="宋体" w:hint="default"/>
        </w:rPr>
      </w:pPr>
      <w:r>
        <w:rPr>
          <w:spacing w:val="-1"/>
        </w:rPr>
        <w:t>在企业成长的同时，公司不忘积极投身于公益事业，长期关注贵州贫困地区留守儿童教育问题，定点帮助</w:t>
      </w:r>
      <w:r>
        <w:rPr>
          <w:spacing w:val="-83"/>
        </w:rPr>
        <w:t> </w:t>
      </w:r>
      <w:r>
        <w:rPr>
          <w:spacing w:val="-83"/>
        </w:rPr>
      </w:r>
      <w:r>
        <w:rPr/>
        <w:t>贵州大方县大沟小学，组织员工捐款捐物，为留守儿童身心健康成长贡献自己的力量。 </w:t>
      </w:r>
      <w:bookmarkStart w:name="2、履行精准扶贫社会责任情况" w:id="100"/>
      <w:bookmarkEnd w:id="100"/>
      <w:r>
        <w:rPr/>
      </w:r>
      <w:r>
        <w:rPr>
          <w:rFonts w:ascii="宋体" w:hAnsi="宋体" w:cs="宋体" w:eastAsia="宋体" w:hint="default"/>
          <w:b/>
          <w:bCs/>
        </w:rPr>
        <w:t>2</w:t>
      </w:r>
      <w:r>
        <w:rPr>
          <w:rFonts w:ascii="宋体" w:hAnsi="宋体" w:cs="宋体" w:eastAsia="宋体" w:hint="default"/>
          <w:b/>
          <w:bCs/>
        </w:rPr>
        <w:t>、履行精准扶贫社会责任情况</w:t>
      </w:r>
      <w:r>
        <w:rPr>
          <w:rFonts w:ascii="宋体" w:hAnsi="宋体" w:cs="宋体" w:eastAsia="宋体" w:hint="default"/>
        </w:rPr>
      </w:r>
    </w:p>
    <w:p>
      <w:pPr>
        <w:spacing w:line="408" w:lineRule="auto" w:before="46"/>
        <w:ind w:left="154" w:right="4242" w:firstLine="420"/>
        <w:jc w:val="left"/>
        <w:rPr>
          <w:rFonts w:ascii="宋体" w:hAnsi="宋体" w:cs="宋体" w:eastAsia="宋体" w:hint="default"/>
          <w:sz w:val="21"/>
          <w:szCs w:val="21"/>
        </w:rPr>
      </w:pPr>
      <w:r>
        <w:rPr>
          <w:rFonts w:ascii="宋体" w:hAnsi="宋体" w:cs="宋体" w:eastAsia="宋体" w:hint="default"/>
          <w:sz w:val="21"/>
          <w:szCs w:val="21"/>
        </w:rPr>
        <w:t>公司报告年度暂未开展精准扶贫工作，也暂无后续精准扶贫计划。 </w:t>
      </w:r>
      <w:bookmarkStart w:name="3、环境保护相关的情况" w:id="101"/>
      <w:bookmarkEnd w:id="101"/>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pStyle w:val="BodyText"/>
        <w:spacing w:line="408" w:lineRule="auto"/>
        <w:ind w:right="1131" w:firstLine="423"/>
        <w:jc w:val="both"/>
      </w:pPr>
      <w:r>
        <w:rPr>
          <w:spacing w:val="-1"/>
        </w:rPr>
        <w:t>公司电力业务主要从事智能电网系统的软、硬件研发、生产、销售、工程及服务，属于电力自动化行</w:t>
      </w:r>
      <w:r>
        <w:rPr/>
        <w:t> </w:t>
      </w:r>
      <w:r>
        <w:rPr>
          <w:spacing w:val="-1"/>
        </w:rPr>
        <w:t>业，公司及子公司不属于环境保护部门公布的重点排污单位。公司一直高度重视环境保护工作，建立了公</w:t>
      </w:r>
      <w:r>
        <w:rPr>
          <w:spacing w:val="-83"/>
        </w:rPr>
        <w:t> </w:t>
      </w:r>
      <w:r>
        <w:rPr>
          <w:spacing w:val="-83"/>
        </w:rPr>
      </w:r>
      <w:r>
        <w:rPr>
          <w:spacing w:val="-1"/>
        </w:rPr>
        <w:t>司环保管理网络</w:t>
      </w:r>
      <w:r>
        <w:rPr>
          <w:rFonts w:ascii="宋体" w:hAnsi="宋体" w:cs="宋体" w:eastAsia="宋体" w:hint="default"/>
          <w:spacing w:val="-1"/>
        </w:rPr>
        <w:t>,</w:t>
      </w:r>
      <w:r>
        <w:rPr>
          <w:spacing w:val="-1"/>
        </w:rPr>
        <w:t>完善日常巡查的运行监督机制，完善环保基础设施配置</w:t>
      </w:r>
      <w:r>
        <w:rPr>
          <w:rFonts w:ascii="宋体" w:hAnsi="宋体" w:cs="宋体" w:eastAsia="宋体" w:hint="default"/>
          <w:spacing w:val="-1"/>
        </w:rPr>
        <w:t>,</w:t>
      </w:r>
      <w:r>
        <w:rPr>
          <w:spacing w:val="-1"/>
        </w:rPr>
        <w:t>对工艺操作、设备、设施、厂区</w:t>
      </w:r>
      <w:r>
        <w:rPr>
          <w:spacing w:val="-87"/>
        </w:rPr>
        <w:t> </w:t>
      </w:r>
      <w:r>
        <w:rPr>
          <w:spacing w:val="-87"/>
        </w:rPr>
      </w:r>
      <w:r>
        <w:rPr/>
        <w:t>绿化等方面进行环保管理</w:t>
      </w:r>
      <w:r>
        <w:rPr>
          <w:rFonts w:ascii="宋体" w:hAnsi="宋体" w:cs="宋体" w:eastAsia="宋体" w:hint="default"/>
        </w:rPr>
        <w:t>,</w:t>
      </w:r>
      <w:r>
        <w:rPr>
          <w:rFonts w:ascii="宋体" w:hAnsi="宋体" w:cs="宋体" w:eastAsia="宋体" w:hint="default"/>
          <w:spacing w:val="-22"/>
        </w:rPr>
        <w:t> </w:t>
      </w:r>
      <w:r>
        <w:rPr/>
        <w:t>公司已通过环境保护治理设计，外排的各种污染物均能达到国家排放标准，报 告期内未发生环境污染事故，亦未受到任何形式的环境保护行政处罚。</w:t>
      </w:r>
    </w:p>
    <w:p>
      <w:pPr>
        <w:pStyle w:val="Heading2"/>
        <w:spacing w:line="240" w:lineRule="auto" w:before="23"/>
        <w:ind w:right="1122"/>
        <w:jc w:val="left"/>
        <w:rPr>
          <w:b w:val="0"/>
          <w:bCs w:val="0"/>
        </w:rPr>
      </w:pPr>
      <w:bookmarkStart w:name="十八、其他重大事项的说明" w:id="102"/>
      <w:bookmarkEnd w:id="102"/>
      <w:r>
        <w:rPr>
          <w:b w:val="0"/>
          <w:bCs w:val="0"/>
        </w:rPr>
      </w:r>
      <w:r>
        <w:rPr/>
        <w:t>十八、其他重大事项的说明</w:t>
      </w:r>
      <w:r>
        <w:rPr>
          <w:b w:val="0"/>
          <w:bCs w:val="0"/>
        </w:rPr>
      </w:r>
    </w:p>
    <w:p>
      <w:pPr>
        <w:pStyle w:val="BodyText"/>
        <w:spacing w:line="240" w:lineRule="auto" w:before="177"/>
        <w:ind w:right="1122"/>
        <w:jc w:val="left"/>
      </w:pPr>
      <w:r>
        <w:rPr/>
        <w:t>□ 适用 √</w:t>
      </w:r>
      <w:r>
        <w:rPr>
          <w:spacing w:val="-1"/>
        </w:rPr>
        <w:t> </w:t>
      </w:r>
      <w:r>
        <w:rPr/>
        <w:t>不适用</w:t>
      </w:r>
    </w:p>
    <w:p>
      <w:pPr>
        <w:pStyle w:val="Heading2"/>
        <w:spacing w:line="240" w:lineRule="auto" w:before="170"/>
        <w:ind w:right="1122"/>
        <w:jc w:val="left"/>
        <w:rPr>
          <w:b w:val="0"/>
          <w:bCs w:val="0"/>
        </w:rPr>
      </w:pPr>
      <w:bookmarkStart w:name="十九、公司子公司重大事项" w:id="103"/>
      <w:bookmarkEnd w:id="103"/>
      <w:r>
        <w:rPr>
          <w:b w:val="0"/>
          <w:bCs w:val="0"/>
        </w:rPr>
      </w:r>
      <w:r>
        <w:rPr/>
        <w:t>十九、公司子公司重大事项</w:t>
      </w:r>
      <w:r>
        <w:rPr>
          <w:b w:val="0"/>
          <w:bCs w:val="0"/>
        </w:rPr>
      </w:r>
    </w:p>
    <w:p>
      <w:pPr>
        <w:pStyle w:val="BodyText"/>
        <w:spacing w:line="240" w:lineRule="auto" w:before="177"/>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6" w:right="1122"/>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22"/>
        <w:jc w:val="left"/>
        <w:rPr>
          <w:b w:val="0"/>
          <w:bCs w:val="0"/>
        </w:rPr>
      </w:pPr>
      <w:bookmarkStart w:name="一、股份变动情况" w:id="106"/>
      <w:bookmarkEnd w:id="10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2"/>
        <w:jc w:val="left"/>
        <w:rPr>
          <w:b w:val="0"/>
          <w:bCs w:val="0"/>
        </w:rPr>
      </w:pPr>
      <w:bookmarkStart w:name="1、股份变动情况" w:id="107"/>
      <w:bookmarkEnd w:id="107"/>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69"/>
        <w:gridCol w:w="1144"/>
        <w:gridCol w:w="851"/>
        <w:gridCol w:w="566"/>
        <w:gridCol w:w="426"/>
        <w:gridCol w:w="708"/>
        <w:gridCol w:w="1134"/>
        <w:gridCol w:w="1134"/>
        <w:gridCol w:w="1134"/>
        <w:gridCol w:w="709"/>
      </w:tblGrid>
      <w:tr>
        <w:trPr>
          <w:trHeight w:val="414" w:hRule="exact"/>
        </w:trPr>
        <w:tc>
          <w:tcPr>
            <w:tcW w:w="1969"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995"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69"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8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3"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4" w:hRule="exact"/>
        </w:trPr>
        <w:tc>
          <w:tcPr>
            <w:tcW w:w="1969" w:type="dxa"/>
            <w:vMerge w:val="restart"/>
            <w:tcBorders>
              <w:top w:val="nil" w:sz="6" w:space="0" w:color="auto"/>
              <w:left w:val="single" w:sz="12" w:space="0" w:color="000000"/>
              <w:right w:val="single" w:sz="6" w:space="0" w:color="000000"/>
            </w:tcBorders>
            <w:shd w:val="clear" w:color="auto" w:fill="D2D2D2"/>
          </w:tcPr>
          <w:p>
            <w:pPr/>
          </w:p>
        </w:tc>
        <w:tc>
          <w:tcPr>
            <w:tcW w:w="1144" w:type="dxa"/>
            <w:tcBorders>
              <w:top w:val="single" w:sz="6" w:space="0" w:color="000000"/>
              <w:left w:val="single" w:sz="6" w:space="0" w:color="000000"/>
              <w:bottom w:val="nil" w:sz="6" w:space="0" w:color="auto"/>
              <w:right w:val="single" w:sz="6" w:space="0" w:color="000000"/>
            </w:tcBorders>
            <w:shd w:val="clear" w:color="auto" w:fill="D2D2D2"/>
          </w:tcPr>
          <w:p>
            <w:pPr/>
          </w:p>
        </w:tc>
        <w:tc>
          <w:tcPr>
            <w:tcW w:w="851" w:type="dxa"/>
            <w:tcBorders>
              <w:top w:val="single" w:sz="6" w:space="0" w:color="000000"/>
              <w:left w:val="single" w:sz="6" w:space="0" w:color="000000"/>
              <w:bottom w:val="nil" w:sz="6" w:space="0" w:color="auto"/>
              <w:right w:val="single" w:sz="6" w:space="0" w:color="000000"/>
            </w:tcBorders>
            <w:shd w:val="clear" w:color="auto" w:fill="D2D2D2"/>
          </w:tcPr>
          <w:p>
            <w:pPr/>
          </w:p>
        </w:tc>
        <w:tc>
          <w:tcPr>
            <w:tcW w:w="566"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95" w:right="95"/>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165" w:right="7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709"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8" w:hRule="exact"/>
        </w:trPr>
        <w:tc>
          <w:tcPr>
            <w:tcW w:w="1969" w:type="dxa"/>
            <w:vMerge/>
            <w:tcBorders>
              <w:left w:val="single" w:sz="12" w:space="0" w:color="000000"/>
              <w:bottom w:val="nil" w:sz="6" w:space="0" w:color="auto"/>
              <w:right w:val="single" w:sz="6" w:space="0" w:color="000000"/>
            </w:tcBorders>
            <w:shd w:val="clear" w:color="auto" w:fill="D2D2D2"/>
          </w:tcPr>
          <w:p>
            <w:pPr/>
          </w:p>
        </w:tc>
        <w:tc>
          <w:tcPr>
            <w:tcW w:w="114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3" w:hRule="exact"/>
        </w:trPr>
        <w:tc>
          <w:tcPr>
            <w:tcW w:w="1969" w:type="dxa"/>
            <w:vMerge w:val="restart"/>
            <w:tcBorders>
              <w:top w:val="nil" w:sz="6" w:space="0" w:color="auto"/>
              <w:left w:val="single" w:sz="12" w:space="0" w:color="000000"/>
              <w:right w:val="single" w:sz="6" w:space="0" w:color="000000"/>
            </w:tcBorders>
            <w:shd w:val="clear" w:color="auto" w:fill="D2D2D2"/>
          </w:tcPr>
          <w:p>
            <w:pPr/>
          </w:p>
        </w:tc>
        <w:tc>
          <w:tcPr>
            <w:tcW w:w="1144" w:type="dxa"/>
            <w:vMerge/>
            <w:tcBorders>
              <w:left w:val="single" w:sz="6" w:space="0" w:color="000000"/>
              <w:bottom w:val="nil" w:sz="6" w:space="0" w:color="auto"/>
              <w:right w:val="single" w:sz="6" w:space="0" w:color="000000"/>
            </w:tcBorders>
            <w:shd w:val="clear" w:color="auto" w:fill="D2D2D2"/>
          </w:tcPr>
          <w:p>
            <w:pPr/>
          </w:p>
        </w:tc>
        <w:tc>
          <w:tcPr>
            <w:tcW w:w="851" w:type="dxa"/>
            <w:vMerge/>
            <w:tcBorders>
              <w:left w:val="single" w:sz="6" w:space="0" w:color="000000"/>
              <w:bottom w:val="nil" w:sz="6" w:space="0" w:color="auto"/>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708"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709"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1969" w:type="dxa"/>
            <w:vMerge/>
            <w:tcBorders>
              <w:left w:val="single" w:sz="12" w:space="0" w:color="000000"/>
              <w:bottom w:val="single" w:sz="6" w:space="0" w:color="000000"/>
              <w:right w:val="single" w:sz="6" w:space="0" w:color="000000"/>
            </w:tcBorders>
            <w:shd w:val="clear" w:color="auto" w:fill="D2D2D2"/>
          </w:tcPr>
          <w:p>
            <w:pPr/>
          </w:p>
        </w:tc>
        <w:tc>
          <w:tcPr>
            <w:tcW w:w="1144" w:type="dxa"/>
            <w:tcBorders>
              <w:top w:val="nil" w:sz="6" w:space="0" w:color="auto"/>
              <w:left w:val="single" w:sz="6" w:space="0" w:color="000000"/>
              <w:bottom w:val="single" w:sz="6" w:space="0" w:color="000000"/>
              <w:right w:val="single" w:sz="6" w:space="0" w:color="000000"/>
            </w:tcBorders>
            <w:shd w:val="clear" w:color="auto" w:fill="D2D2D2"/>
          </w:tcPr>
          <w:p>
            <w:pPr/>
          </w:p>
        </w:tc>
        <w:tc>
          <w:tcPr>
            <w:tcW w:w="851" w:type="dxa"/>
            <w:tcBorders>
              <w:top w:val="nil" w:sz="6" w:space="0" w:color="auto"/>
              <w:left w:val="single" w:sz="6" w:space="0" w:color="000000"/>
              <w:bottom w:val="single" w:sz="6" w:space="0" w:color="000000"/>
              <w:right w:val="single" w:sz="6" w:space="0" w:color="000000"/>
            </w:tcBorders>
            <w:shd w:val="clear" w:color="auto" w:fill="D2D2D2"/>
          </w:tcPr>
          <w:p>
            <w:pPr/>
          </w:p>
        </w:tc>
        <w:tc>
          <w:tcPr>
            <w:tcW w:w="566" w:type="dxa"/>
            <w:vMerge/>
            <w:tcBorders>
              <w:left w:val="single" w:sz="6" w:space="0" w:color="000000"/>
              <w:bottom w:val="single" w:sz="6" w:space="0" w:color="000000"/>
              <w:right w:val="single" w:sz="6" w:space="0" w:color="000000"/>
            </w:tcBorders>
            <w:shd w:val="clear" w:color="auto" w:fill="D2D2D2"/>
          </w:tcPr>
          <w:p>
            <w:pPr/>
          </w:p>
        </w:tc>
        <w:tc>
          <w:tcPr>
            <w:tcW w:w="4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08" w:type="dxa"/>
            <w:vMerge/>
            <w:tcBorders>
              <w:left w:val="single" w:sz="6"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709"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8" w:hRule="exact"/>
        </w:trPr>
        <w:tc>
          <w:tcPr>
            <w:tcW w:w="1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106,390,944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25.65%</w:t>
            </w:r>
          </w:p>
        </w:tc>
        <w:tc>
          <w:tcPr>
            <w:tcW w:w="5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-64,044,846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-64,044,846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42,346,098</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20" w:right="0"/>
              <w:jc w:val="center"/>
              <w:rPr>
                <w:rFonts w:ascii="宋体" w:hAnsi="宋体" w:cs="宋体" w:eastAsia="宋体" w:hint="default"/>
                <w:sz w:val="18"/>
                <w:szCs w:val="18"/>
              </w:rPr>
            </w:pPr>
            <w:r>
              <w:rPr>
                <w:rFonts w:ascii="宋体"/>
                <w:sz w:val="18"/>
              </w:rPr>
              <w:t>10.30%</w:t>
            </w:r>
          </w:p>
        </w:tc>
      </w:tr>
      <w:tr>
        <w:trPr>
          <w:trHeight w:val="407" w:hRule="exact"/>
        </w:trPr>
        <w:tc>
          <w:tcPr>
            <w:tcW w:w="1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4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106,390,944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25.65%</w:t>
            </w:r>
          </w:p>
        </w:tc>
        <w:tc>
          <w:tcPr>
            <w:tcW w:w="5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-64,044,846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-64,044,846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42,346,098</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0" w:right="0"/>
              <w:jc w:val="center"/>
              <w:rPr>
                <w:rFonts w:ascii="宋体" w:hAnsi="宋体" w:cs="宋体" w:eastAsia="宋体" w:hint="default"/>
                <w:sz w:val="18"/>
                <w:szCs w:val="18"/>
              </w:rPr>
            </w:pPr>
            <w:r>
              <w:rPr>
                <w:rFonts w:ascii="宋体"/>
                <w:sz w:val="18"/>
              </w:rPr>
              <w:t>10.30%</w:t>
            </w:r>
          </w:p>
        </w:tc>
      </w:tr>
      <w:tr>
        <w:trPr>
          <w:trHeight w:val="407" w:hRule="exact"/>
        </w:trPr>
        <w:tc>
          <w:tcPr>
            <w:tcW w:w="1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54,418,027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13.12%</w:t>
            </w:r>
          </w:p>
        </w:tc>
        <w:tc>
          <w:tcPr>
            <w:tcW w:w="5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-54,418,027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-54,418,027</w:t>
            </w: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51,972,917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12.53%</w:t>
            </w:r>
          </w:p>
        </w:tc>
        <w:tc>
          <w:tcPr>
            <w:tcW w:w="5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-9,626,819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-9,626,819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42,346,098</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0" w:right="0"/>
              <w:jc w:val="center"/>
              <w:rPr>
                <w:rFonts w:ascii="宋体" w:hAnsi="宋体" w:cs="宋体" w:eastAsia="宋体" w:hint="default"/>
                <w:sz w:val="18"/>
                <w:szCs w:val="18"/>
              </w:rPr>
            </w:pPr>
            <w:r>
              <w:rPr>
                <w:rFonts w:ascii="宋体"/>
                <w:sz w:val="18"/>
              </w:rPr>
              <w:t>10.30%</w:t>
            </w:r>
          </w:p>
        </w:tc>
      </w:tr>
      <w:tr>
        <w:trPr>
          <w:trHeight w:val="407" w:hRule="exact"/>
        </w:trPr>
        <w:tc>
          <w:tcPr>
            <w:tcW w:w="1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308,458,676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74.35%</w:t>
            </w:r>
          </w:p>
        </w:tc>
        <w:tc>
          <w:tcPr>
            <w:tcW w:w="5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60,313,596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60,313,596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368,772,272</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20" w:right="0"/>
              <w:jc w:val="center"/>
              <w:rPr>
                <w:rFonts w:ascii="宋体" w:hAnsi="宋体" w:cs="宋体" w:eastAsia="宋体" w:hint="default"/>
                <w:sz w:val="18"/>
                <w:szCs w:val="18"/>
              </w:rPr>
            </w:pPr>
            <w:r>
              <w:rPr>
                <w:rFonts w:ascii="宋体"/>
                <w:sz w:val="18"/>
              </w:rPr>
              <w:t>89.70%</w:t>
            </w:r>
          </w:p>
        </w:tc>
      </w:tr>
      <w:tr>
        <w:trPr>
          <w:trHeight w:val="407" w:hRule="exact"/>
        </w:trPr>
        <w:tc>
          <w:tcPr>
            <w:tcW w:w="1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4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308,458,676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74.35%</w:t>
            </w:r>
          </w:p>
        </w:tc>
        <w:tc>
          <w:tcPr>
            <w:tcW w:w="56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60,313,596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60,313,596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368,772,272</w:t>
            </w:r>
          </w:p>
        </w:tc>
        <w:tc>
          <w:tcPr>
            <w:tcW w:w="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20" w:right="0"/>
              <w:jc w:val="center"/>
              <w:rPr>
                <w:rFonts w:ascii="宋体" w:hAnsi="宋体" w:cs="宋体" w:eastAsia="宋体" w:hint="default"/>
                <w:sz w:val="18"/>
                <w:szCs w:val="18"/>
              </w:rPr>
            </w:pPr>
            <w:r>
              <w:rPr>
                <w:rFonts w:ascii="宋体"/>
                <w:sz w:val="18"/>
              </w:rPr>
              <w:t>89.70%</w:t>
            </w:r>
          </w:p>
        </w:tc>
      </w:tr>
      <w:tr>
        <w:trPr>
          <w:trHeight w:val="416" w:hRule="exact"/>
        </w:trPr>
        <w:tc>
          <w:tcPr>
            <w:tcW w:w="1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414,849,620</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w:t>
            </w:r>
          </w:p>
        </w:tc>
        <w:tc>
          <w:tcPr>
            <w:tcW w:w="566"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-3,731,250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-3,731,250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411,118,370</w:t>
            </w:r>
          </w:p>
        </w:tc>
        <w:tc>
          <w:tcPr>
            <w:tcW w:w="7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30" w:right="0"/>
              <w:jc w:val="center"/>
              <w:rPr>
                <w:rFonts w:ascii="宋体" w:hAnsi="宋体" w:cs="宋体" w:eastAsia="宋体" w:hint="default"/>
                <w:sz w:val="18"/>
                <w:szCs w:val="18"/>
              </w:rPr>
            </w:pPr>
            <w:r>
              <w:rPr>
                <w:rFonts w:ascii="宋体"/>
                <w:sz w:val="18"/>
              </w:rPr>
              <w:t>100.00%</w:t>
            </w:r>
          </w:p>
        </w:tc>
      </w:tr>
    </w:tbl>
    <w:p>
      <w:pPr>
        <w:pStyle w:val="BodyText"/>
        <w:spacing w:line="240" w:lineRule="auto" w:before="63"/>
        <w:ind w:right="1122"/>
        <w:jc w:val="left"/>
      </w:pPr>
      <w:r>
        <w:rPr/>
        <w:t>股份变动的原因</w:t>
      </w:r>
    </w:p>
    <w:p>
      <w:pPr>
        <w:spacing w:line="240" w:lineRule="auto" w:before="10"/>
        <w:rPr>
          <w:rFonts w:ascii="宋体" w:hAnsi="宋体" w:cs="宋体" w:eastAsia="宋体" w:hint="default"/>
          <w:sz w:val="14"/>
          <w:szCs w:val="14"/>
        </w:rPr>
      </w:pPr>
    </w:p>
    <w:p>
      <w:pPr>
        <w:pStyle w:val="BodyText"/>
        <w:spacing w:line="408" w:lineRule="auto" w:before="0"/>
        <w:ind w:left="574" w:right="1131" w:hanging="420"/>
        <w:jc w:val="left"/>
      </w:pPr>
      <w:r>
        <w:rPr/>
        <w:t>√ 适用 □</w:t>
      </w:r>
      <w:r>
        <w:rPr>
          <w:spacing w:val="-1"/>
        </w:rPr>
        <w:t> </w:t>
      </w:r>
      <w:r>
        <w:rPr/>
        <w:t>不适用</w:t>
      </w:r>
      <w:r>
        <w:rPr/>
        <w:t> </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30</w:t>
      </w:r>
      <w:r>
        <w:rPr/>
        <w:t>日，公司披露了《关于限售股份上市流通的提示性公告》（公告编号</w:t>
      </w:r>
      <w:r>
        <w:rPr>
          <w:rFonts w:ascii="宋体" w:hAnsi="宋体" w:cs="宋体" w:eastAsia="宋体" w:hint="default"/>
        </w:rPr>
        <w:t>2018-009</w:t>
      </w:r>
      <w:r>
        <w:rPr/>
        <w:t>），任昌</w:t>
      </w:r>
    </w:p>
    <w:p>
      <w:pPr>
        <w:pStyle w:val="BodyText"/>
        <w:spacing w:line="408" w:lineRule="auto"/>
        <w:ind w:left="574" w:right="1122" w:hanging="420"/>
        <w:jc w:val="left"/>
      </w:pPr>
      <w:r>
        <w:rPr/>
        <w:t>兆等</w:t>
      </w:r>
      <w:r>
        <w:rPr>
          <w:rFonts w:ascii="宋体" w:hAnsi="宋体" w:cs="宋体" w:eastAsia="宋体" w:hint="default"/>
        </w:rPr>
        <w:t>10</w:t>
      </w:r>
      <w:r>
        <w:rPr/>
        <w:t>名股东合计持有</w:t>
      </w:r>
      <w:r>
        <w:rPr>
          <w:rFonts w:ascii="宋体" w:hAnsi="宋体" w:cs="宋体" w:eastAsia="宋体" w:hint="default"/>
        </w:rPr>
        <w:t>65,550,412</w:t>
      </w:r>
      <w:r>
        <w:rPr/>
        <w:t>股解除限售，该部分股份由有限售条件股份变为无限售条件股份。 </w:t>
      </w:r>
      <w:r>
        <w:rPr>
          <w:rFonts w:ascii="宋体" w:hAnsi="宋体" w:cs="宋体" w:eastAsia="宋体" w:hint="default"/>
          <w:spacing w:val="-3"/>
        </w:rPr>
        <w:t>2018</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23</w:t>
      </w:r>
      <w:r>
        <w:rPr>
          <w:spacing w:val="-3"/>
        </w:rPr>
        <w:t>日，公司召开第三届董事会第二十次会议和第三届监事会第十四次会议，审议通过了《关</w:t>
      </w:r>
    </w:p>
    <w:p>
      <w:pPr>
        <w:pStyle w:val="BodyText"/>
        <w:spacing w:line="408" w:lineRule="auto"/>
        <w:ind w:right="1122"/>
        <w:jc w:val="left"/>
      </w:pPr>
      <w:r>
        <w:rPr/>
        <w:t>于回购注销部分限制性股票的议案》，同意公司对已授予尚未解锁的限制性股票</w:t>
      </w:r>
      <w:r>
        <w:rPr>
          <w:rFonts w:ascii="宋体" w:hAnsi="宋体" w:cs="宋体" w:eastAsia="宋体" w:hint="default"/>
        </w:rPr>
        <w:t>3,731,250</w:t>
      </w:r>
      <w:r>
        <w:rPr/>
        <w:t>股予以回购注</w:t>
      </w:r>
      <w:r>
        <w:rPr>
          <w:spacing w:val="-28"/>
        </w:rPr>
        <w:t> </w:t>
      </w:r>
      <w:r>
        <w:rPr>
          <w:spacing w:val="-28"/>
        </w:rPr>
      </w:r>
      <w:r>
        <w:rPr/>
        <w:t>销。</w:t>
      </w:r>
    </w:p>
    <w:p>
      <w:pPr>
        <w:pStyle w:val="BodyText"/>
        <w:spacing w:line="408" w:lineRule="auto"/>
        <w:ind w:right="0" w:firstLine="420"/>
        <w:jc w:val="left"/>
      </w:pPr>
      <w:r>
        <w:rPr/>
        <w:t>本次变动其他的余下股份，主要是公司董事、监事、高管持有的限售股份在报告期内自动解锁部份， 其股份性质变为无限售条件股份。</w:t>
      </w:r>
    </w:p>
    <w:p>
      <w:pPr>
        <w:pStyle w:val="BodyText"/>
        <w:spacing w:line="240" w:lineRule="auto"/>
        <w:ind w:right="1122"/>
        <w:jc w:val="left"/>
      </w:pPr>
      <w:r>
        <w:rPr/>
        <w:t>股份变动的批准情况</w:t>
      </w:r>
    </w:p>
    <w:p>
      <w:pPr>
        <w:spacing w:line="240" w:lineRule="auto" w:before="10"/>
        <w:rPr>
          <w:rFonts w:ascii="宋体" w:hAnsi="宋体" w:cs="宋体" w:eastAsia="宋体" w:hint="default"/>
          <w:sz w:val="14"/>
          <w:szCs w:val="14"/>
        </w:rPr>
      </w:pPr>
    </w:p>
    <w:p>
      <w:pPr>
        <w:pStyle w:val="BodyText"/>
        <w:spacing w:line="408" w:lineRule="auto" w:before="0"/>
        <w:ind w:left="574" w:right="1407" w:hanging="420"/>
        <w:jc w:val="left"/>
      </w:pPr>
      <w:r>
        <w:rPr/>
        <w:t>√ 适用 □</w:t>
      </w:r>
      <w:r>
        <w:rPr>
          <w:spacing w:val="-1"/>
        </w:rPr>
        <w:t> </w:t>
      </w:r>
      <w:r>
        <w:rPr/>
        <w:t>不适用</w:t>
      </w:r>
      <w:r>
        <w:rPr/>
        <w:t> 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15</w:t>
      </w:r>
      <w:r>
        <w:rPr/>
        <w:t>日召开</w:t>
      </w:r>
      <w:r>
        <w:rPr>
          <w:rFonts w:ascii="宋体" w:hAnsi="宋体" w:cs="宋体" w:eastAsia="宋体" w:hint="default"/>
        </w:rPr>
        <w:t>2017</w:t>
      </w:r>
      <w:r>
        <w:rPr/>
        <w:t>年度股东大会审议批准了上述关于回购注销部分限制性股票事项。</w:t>
      </w:r>
    </w:p>
    <w:p>
      <w:pPr>
        <w:pStyle w:val="BodyText"/>
        <w:spacing w:line="240" w:lineRule="auto"/>
        <w:ind w:right="1122"/>
        <w:jc w:val="left"/>
      </w:pPr>
      <w:r>
        <w:rPr/>
        <w:t>股份变动的过户情况</w:t>
      </w:r>
    </w:p>
    <w:p>
      <w:pPr>
        <w:spacing w:line="240" w:lineRule="auto" w:before="10"/>
        <w:rPr>
          <w:rFonts w:ascii="宋体" w:hAnsi="宋体" w:cs="宋体" w:eastAsia="宋体" w:hint="default"/>
          <w:sz w:val="14"/>
          <w:szCs w:val="14"/>
        </w:rPr>
      </w:pPr>
    </w:p>
    <w:p>
      <w:pPr>
        <w:pStyle w:val="BodyText"/>
        <w:spacing w:line="408" w:lineRule="auto" w:before="0"/>
        <w:ind w:left="574" w:right="1122" w:hanging="420"/>
        <w:jc w:val="left"/>
      </w:pPr>
      <w:r>
        <w:rPr/>
        <w:t>√ 适用 □</w:t>
      </w:r>
      <w:r>
        <w:rPr>
          <w:spacing w:val="-1"/>
        </w:rPr>
        <w:t> </w:t>
      </w:r>
      <w:r>
        <w:rPr/>
        <w:t>不适用</w:t>
      </w:r>
      <w:r>
        <w:rPr/>
        <w:t> </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30</w:t>
      </w:r>
      <w:r>
        <w:rPr>
          <w:spacing w:val="-1"/>
        </w:rPr>
        <w:t>日，中国证券登记结算有限责任公司深圳分公司对公司上述限制性股票回购注销事项审</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8442"/>
        <w:jc w:val="left"/>
      </w:pPr>
      <w:r>
        <w:rPr/>
        <w:t>核确认完成。 股份回购的实施进展情况</w:t>
      </w:r>
    </w:p>
    <w:p>
      <w:pPr>
        <w:pStyle w:val="BodyText"/>
        <w:spacing w:line="408" w:lineRule="auto"/>
        <w:ind w:right="6342"/>
        <w:jc w:val="left"/>
      </w:pPr>
      <w:r>
        <w:rPr/>
        <w:t>□ 适用 √</w:t>
      </w:r>
      <w:r>
        <w:rPr>
          <w:spacing w:val="-1"/>
        </w:rPr>
        <w:t> </w:t>
      </w:r>
      <w:r>
        <w:rPr/>
        <w:t>不适用</w:t>
      </w:r>
      <w:r>
        <w:rPr/>
        <w:t> 采用集中竞价方式减持回购股份的实施进展情况</w:t>
      </w:r>
    </w:p>
    <w:p>
      <w:pPr>
        <w:pStyle w:val="BodyText"/>
        <w:spacing w:line="408" w:lineRule="auto"/>
        <w:ind w:right="1122"/>
        <w:jc w:val="left"/>
      </w:pPr>
      <w:r>
        <w:rPr/>
        <w:t>□ 适用 √</w:t>
      </w:r>
      <w:r>
        <w:rPr>
          <w:spacing w:val="-1"/>
        </w:rPr>
        <w:t> </w:t>
      </w:r>
      <w:r>
        <w:rPr/>
        <w:t>不适用</w:t>
      </w:r>
      <w:r>
        <w:rPr/>
        <w:t> </w:t>
      </w: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pStyle w:val="BodyText"/>
        <w:spacing w:line="408" w:lineRule="auto"/>
        <w:ind w:right="6132"/>
        <w:jc w:val="left"/>
      </w:pPr>
      <w:r>
        <w:rPr/>
        <w:t>□ 适用 √</w:t>
      </w:r>
      <w:r>
        <w:rPr>
          <w:spacing w:val="-1"/>
        </w:rPr>
        <w:t> </w:t>
      </w:r>
      <w:r>
        <w:rPr/>
        <w:t>不适用</w:t>
      </w:r>
      <w:r>
        <w:rPr/>
        <w:t> 公司认为必要或证券监管机构要求披露的其他内容</w:t>
      </w:r>
    </w:p>
    <w:p>
      <w:pPr>
        <w:spacing w:line="408" w:lineRule="auto" w:before="46"/>
        <w:ind w:left="154" w:right="874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限售股份变动情况" w:id="108"/>
      <w:bookmarkEnd w:id="108"/>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pStyle w:val="BodyText"/>
        <w:spacing w:line="240" w:lineRule="auto" w:before="87"/>
        <w:ind w:right="1122"/>
        <w:jc w:val="left"/>
      </w:pPr>
      <w:r>
        <w:rPr/>
        <w:t>√ 适用 □</w:t>
      </w:r>
      <w:r>
        <w:rPr>
          <w:spacing w:val="-1"/>
        </w:rPr>
        <w:t> </w:t>
      </w:r>
      <w:r>
        <w:rPr/>
        <w:t>不适用</w:t>
      </w:r>
    </w:p>
    <w:p>
      <w:pPr>
        <w:spacing w:before="13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135"/>
        <w:gridCol w:w="1276"/>
        <w:gridCol w:w="1560"/>
        <w:gridCol w:w="1500"/>
        <w:gridCol w:w="1368"/>
        <w:gridCol w:w="1370"/>
        <w:gridCol w:w="1432"/>
      </w:tblGrid>
      <w:tr>
        <w:trPr>
          <w:trHeight w:val="419" w:hRule="exact"/>
        </w:trPr>
        <w:tc>
          <w:tcPr>
            <w:tcW w:w="113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89"/>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3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12"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28,172,437</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28,172,437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13"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6"/>
              <w:jc w:val="center"/>
              <w:rPr>
                <w:rFonts w:ascii="宋体" w:hAnsi="宋体" w:cs="宋体" w:eastAsia="宋体" w:hint="default"/>
                <w:sz w:val="18"/>
                <w:szCs w:val="18"/>
              </w:rPr>
            </w:pPr>
            <w:r>
              <w:rPr>
                <w:rFonts w:ascii="宋体" w:hAnsi="宋体" w:cs="宋体" w:eastAsia="宋体" w:hint="default"/>
                <w:sz w:val="18"/>
                <w:szCs w:val="18"/>
              </w:rPr>
              <w:t>任昌兆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6,981,540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6,981,540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9"/>
              <w:jc w:val="right"/>
              <w:rPr>
                <w:rFonts w:ascii="宋体" w:hAnsi="宋体" w:cs="宋体" w:eastAsia="宋体" w:hint="default"/>
                <w:sz w:val="18"/>
                <w:szCs w:val="18"/>
              </w:rPr>
            </w:pPr>
            <w:r>
              <w:rPr>
                <w:rFonts w:ascii="宋体"/>
                <w:sz w:val="18"/>
              </w:rPr>
              <w:t>5,236,155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5,236,155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28"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12"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熊珂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3,164,062</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3,164,062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64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1,454,203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225,000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1,229,203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47" w:right="45" w:firstLine="180"/>
              <w:jc w:val="left"/>
              <w:rPr>
                <w:rFonts w:ascii="宋体" w:hAnsi="宋体" w:cs="宋体" w:eastAsia="宋体" w:hint="default"/>
                <w:sz w:val="18"/>
                <w:szCs w:val="18"/>
              </w:rPr>
            </w:pPr>
            <w:r>
              <w:rPr>
                <w:rFonts w:ascii="宋体" w:hAnsi="宋体" w:cs="宋体" w:eastAsia="宋体" w:hint="default"/>
                <w:sz w:val="18"/>
                <w:szCs w:val="18"/>
              </w:rPr>
              <w:t>高管锁定股 股权激励限售股</w:t>
            </w:r>
          </w:p>
        </w:tc>
        <w:tc>
          <w:tcPr>
            <w:tcW w:w="14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63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戴晓东</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977,958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120,001</w:t>
            </w:r>
          </w:p>
        </w:tc>
        <w:tc>
          <w:tcPr>
            <w:tcW w:w="150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857,957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47" w:right="45" w:firstLine="180"/>
              <w:jc w:val="left"/>
              <w:rPr>
                <w:rFonts w:ascii="宋体" w:hAnsi="宋体" w:cs="宋体" w:eastAsia="宋体" w:hint="default"/>
                <w:sz w:val="18"/>
                <w:szCs w:val="18"/>
              </w:rPr>
            </w:pPr>
            <w:r>
              <w:rPr>
                <w:rFonts w:ascii="宋体" w:hAnsi="宋体" w:cs="宋体" w:eastAsia="宋体" w:hint="default"/>
                <w:sz w:val="18"/>
                <w:szCs w:val="18"/>
              </w:rPr>
              <w:t>高管锁定股 股权激励限售股</w:t>
            </w:r>
          </w:p>
        </w:tc>
        <w:tc>
          <w:tcPr>
            <w:tcW w:w="14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12"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邱卫东</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616,838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172,500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444,338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13"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229,922</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229,921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12"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李婷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345,000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172,500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172,500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4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r>
      <w:tr>
        <w:trPr>
          <w:trHeight w:val="64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周振娟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170,737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60,000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56,913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167,650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47" w:right="45" w:firstLine="180"/>
              <w:jc w:val="left"/>
              <w:rPr>
                <w:rFonts w:ascii="宋体" w:hAnsi="宋体" w:cs="宋体" w:eastAsia="宋体" w:hint="default"/>
                <w:sz w:val="18"/>
                <w:szCs w:val="18"/>
              </w:rPr>
            </w:pPr>
            <w:r>
              <w:rPr>
                <w:rFonts w:ascii="宋体" w:hAnsi="宋体" w:cs="宋体" w:eastAsia="宋体" w:hint="default"/>
                <w:sz w:val="18"/>
                <w:szCs w:val="18"/>
              </w:rPr>
              <w:t>高管锁定股 股权激励限售股</w:t>
            </w:r>
          </w:p>
        </w:tc>
        <w:tc>
          <w:tcPr>
            <w:tcW w:w="14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12"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江清萍</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150,000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150,000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4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r>
      <w:tr>
        <w:trPr>
          <w:trHeight w:val="412"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其它小计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63,978,247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61,456,372</w:t>
            </w:r>
          </w:p>
        </w:tc>
        <w:tc>
          <w:tcPr>
            <w:tcW w:w="150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2,521,875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w:t>
            </w:r>
          </w:p>
        </w:tc>
        <w:tc>
          <w:tcPr>
            <w:tcW w:w="14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21" w:hRule="exact"/>
        </w:trPr>
        <w:tc>
          <w:tcPr>
            <w:tcW w:w="11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106,390,944</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69,337,913</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5,293,068</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42,346,098</w:t>
            </w:r>
          </w:p>
        </w:tc>
        <w:tc>
          <w:tcPr>
            <w:tcW w:w="137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sz w:val="18"/>
              </w:rPr>
              <w:t>--</w:t>
            </w:r>
          </w:p>
        </w:tc>
        <w:tc>
          <w:tcPr>
            <w:tcW w:w="1432"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sz w:val="18"/>
              </w:rPr>
              <w:t>--</w:t>
            </w:r>
          </w:p>
        </w:tc>
      </w:tr>
    </w:tbl>
    <w:p>
      <w:pPr>
        <w:pStyle w:val="Heading2"/>
        <w:spacing w:line="240" w:lineRule="auto" w:before="40"/>
        <w:ind w:right="1122"/>
        <w:jc w:val="left"/>
        <w:rPr>
          <w:b w:val="0"/>
          <w:bCs w:val="0"/>
        </w:rPr>
      </w:pPr>
      <w:bookmarkStart w:name="二、证券发行与上市情况" w:id="109"/>
      <w:bookmarkEnd w:id="109"/>
      <w:r>
        <w:rPr>
          <w:b w:val="0"/>
          <w:bCs w:val="0"/>
        </w:rPr>
      </w:r>
      <w:r>
        <w:rPr/>
        <w:t>二、证券发行与上市情况</w:t>
      </w:r>
      <w:r>
        <w:rPr>
          <w:b w:val="0"/>
          <w:bCs w:val="0"/>
        </w:rPr>
      </w:r>
    </w:p>
    <w:p>
      <w:pPr>
        <w:pStyle w:val="Heading4"/>
        <w:spacing w:line="240" w:lineRule="auto" w:before="177"/>
        <w:ind w:right="1122"/>
        <w:jc w:val="left"/>
        <w:rPr>
          <w:b w:val="0"/>
          <w:bCs w:val="0"/>
        </w:rPr>
      </w:pPr>
      <w:bookmarkStart w:name="1、报告期内证券发行（不含优先股）情况" w:id="110"/>
      <w:bookmarkEnd w:id="110"/>
      <w:r>
        <w:rPr>
          <w:b w:val="0"/>
          <w:bCs w:val="0"/>
        </w:rPr>
      </w:r>
      <w:r>
        <w:rPr>
          <w:rFonts w:ascii="宋体" w:hAnsi="宋体" w:cs="宋体" w:eastAsia="宋体" w:hint="default"/>
        </w:rPr>
        <w:t>1</w:t>
      </w:r>
      <w:r>
        <w:rPr/>
        <w:t>、报告期内证券发行（不含优先股）情况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2、公司股份总数及股东结构的变动、公司资产和负债结构的变动情况说明" w:id="111"/>
      <w:bookmarkEnd w:id="111"/>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4" w:right="1127" w:hanging="420"/>
        <w:jc w:val="left"/>
      </w:pPr>
      <w:r>
        <w:rPr/>
        <w:t>√ 适用 □</w:t>
      </w:r>
      <w:r>
        <w:rPr>
          <w:spacing w:val="-1"/>
        </w:rPr>
        <w:t> </w:t>
      </w:r>
      <w:r>
        <w:rPr/>
        <w:t>不适用</w:t>
      </w:r>
      <w:r>
        <w:rPr/>
        <w:t> 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24</w:t>
      </w:r>
      <w:r>
        <w:rPr/>
        <w:t>日披露了《关于回购注销部分限制性股票的减资公告》（公告编号</w:t>
      </w:r>
      <w:r>
        <w:rPr>
          <w:rFonts w:ascii="宋体" w:hAnsi="宋体" w:cs="宋体" w:eastAsia="宋体" w:hint="default"/>
        </w:rPr>
        <w:t>2018-048</w:t>
      </w:r>
      <w:r>
        <w:rPr/>
        <w:t>），</w:t>
      </w:r>
    </w:p>
    <w:p>
      <w:pPr>
        <w:pStyle w:val="BodyText"/>
        <w:spacing w:line="408" w:lineRule="auto"/>
        <w:ind w:right="1122"/>
        <w:jc w:val="left"/>
      </w:pPr>
      <w:r>
        <w:rPr>
          <w:spacing w:val="-1"/>
        </w:rPr>
        <w:t>由于公司对不符合激励条件的限制性股票</w:t>
      </w:r>
      <w:r>
        <w:rPr>
          <w:rFonts w:ascii="宋体" w:hAnsi="宋体" w:cs="宋体" w:eastAsia="宋体" w:hint="default"/>
          <w:spacing w:val="-1"/>
        </w:rPr>
        <w:t>373.125</w:t>
      </w:r>
      <w:r>
        <w:rPr>
          <w:spacing w:val="-1"/>
        </w:rPr>
        <w:t>万股进行回购注销，导致公司股本总数由</w:t>
      </w:r>
      <w:r>
        <w:rPr>
          <w:rFonts w:ascii="宋体" w:hAnsi="宋体" w:cs="宋体" w:eastAsia="宋体" w:hint="default"/>
          <w:spacing w:val="-1"/>
        </w:rPr>
        <w:t>41,484.9620</w:t>
      </w:r>
      <w:r>
        <w:rPr>
          <w:spacing w:val="-1"/>
        </w:rPr>
        <w:t>万</w:t>
      </w:r>
      <w:r>
        <w:rPr>
          <w:spacing w:val="-74"/>
        </w:rPr>
        <w:t> </w:t>
      </w:r>
      <w:r>
        <w:rPr/>
        <w:t>股减少至</w:t>
      </w:r>
      <w:r>
        <w:rPr>
          <w:rFonts w:ascii="宋体" w:hAnsi="宋体" w:cs="宋体" w:eastAsia="宋体" w:hint="default"/>
        </w:rPr>
        <w:t>41,111.8370</w:t>
      </w:r>
      <w:r>
        <w:rPr/>
        <w:t>万股。</w:t>
      </w:r>
    </w:p>
    <w:p>
      <w:pPr>
        <w:pStyle w:val="Heading4"/>
        <w:spacing w:line="240" w:lineRule="auto" w:before="46"/>
        <w:ind w:right="1122"/>
        <w:jc w:val="left"/>
        <w:rPr>
          <w:b w:val="0"/>
          <w:bCs w:val="0"/>
        </w:rPr>
      </w:pPr>
      <w:bookmarkStart w:name="3、现存的内部职工股情况" w:id="112"/>
      <w:bookmarkEnd w:id="112"/>
      <w:r>
        <w:rPr>
          <w:b w:val="0"/>
          <w:bCs w:val="0"/>
        </w:rPr>
      </w:r>
      <w:r>
        <w:rPr>
          <w:rFonts w:ascii="宋体" w:hAnsi="宋体" w:cs="宋体" w:eastAsia="宋体" w:hint="default"/>
        </w:rPr>
        <w:t>3</w:t>
      </w:r>
      <w:r>
        <w:rPr/>
        <w:t>、现存的内部职工股情况</w:t>
      </w:r>
      <w:r>
        <w:rPr>
          <w:b w:val="0"/>
          <w:bCs w:val="0"/>
        </w:rPr>
      </w:r>
    </w:p>
    <w:p>
      <w:pPr>
        <w:spacing w:line="240" w:lineRule="auto" w:before="10"/>
        <w:rPr>
          <w:rFonts w:ascii="宋体" w:hAnsi="宋体" w:cs="宋体" w:eastAsia="宋体" w:hint="default"/>
          <w:b/>
          <w:bCs/>
          <w:sz w:val="14"/>
          <w:szCs w:val="14"/>
        </w:rPr>
      </w:pPr>
    </w:p>
    <w:p>
      <w:pPr>
        <w:spacing w:line="381" w:lineRule="auto" w:before="0"/>
        <w:ind w:left="154" w:right="786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三、股东和实际控制人情况" w:id="113"/>
      <w:bookmarkEnd w:id="113"/>
      <w:r>
        <w:rPr>
          <w:rFonts w:ascii="宋体" w:hAnsi="宋体" w:cs="宋体" w:eastAsia="宋体" w:hint="default"/>
          <w:sz w:val="21"/>
          <w:szCs w:val="21"/>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bookmarkStart w:name="1、公司股东数量及持股情况" w:id="114"/>
      <w:bookmarkEnd w:id="114"/>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5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77"/>
        <w:gridCol w:w="764"/>
        <w:gridCol w:w="695"/>
        <w:gridCol w:w="836"/>
        <w:gridCol w:w="1137"/>
        <w:gridCol w:w="1003"/>
        <w:gridCol w:w="294"/>
        <w:gridCol w:w="845"/>
        <w:gridCol w:w="1129"/>
        <w:gridCol w:w="423"/>
        <w:gridCol w:w="1067"/>
      </w:tblGrid>
      <w:tr>
        <w:trPr>
          <w:trHeight w:val="171" w:hRule="exact"/>
        </w:trPr>
        <w:tc>
          <w:tcPr>
            <w:tcW w:w="1377" w:type="dxa"/>
            <w:vMerge w:val="restart"/>
            <w:tcBorders>
              <w:top w:val="single" w:sz="12" w:space="0" w:color="000000"/>
              <w:left w:val="single" w:sz="12" w:space="0" w:color="000000"/>
              <w:right w:val="single" w:sz="6" w:space="0" w:color="000000"/>
            </w:tcBorders>
            <w:shd w:val="clear" w:color="auto" w:fill="D2D2D2"/>
          </w:tcPr>
          <w:p>
            <w:pPr/>
          </w:p>
        </w:tc>
        <w:tc>
          <w:tcPr>
            <w:tcW w:w="764" w:type="dxa"/>
            <w:vMerge w:val="restart"/>
            <w:tcBorders>
              <w:top w:val="single" w:sz="12" w:space="0" w:color="000000"/>
              <w:left w:val="single" w:sz="9" w:space="0" w:color="D2D2D2"/>
              <w:right w:val="single" w:sz="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5" w:right="0"/>
              <w:jc w:val="left"/>
              <w:rPr>
                <w:rFonts w:ascii="宋体" w:hAnsi="宋体" w:cs="宋体" w:eastAsia="宋体" w:hint="default"/>
                <w:sz w:val="18"/>
                <w:szCs w:val="18"/>
              </w:rPr>
            </w:pPr>
            <w:r>
              <w:rPr>
                <w:rFonts w:ascii="宋体"/>
                <w:sz w:val="18"/>
              </w:rPr>
              <w:t>27,852</w:t>
            </w:r>
          </w:p>
        </w:tc>
        <w:tc>
          <w:tcPr>
            <w:tcW w:w="1532" w:type="dxa"/>
            <w:gridSpan w:val="2"/>
            <w:tcBorders>
              <w:top w:val="single" w:sz="12" w:space="0" w:color="000000"/>
              <w:left w:val="single" w:sz="6" w:space="0" w:color="000000"/>
              <w:bottom w:val="nil" w:sz="6" w:space="0" w:color="auto"/>
              <w:right w:val="single" w:sz="6" w:space="0" w:color="000000"/>
            </w:tcBorders>
            <w:shd w:val="clear" w:color="auto" w:fill="D2D2D2"/>
          </w:tcPr>
          <w:p>
            <w:pPr/>
          </w:p>
        </w:tc>
        <w:tc>
          <w:tcPr>
            <w:tcW w:w="1137" w:type="dxa"/>
            <w:vMerge w:val="restart"/>
            <w:tcBorders>
              <w:top w:val="single" w:sz="12"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6" w:right="0"/>
              <w:jc w:val="left"/>
              <w:rPr>
                <w:rFonts w:ascii="宋体" w:hAnsi="宋体" w:cs="宋体" w:eastAsia="宋体" w:hint="default"/>
                <w:sz w:val="18"/>
                <w:szCs w:val="18"/>
              </w:rPr>
            </w:pPr>
            <w:r>
              <w:rPr>
                <w:rFonts w:ascii="宋体"/>
                <w:sz w:val="18"/>
              </w:rPr>
              <w:t>24,501</w:t>
            </w:r>
          </w:p>
        </w:tc>
        <w:tc>
          <w:tcPr>
            <w:tcW w:w="1297" w:type="dxa"/>
            <w:gridSpan w:val="2"/>
            <w:tcBorders>
              <w:top w:val="single" w:sz="12" w:space="0" w:color="000000"/>
              <w:left w:val="single" w:sz="6" w:space="0" w:color="000000"/>
              <w:bottom w:val="nil" w:sz="6" w:space="0" w:color="auto"/>
              <w:right w:val="single" w:sz="6" w:space="0" w:color="000000"/>
            </w:tcBorders>
            <w:shd w:val="clear" w:color="auto" w:fill="D2D2D2"/>
          </w:tcPr>
          <w:p>
            <w:pPr/>
          </w:p>
        </w:tc>
        <w:tc>
          <w:tcPr>
            <w:tcW w:w="845" w:type="dxa"/>
            <w:vMerge w:val="restart"/>
            <w:tcBorders>
              <w:top w:val="single" w:sz="12"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552"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16" w:right="79"/>
              <w:jc w:val="both"/>
              <w:rPr>
                <w:rFonts w:ascii="宋体" w:hAnsi="宋体" w:cs="宋体" w:eastAsia="宋体" w:hint="default"/>
                <w:sz w:val="18"/>
                <w:szCs w:val="18"/>
              </w:rPr>
            </w:pPr>
            <w:r>
              <w:rPr>
                <w:rFonts w:ascii="宋体" w:hAnsi="宋体" w:cs="宋体" w:eastAsia="宋体" w:hint="default"/>
                <w:sz w:val="18"/>
                <w:szCs w:val="18"/>
              </w:rPr>
              <w:t>年度报告披露日前 上一月末表决权恢 复的优先股股东总 数（如有）</w:t>
            </w:r>
          </w:p>
        </w:tc>
        <w:tc>
          <w:tcPr>
            <w:tcW w:w="1067" w:type="dxa"/>
            <w:vMerge w:val="restart"/>
            <w:tcBorders>
              <w:top w:val="single" w:sz="12" w:space="0" w:color="000000"/>
              <w:left w:val="single" w:sz="14" w:space="0" w:color="D2D2D2"/>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
              <w:jc w:val="right"/>
              <w:rPr>
                <w:rFonts w:ascii="宋体" w:hAnsi="宋体" w:cs="宋体" w:eastAsia="宋体" w:hint="default"/>
                <w:sz w:val="18"/>
                <w:szCs w:val="18"/>
              </w:rPr>
            </w:pPr>
            <w:r>
              <w:rPr>
                <w:rFonts w:ascii="宋体"/>
                <w:sz w:val="18"/>
              </w:rPr>
              <w:t>0</w:t>
            </w:r>
          </w:p>
        </w:tc>
      </w:tr>
      <w:tr>
        <w:trPr>
          <w:trHeight w:val="156" w:hRule="exact"/>
        </w:trPr>
        <w:tc>
          <w:tcPr>
            <w:tcW w:w="1377" w:type="dxa"/>
            <w:vMerge/>
            <w:tcBorders>
              <w:left w:val="single" w:sz="12" w:space="0" w:color="000000"/>
              <w:bottom w:val="nil" w:sz="6" w:space="0" w:color="auto"/>
              <w:right w:val="single" w:sz="6" w:space="0" w:color="000000"/>
            </w:tcBorders>
            <w:shd w:val="clear" w:color="auto" w:fill="D2D2D2"/>
          </w:tcPr>
          <w:p>
            <w:pPr/>
          </w:p>
        </w:tc>
        <w:tc>
          <w:tcPr>
            <w:tcW w:w="764" w:type="dxa"/>
            <w:vMerge/>
            <w:tcBorders>
              <w:left w:val="single" w:sz="9" w:space="0" w:color="D2D2D2"/>
              <w:right w:val="single" w:sz="8" w:space="0" w:color="D2D2D2"/>
            </w:tcBorders>
          </w:tcPr>
          <w:p>
            <w:pPr/>
          </w:p>
        </w:tc>
        <w:tc>
          <w:tcPr>
            <w:tcW w:w="153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51"/>
              <w:ind w:left="10" w:right="65"/>
              <w:jc w:val="both"/>
              <w:rPr>
                <w:rFonts w:ascii="宋体" w:hAnsi="宋体" w:cs="宋体" w:eastAsia="宋体" w:hint="default"/>
                <w:sz w:val="18"/>
                <w:szCs w:val="18"/>
              </w:rPr>
            </w:pPr>
            <w:r>
              <w:rPr>
                <w:rFonts w:ascii="宋体" w:hAnsi="宋体" w:cs="宋体" w:eastAsia="宋体" w:hint="default"/>
                <w:sz w:val="18"/>
                <w:szCs w:val="18"/>
              </w:rPr>
              <w:t>年度报告披露日前 上一月末普通股股 东总数</w:t>
            </w:r>
          </w:p>
        </w:tc>
        <w:tc>
          <w:tcPr>
            <w:tcW w:w="1137" w:type="dxa"/>
            <w:vMerge/>
            <w:tcBorders>
              <w:left w:val="single" w:sz="9" w:space="0" w:color="D2D2D2"/>
              <w:right w:val="single" w:sz="9" w:space="0" w:color="D2D2D2"/>
            </w:tcBorders>
          </w:tcPr>
          <w:p>
            <w:pPr/>
          </w:p>
        </w:tc>
        <w:tc>
          <w:tcPr>
            <w:tcW w:w="1297"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51"/>
              <w:ind w:left="-1" w:right="2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tc>
        <w:tc>
          <w:tcPr>
            <w:tcW w:w="845" w:type="dxa"/>
            <w:vMerge/>
            <w:tcBorders>
              <w:left w:val="single" w:sz="9" w:space="0" w:color="D2D2D2"/>
              <w:right w:val="single" w:sz="9" w:space="0" w:color="D2D2D2"/>
            </w:tcBorders>
          </w:tcPr>
          <w:p>
            <w:pPr/>
          </w:p>
        </w:tc>
        <w:tc>
          <w:tcPr>
            <w:tcW w:w="1552" w:type="dxa"/>
            <w:gridSpan w:val="2"/>
            <w:vMerge/>
            <w:tcBorders>
              <w:left w:val="single" w:sz="6" w:space="0" w:color="000000"/>
              <w:right w:val="single" w:sz="6" w:space="0" w:color="000000"/>
            </w:tcBorders>
            <w:shd w:val="clear" w:color="auto" w:fill="D2D2D2"/>
          </w:tcPr>
          <w:p>
            <w:pPr/>
          </w:p>
        </w:tc>
        <w:tc>
          <w:tcPr>
            <w:tcW w:w="1067" w:type="dxa"/>
            <w:vMerge/>
            <w:tcBorders>
              <w:left w:val="single" w:sz="14" w:space="0" w:color="D2D2D2"/>
              <w:right w:val="single" w:sz="12" w:space="0" w:color="000000"/>
            </w:tcBorders>
          </w:tcPr>
          <w:p>
            <w:pPr/>
          </w:p>
        </w:tc>
      </w:tr>
      <w:tr>
        <w:trPr>
          <w:trHeight w:val="703" w:hRule="exact"/>
        </w:trPr>
        <w:tc>
          <w:tcPr>
            <w:tcW w:w="1377"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51"/>
              <w:ind w:left="13" w:right="81"/>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64" w:type="dxa"/>
            <w:vMerge/>
            <w:tcBorders>
              <w:left w:val="single" w:sz="9" w:space="0" w:color="D2D2D2"/>
              <w:right w:val="single" w:sz="8" w:space="0" w:color="D2D2D2"/>
            </w:tcBorders>
          </w:tcPr>
          <w:p>
            <w:pPr/>
          </w:p>
        </w:tc>
        <w:tc>
          <w:tcPr>
            <w:tcW w:w="1532" w:type="dxa"/>
            <w:gridSpan w:val="2"/>
            <w:vMerge/>
            <w:tcBorders>
              <w:left w:val="single" w:sz="6" w:space="0" w:color="000000"/>
              <w:right w:val="single" w:sz="6" w:space="0" w:color="000000"/>
            </w:tcBorders>
            <w:shd w:val="clear" w:color="auto" w:fill="D2D2D2"/>
          </w:tcPr>
          <w:p>
            <w:pPr/>
          </w:p>
        </w:tc>
        <w:tc>
          <w:tcPr>
            <w:tcW w:w="1137" w:type="dxa"/>
            <w:vMerge/>
            <w:tcBorders>
              <w:left w:val="single" w:sz="9" w:space="0" w:color="D2D2D2"/>
              <w:right w:val="single" w:sz="9" w:space="0" w:color="D2D2D2"/>
            </w:tcBorders>
          </w:tcPr>
          <w:p>
            <w:pPr/>
          </w:p>
        </w:tc>
        <w:tc>
          <w:tcPr>
            <w:tcW w:w="1297" w:type="dxa"/>
            <w:gridSpan w:val="2"/>
            <w:vMerge/>
            <w:tcBorders>
              <w:left w:val="single" w:sz="6" w:space="0" w:color="000000"/>
              <w:right w:val="single" w:sz="6" w:space="0" w:color="000000"/>
            </w:tcBorders>
            <w:shd w:val="clear" w:color="auto" w:fill="D2D2D2"/>
          </w:tcPr>
          <w:p>
            <w:pPr/>
          </w:p>
        </w:tc>
        <w:tc>
          <w:tcPr>
            <w:tcW w:w="845" w:type="dxa"/>
            <w:vMerge/>
            <w:tcBorders>
              <w:left w:val="single" w:sz="9" w:space="0" w:color="D2D2D2"/>
              <w:right w:val="single" w:sz="9" w:space="0" w:color="D2D2D2"/>
            </w:tcBorders>
          </w:tcPr>
          <w:p>
            <w:pPr/>
          </w:p>
        </w:tc>
        <w:tc>
          <w:tcPr>
            <w:tcW w:w="1552" w:type="dxa"/>
            <w:gridSpan w:val="2"/>
            <w:vMerge/>
            <w:tcBorders>
              <w:left w:val="single" w:sz="6" w:space="0" w:color="000000"/>
              <w:right w:val="single" w:sz="6" w:space="0" w:color="000000"/>
            </w:tcBorders>
            <w:shd w:val="clear" w:color="auto" w:fill="D2D2D2"/>
          </w:tcPr>
          <w:p>
            <w:pPr/>
          </w:p>
        </w:tc>
        <w:tc>
          <w:tcPr>
            <w:tcW w:w="1067" w:type="dxa"/>
            <w:vMerge/>
            <w:tcBorders>
              <w:left w:val="single" w:sz="14" w:space="0" w:color="D2D2D2"/>
              <w:right w:val="single" w:sz="12" w:space="0" w:color="000000"/>
            </w:tcBorders>
          </w:tcPr>
          <w:p>
            <w:pPr/>
          </w:p>
        </w:tc>
      </w:tr>
      <w:tr>
        <w:trPr>
          <w:trHeight w:val="156" w:hRule="exact"/>
        </w:trPr>
        <w:tc>
          <w:tcPr>
            <w:tcW w:w="1377" w:type="dxa"/>
            <w:vMerge w:val="restart"/>
            <w:tcBorders>
              <w:top w:val="nil" w:sz="6" w:space="0" w:color="auto"/>
              <w:left w:val="single" w:sz="12" w:space="0" w:color="000000"/>
              <w:right w:val="single" w:sz="6" w:space="0" w:color="000000"/>
            </w:tcBorders>
            <w:shd w:val="clear" w:color="auto" w:fill="D2D2D2"/>
          </w:tcPr>
          <w:p>
            <w:pPr/>
          </w:p>
        </w:tc>
        <w:tc>
          <w:tcPr>
            <w:tcW w:w="764" w:type="dxa"/>
            <w:vMerge/>
            <w:tcBorders>
              <w:left w:val="single" w:sz="9" w:space="0" w:color="D2D2D2"/>
              <w:right w:val="single" w:sz="8" w:space="0" w:color="D2D2D2"/>
            </w:tcBorders>
          </w:tcPr>
          <w:p>
            <w:pPr/>
          </w:p>
        </w:tc>
        <w:tc>
          <w:tcPr>
            <w:tcW w:w="1532" w:type="dxa"/>
            <w:gridSpan w:val="2"/>
            <w:vMerge/>
            <w:tcBorders>
              <w:left w:val="single" w:sz="6" w:space="0" w:color="000000"/>
              <w:bottom w:val="nil" w:sz="6" w:space="0" w:color="auto"/>
              <w:right w:val="single" w:sz="6" w:space="0" w:color="000000"/>
            </w:tcBorders>
            <w:shd w:val="clear" w:color="auto" w:fill="D2D2D2"/>
          </w:tcPr>
          <w:p>
            <w:pPr/>
          </w:p>
        </w:tc>
        <w:tc>
          <w:tcPr>
            <w:tcW w:w="1137" w:type="dxa"/>
            <w:vMerge/>
            <w:tcBorders>
              <w:left w:val="single" w:sz="9" w:space="0" w:color="D2D2D2"/>
              <w:right w:val="single" w:sz="9" w:space="0" w:color="D2D2D2"/>
            </w:tcBorders>
          </w:tcPr>
          <w:p>
            <w:pPr/>
          </w:p>
        </w:tc>
        <w:tc>
          <w:tcPr>
            <w:tcW w:w="1297" w:type="dxa"/>
            <w:gridSpan w:val="2"/>
            <w:vMerge/>
            <w:tcBorders>
              <w:left w:val="single" w:sz="6" w:space="0" w:color="000000"/>
              <w:bottom w:val="nil" w:sz="6" w:space="0" w:color="auto"/>
              <w:right w:val="single" w:sz="6" w:space="0" w:color="000000"/>
            </w:tcBorders>
            <w:shd w:val="clear" w:color="auto" w:fill="D2D2D2"/>
          </w:tcPr>
          <w:p>
            <w:pPr/>
          </w:p>
        </w:tc>
        <w:tc>
          <w:tcPr>
            <w:tcW w:w="845" w:type="dxa"/>
            <w:vMerge/>
            <w:tcBorders>
              <w:left w:val="single" w:sz="9" w:space="0" w:color="D2D2D2"/>
              <w:right w:val="single" w:sz="9" w:space="0" w:color="D2D2D2"/>
            </w:tcBorders>
          </w:tcPr>
          <w:p>
            <w:pPr/>
          </w:p>
        </w:tc>
        <w:tc>
          <w:tcPr>
            <w:tcW w:w="1552" w:type="dxa"/>
            <w:gridSpan w:val="2"/>
            <w:vMerge/>
            <w:tcBorders>
              <w:left w:val="single" w:sz="6" w:space="0" w:color="000000"/>
              <w:right w:val="single" w:sz="6" w:space="0" w:color="000000"/>
            </w:tcBorders>
            <w:shd w:val="clear" w:color="auto" w:fill="D2D2D2"/>
          </w:tcPr>
          <w:p>
            <w:pPr/>
          </w:p>
        </w:tc>
        <w:tc>
          <w:tcPr>
            <w:tcW w:w="1067" w:type="dxa"/>
            <w:vMerge/>
            <w:tcBorders>
              <w:left w:val="single" w:sz="14" w:space="0" w:color="D2D2D2"/>
              <w:right w:val="single" w:sz="12" w:space="0" w:color="000000"/>
            </w:tcBorders>
          </w:tcPr>
          <w:p>
            <w:pPr/>
          </w:p>
        </w:tc>
      </w:tr>
      <w:tr>
        <w:trPr>
          <w:trHeight w:val="172" w:hRule="exact"/>
        </w:trPr>
        <w:tc>
          <w:tcPr>
            <w:tcW w:w="1377" w:type="dxa"/>
            <w:vMerge/>
            <w:tcBorders>
              <w:left w:val="single" w:sz="12" w:space="0" w:color="000000"/>
              <w:bottom w:val="single" w:sz="6" w:space="0" w:color="000000"/>
              <w:right w:val="single" w:sz="6" w:space="0" w:color="000000"/>
            </w:tcBorders>
            <w:shd w:val="clear" w:color="auto" w:fill="D2D2D2"/>
          </w:tcPr>
          <w:p>
            <w:pPr/>
          </w:p>
        </w:tc>
        <w:tc>
          <w:tcPr>
            <w:tcW w:w="764" w:type="dxa"/>
            <w:vMerge/>
            <w:tcBorders>
              <w:left w:val="single" w:sz="9" w:space="0" w:color="D2D2D2"/>
              <w:bottom w:val="single" w:sz="6" w:space="0" w:color="000000"/>
              <w:right w:val="single" w:sz="8" w:space="0" w:color="D2D2D2"/>
            </w:tcBorders>
          </w:tcPr>
          <w:p>
            <w:pPr/>
          </w:p>
        </w:tc>
        <w:tc>
          <w:tcPr>
            <w:tcW w:w="1532"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137" w:type="dxa"/>
            <w:vMerge/>
            <w:tcBorders>
              <w:left w:val="single" w:sz="9" w:space="0" w:color="D2D2D2"/>
              <w:bottom w:val="single" w:sz="6" w:space="0" w:color="000000"/>
              <w:right w:val="single" w:sz="9" w:space="0" w:color="D2D2D2"/>
            </w:tcBorders>
          </w:tcPr>
          <w:p>
            <w:pPr/>
          </w:p>
        </w:tc>
        <w:tc>
          <w:tcPr>
            <w:tcW w:w="1297"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845" w:type="dxa"/>
            <w:vMerge/>
            <w:tcBorders>
              <w:left w:val="single" w:sz="9" w:space="0" w:color="D2D2D2"/>
              <w:bottom w:val="single" w:sz="6" w:space="0" w:color="000000"/>
              <w:right w:val="single" w:sz="9" w:space="0" w:color="D2D2D2"/>
            </w:tcBorders>
          </w:tcPr>
          <w:p>
            <w:pPr/>
          </w:p>
        </w:tc>
        <w:tc>
          <w:tcPr>
            <w:tcW w:w="1552" w:type="dxa"/>
            <w:gridSpan w:val="2"/>
            <w:vMerge/>
            <w:tcBorders>
              <w:left w:val="single" w:sz="6" w:space="0" w:color="000000"/>
              <w:bottom w:val="single" w:sz="6" w:space="0" w:color="000000"/>
              <w:right w:val="single" w:sz="6" w:space="0" w:color="000000"/>
            </w:tcBorders>
            <w:shd w:val="clear" w:color="auto" w:fill="D2D2D2"/>
          </w:tcPr>
          <w:p>
            <w:pPr/>
          </w:p>
        </w:tc>
        <w:tc>
          <w:tcPr>
            <w:tcW w:w="1067" w:type="dxa"/>
            <w:vMerge/>
            <w:tcBorders>
              <w:left w:val="single" w:sz="14" w:space="0" w:color="D2D2D2"/>
              <w:bottom w:val="single" w:sz="6" w:space="0" w:color="000000"/>
              <w:right w:val="single" w:sz="12" w:space="0" w:color="000000"/>
            </w:tcBorders>
          </w:tcPr>
          <w:p>
            <w:pPr/>
          </w:p>
        </w:tc>
      </w:tr>
      <w:tr>
        <w:trPr>
          <w:trHeight w:val="398" w:hRule="exact"/>
        </w:trPr>
        <w:tc>
          <w:tcPr>
            <w:tcW w:w="9571"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left="308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212" w:hRule="exact"/>
        </w:trPr>
        <w:tc>
          <w:tcPr>
            <w:tcW w:w="1377" w:type="dxa"/>
            <w:vMerge w:val="restart"/>
            <w:tcBorders>
              <w:top w:val="single" w:sz="6" w:space="0" w:color="000000"/>
              <w:left w:val="single" w:sz="12" w:space="0" w:color="000000"/>
              <w:right w:val="single" w:sz="6" w:space="0" w:color="000000"/>
            </w:tcBorders>
            <w:shd w:val="clear" w:color="auto" w:fill="D2D2D2"/>
          </w:tcPr>
          <w:p>
            <w:pPr/>
          </w:p>
        </w:tc>
        <w:tc>
          <w:tcPr>
            <w:tcW w:w="1459" w:type="dxa"/>
            <w:gridSpan w:val="2"/>
            <w:vMerge w:val="restart"/>
            <w:tcBorders>
              <w:top w:val="single" w:sz="6" w:space="0" w:color="000000"/>
              <w:left w:val="single" w:sz="6" w:space="0" w:color="000000"/>
              <w:right w:val="single" w:sz="6" w:space="0" w:color="000000"/>
            </w:tcBorders>
            <w:shd w:val="clear" w:color="auto" w:fill="D2D2D2"/>
          </w:tcPr>
          <w:p>
            <w:pPr/>
          </w:p>
        </w:tc>
        <w:tc>
          <w:tcPr>
            <w:tcW w:w="836" w:type="dxa"/>
            <w:vMerge w:val="restart"/>
            <w:tcBorders>
              <w:top w:val="single" w:sz="6" w:space="0" w:color="000000"/>
              <w:left w:val="single" w:sz="6" w:space="0" w:color="000000"/>
              <w:right w:val="single" w:sz="6" w:space="0" w:color="000000"/>
            </w:tcBorders>
            <w:shd w:val="clear" w:color="auto" w:fill="D2D2D2"/>
          </w:tcPr>
          <w:p>
            <w:pPr/>
          </w:p>
        </w:tc>
        <w:tc>
          <w:tcPr>
            <w:tcW w:w="1137" w:type="dxa"/>
            <w:tcBorders>
              <w:top w:val="single" w:sz="6" w:space="0" w:color="000000"/>
              <w:left w:val="single" w:sz="6" w:space="0" w:color="000000"/>
              <w:bottom w:val="nil" w:sz="6" w:space="0" w:color="auto"/>
              <w:right w:val="single" w:sz="6" w:space="0" w:color="000000"/>
            </w:tcBorders>
            <w:shd w:val="clear" w:color="auto" w:fill="D2D2D2"/>
          </w:tcPr>
          <w:p>
            <w:pPr/>
          </w:p>
        </w:tc>
        <w:tc>
          <w:tcPr>
            <w:tcW w:w="1003"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100"/>
              <w:ind w:left="110" w:right="112"/>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29"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100"/>
              <w:ind w:left="105" w:right="107"/>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90" w:type="dxa"/>
            <w:gridSpan w:val="2"/>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6" w:hRule="exact"/>
        </w:trPr>
        <w:tc>
          <w:tcPr>
            <w:tcW w:w="1377" w:type="dxa"/>
            <w:vMerge/>
            <w:tcBorders>
              <w:left w:val="single" w:sz="12" w:space="0" w:color="000000"/>
              <w:bottom w:val="nil" w:sz="6" w:space="0" w:color="auto"/>
              <w:right w:val="single" w:sz="6" w:space="0" w:color="000000"/>
            </w:tcBorders>
            <w:shd w:val="clear" w:color="auto" w:fill="D2D2D2"/>
          </w:tcPr>
          <w:p>
            <w:pPr/>
          </w:p>
        </w:tc>
        <w:tc>
          <w:tcPr>
            <w:tcW w:w="1459" w:type="dxa"/>
            <w:gridSpan w:val="2"/>
            <w:vMerge/>
            <w:tcBorders>
              <w:left w:val="single" w:sz="6" w:space="0" w:color="000000"/>
              <w:bottom w:val="nil" w:sz="6" w:space="0" w:color="auto"/>
              <w:right w:val="single" w:sz="6" w:space="0" w:color="000000"/>
            </w:tcBorders>
            <w:shd w:val="clear" w:color="auto" w:fill="D2D2D2"/>
          </w:tcPr>
          <w:p>
            <w:pPr/>
          </w:p>
        </w:tc>
        <w:tc>
          <w:tcPr>
            <w:tcW w:w="836" w:type="dxa"/>
            <w:vMerge/>
            <w:tcBorders>
              <w:left w:val="single" w:sz="6" w:space="0" w:color="000000"/>
              <w:bottom w:val="nil" w:sz="6" w:space="0" w:color="auto"/>
              <w:right w:val="single" w:sz="6" w:space="0" w:color="000000"/>
            </w:tcBorders>
            <w:shd w:val="clear" w:color="auto" w:fill="D2D2D2"/>
          </w:tcPr>
          <w:p>
            <w:pPr/>
          </w:p>
        </w:tc>
        <w:tc>
          <w:tcPr>
            <w:tcW w:w="1137"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51"/>
              <w:ind w:left="384" w:right="18" w:hanging="361"/>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03"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51"/>
              <w:ind w:left="49" w:right="36"/>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9" w:type="dxa"/>
            <w:gridSpan w:val="2"/>
            <w:vMerge/>
            <w:tcBorders>
              <w:left w:val="single" w:sz="6" w:space="0" w:color="000000"/>
              <w:right w:val="single" w:sz="6" w:space="0" w:color="000000"/>
            </w:tcBorders>
            <w:shd w:val="clear" w:color="auto" w:fill="D2D2D2"/>
          </w:tcPr>
          <w:p>
            <w:pPr/>
          </w:p>
        </w:tc>
        <w:tc>
          <w:tcPr>
            <w:tcW w:w="1129" w:type="dxa"/>
            <w:vMerge/>
            <w:tcBorders>
              <w:left w:val="single" w:sz="6" w:space="0" w:color="000000"/>
              <w:right w:val="single" w:sz="6" w:space="0" w:color="000000"/>
            </w:tcBorders>
            <w:shd w:val="clear" w:color="auto" w:fill="D2D2D2"/>
          </w:tcPr>
          <w:p>
            <w:pPr/>
          </w:p>
        </w:tc>
        <w:tc>
          <w:tcPr>
            <w:tcW w:w="1490" w:type="dxa"/>
            <w:gridSpan w:val="2"/>
            <w:vMerge/>
            <w:tcBorders>
              <w:left w:val="single" w:sz="6" w:space="0" w:color="000000"/>
              <w:bottom w:val="single" w:sz="6" w:space="0" w:color="000000"/>
              <w:right w:val="single" w:sz="12" w:space="0" w:color="000000"/>
            </w:tcBorders>
            <w:shd w:val="clear" w:color="auto" w:fill="D2D2D2"/>
          </w:tcPr>
          <w:p>
            <w:pPr/>
          </w:p>
        </w:tc>
      </w:tr>
      <w:tr>
        <w:trPr>
          <w:trHeight w:val="183" w:hRule="exact"/>
        </w:trPr>
        <w:tc>
          <w:tcPr>
            <w:tcW w:w="1377"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31"/>
              <w:ind w:left="33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59"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1"/>
              <w:ind w:left="38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3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1"/>
              <w:ind w:left="4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7" w:type="dxa"/>
            <w:vMerge/>
            <w:tcBorders>
              <w:left w:val="single" w:sz="6" w:space="0" w:color="000000"/>
              <w:right w:val="single" w:sz="6" w:space="0" w:color="000000"/>
            </w:tcBorders>
            <w:shd w:val="clear" w:color="auto" w:fill="D2D2D2"/>
          </w:tcPr>
          <w:p>
            <w:pPr/>
          </w:p>
        </w:tc>
        <w:tc>
          <w:tcPr>
            <w:tcW w:w="1003" w:type="dxa"/>
            <w:vMerge/>
            <w:tcBorders>
              <w:left w:val="single" w:sz="6" w:space="0" w:color="000000"/>
              <w:right w:val="single" w:sz="6" w:space="0" w:color="000000"/>
            </w:tcBorders>
            <w:shd w:val="clear" w:color="auto" w:fill="D2D2D2"/>
          </w:tcPr>
          <w:p>
            <w:pPr/>
          </w:p>
        </w:tc>
        <w:tc>
          <w:tcPr>
            <w:tcW w:w="1139" w:type="dxa"/>
            <w:gridSpan w:val="2"/>
            <w:vMerge/>
            <w:tcBorders>
              <w:left w:val="single" w:sz="6" w:space="0" w:color="000000"/>
              <w:right w:val="single" w:sz="6" w:space="0" w:color="000000"/>
            </w:tcBorders>
            <w:shd w:val="clear" w:color="auto" w:fill="D2D2D2"/>
          </w:tcPr>
          <w:p>
            <w:pPr/>
          </w:p>
        </w:tc>
        <w:tc>
          <w:tcPr>
            <w:tcW w:w="1129" w:type="dxa"/>
            <w:vMerge/>
            <w:tcBorders>
              <w:left w:val="single" w:sz="6" w:space="0" w:color="000000"/>
              <w:right w:val="single" w:sz="6" w:space="0" w:color="000000"/>
            </w:tcBorders>
            <w:shd w:val="clear" w:color="auto" w:fill="D2D2D2"/>
          </w:tcPr>
          <w:p>
            <w:pPr/>
          </w:p>
        </w:tc>
        <w:tc>
          <w:tcPr>
            <w:tcW w:w="423"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71"/>
              <w:ind w:left="27" w:right="19"/>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7"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9" w:hRule="exact"/>
        </w:trPr>
        <w:tc>
          <w:tcPr>
            <w:tcW w:w="1377" w:type="dxa"/>
            <w:vMerge/>
            <w:tcBorders>
              <w:left w:val="single" w:sz="12" w:space="0" w:color="000000"/>
              <w:bottom w:val="nil" w:sz="6" w:space="0" w:color="auto"/>
              <w:right w:val="single" w:sz="6" w:space="0" w:color="000000"/>
            </w:tcBorders>
            <w:shd w:val="clear" w:color="auto" w:fill="D2D2D2"/>
          </w:tcPr>
          <w:p>
            <w:pPr/>
          </w:p>
        </w:tc>
        <w:tc>
          <w:tcPr>
            <w:tcW w:w="1459" w:type="dxa"/>
            <w:gridSpan w:val="2"/>
            <w:vMerge/>
            <w:tcBorders>
              <w:left w:val="single" w:sz="6" w:space="0" w:color="000000"/>
              <w:bottom w:val="nil" w:sz="6" w:space="0" w:color="auto"/>
              <w:right w:val="single" w:sz="6" w:space="0" w:color="000000"/>
            </w:tcBorders>
            <w:shd w:val="clear" w:color="auto" w:fill="D2D2D2"/>
          </w:tcPr>
          <w:p>
            <w:pPr/>
          </w:p>
        </w:tc>
        <w:tc>
          <w:tcPr>
            <w:tcW w:w="836" w:type="dxa"/>
            <w:vMerge/>
            <w:tcBorders>
              <w:left w:val="single" w:sz="6" w:space="0" w:color="000000"/>
              <w:bottom w:val="nil" w:sz="6" w:space="0" w:color="auto"/>
              <w:right w:val="single" w:sz="6" w:space="0" w:color="000000"/>
            </w:tcBorders>
            <w:shd w:val="clear" w:color="auto" w:fill="D2D2D2"/>
          </w:tcPr>
          <w:p>
            <w:pPr/>
          </w:p>
        </w:tc>
        <w:tc>
          <w:tcPr>
            <w:tcW w:w="1137" w:type="dxa"/>
            <w:vMerge/>
            <w:tcBorders>
              <w:left w:val="single" w:sz="6" w:space="0" w:color="000000"/>
              <w:right w:val="single" w:sz="6" w:space="0" w:color="000000"/>
            </w:tcBorders>
            <w:shd w:val="clear" w:color="auto" w:fill="D2D2D2"/>
          </w:tcPr>
          <w:p>
            <w:pPr/>
          </w:p>
        </w:tc>
        <w:tc>
          <w:tcPr>
            <w:tcW w:w="1003" w:type="dxa"/>
            <w:vMerge/>
            <w:tcBorders>
              <w:left w:val="single" w:sz="6" w:space="0" w:color="000000"/>
              <w:right w:val="single" w:sz="6" w:space="0" w:color="000000"/>
            </w:tcBorders>
            <w:shd w:val="clear" w:color="auto" w:fill="D2D2D2"/>
          </w:tcPr>
          <w:p>
            <w:pPr/>
          </w:p>
        </w:tc>
        <w:tc>
          <w:tcPr>
            <w:tcW w:w="1139" w:type="dxa"/>
            <w:gridSpan w:val="2"/>
            <w:vMerge/>
            <w:tcBorders>
              <w:left w:val="single" w:sz="6" w:space="0" w:color="000000"/>
              <w:right w:val="single" w:sz="6" w:space="0" w:color="000000"/>
            </w:tcBorders>
            <w:shd w:val="clear" w:color="auto" w:fill="D2D2D2"/>
          </w:tcPr>
          <w:p>
            <w:pPr/>
          </w:p>
        </w:tc>
        <w:tc>
          <w:tcPr>
            <w:tcW w:w="1129" w:type="dxa"/>
            <w:vMerge/>
            <w:tcBorders>
              <w:left w:val="single" w:sz="6" w:space="0" w:color="000000"/>
              <w:right w:val="single" w:sz="6" w:space="0" w:color="000000"/>
            </w:tcBorders>
            <w:shd w:val="clear" w:color="auto" w:fill="D2D2D2"/>
          </w:tcPr>
          <w:p>
            <w:pPr/>
          </w:p>
        </w:tc>
        <w:tc>
          <w:tcPr>
            <w:tcW w:w="423" w:type="dxa"/>
            <w:vMerge/>
            <w:tcBorders>
              <w:left w:val="single" w:sz="6" w:space="0" w:color="000000"/>
              <w:right w:val="single" w:sz="6" w:space="0" w:color="000000"/>
            </w:tcBorders>
            <w:shd w:val="clear" w:color="auto" w:fill="D2D2D2"/>
          </w:tcPr>
          <w:p>
            <w:pPr/>
          </w:p>
        </w:tc>
        <w:tc>
          <w:tcPr>
            <w:tcW w:w="106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0" w:hRule="exact"/>
        </w:trPr>
        <w:tc>
          <w:tcPr>
            <w:tcW w:w="1377" w:type="dxa"/>
            <w:vMerge w:val="restart"/>
            <w:tcBorders>
              <w:top w:val="nil" w:sz="6" w:space="0" w:color="auto"/>
              <w:left w:val="single" w:sz="12" w:space="0" w:color="000000"/>
              <w:right w:val="single" w:sz="6" w:space="0" w:color="000000"/>
            </w:tcBorders>
            <w:shd w:val="clear" w:color="auto" w:fill="D2D2D2"/>
          </w:tcPr>
          <w:p>
            <w:pPr/>
          </w:p>
        </w:tc>
        <w:tc>
          <w:tcPr>
            <w:tcW w:w="1459" w:type="dxa"/>
            <w:gridSpan w:val="2"/>
            <w:vMerge w:val="restart"/>
            <w:tcBorders>
              <w:top w:val="nil" w:sz="6" w:space="0" w:color="auto"/>
              <w:left w:val="single" w:sz="6" w:space="0" w:color="000000"/>
              <w:right w:val="single" w:sz="6" w:space="0" w:color="000000"/>
            </w:tcBorders>
            <w:shd w:val="clear" w:color="auto" w:fill="D2D2D2"/>
          </w:tcPr>
          <w:p>
            <w:pPr/>
          </w:p>
        </w:tc>
        <w:tc>
          <w:tcPr>
            <w:tcW w:w="836" w:type="dxa"/>
            <w:vMerge w:val="restart"/>
            <w:tcBorders>
              <w:top w:val="nil" w:sz="6" w:space="0" w:color="auto"/>
              <w:left w:val="single" w:sz="6" w:space="0" w:color="000000"/>
              <w:right w:val="single" w:sz="6" w:space="0" w:color="000000"/>
            </w:tcBorders>
            <w:shd w:val="clear" w:color="auto" w:fill="D2D2D2"/>
          </w:tcPr>
          <w:p>
            <w:pPr/>
          </w:p>
        </w:tc>
        <w:tc>
          <w:tcPr>
            <w:tcW w:w="1137" w:type="dxa"/>
            <w:vMerge/>
            <w:tcBorders>
              <w:left w:val="single" w:sz="6" w:space="0" w:color="000000"/>
              <w:bottom w:val="nil" w:sz="6" w:space="0" w:color="auto"/>
              <w:right w:val="single" w:sz="6" w:space="0" w:color="000000"/>
            </w:tcBorders>
            <w:shd w:val="clear" w:color="auto" w:fill="D2D2D2"/>
          </w:tcPr>
          <w:p>
            <w:pPr/>
          </w:p>
        </w:tc>
        <w:tc>
          <w:tcPr>
            <w:tcW w:w="1003" w:type="dxa"/>
            <w:vMerge/>
            <w:tcBorders>
              <w:left w:val="single" w:sz="6" w:space="0" w:color="000000"/>
              <w:bottom w:val="nil" w:sz="6" w:space="0" w:color="auto"/>
              <w:right w:val="single" w:sz="6" w:space="0" w:color="000000"/>
            </w:tcBorders>
            <w:shd w:val="clear" w:color="auto" w:fill="D2D2D2"/>
          </w:tcPr>
          <w:p>
            <w:pPr/>
          </w:p>
        </w:tc>
        <w:tc>
          <w:tcPr>
            <w:tcW w:w="1139" w:type="dxa"/>
            <w:gridSpan w:val="2"/>
            <w:vMerge/>
            <w:tcBorders>
              <w:left w:val="single" w:sz="6" w:space="0" w:color="000000"/>
              <w:right w:val="single" w:sz="6" w:space="0" w:color="000000"/>
            </w:tcBorders>
            <w:shd w:val="clear" w:color="auto" w:fill="D2D2D2"/>
          </w:tcPr>
          <w:p>
            <w:pPr/>
          </w:p>
        </w:tc>
        <w:tc>
          <w:tcPr>
            <w:tcW w:w="1129" w:type="dxa"/>
            <w:vMerge/>
            <w:tcBorders>
              <w:left w:val="single" w:sz="6" w:space="0" w:color="000000"/>
              <w:right w:val="single" w:sz="6" w:space="0" w:color="000000"/>
            </w:tcBorders>
            <w:shd w:val="clear" w:color="auto" w:fill="D2D2D2"/>
          </w:tcPr>
          <w:p>
            <w:pPr/>
          </w:p>
        </w:tc>
        <w:tc>
          <w:tcPr>
            <w:tcW w:w="423" w:type="dxa"/>
            <w:vMerge/>
            <w:tcBorders>
              <w:left w:val="single" w:sz="6" w:space="0" w:color="000000"/>
              <w:right w:val="single" w:sz="6" w:space="0" w:color="000000"/>
            </w:tcBorders>
            <w:shd w:val="clear" w:color="auto" w:fill="D2D2D2"/>
          </w:tcPr>
          <w:p>
            <w:pPr/>
          </w:p>
        </w:tc>
        <w:tc>
          <w:tcPr>
            <w:tcW w:w="1067" w:type="dxa"/>
            <w:vMerge/>
            <w:tcBorders>
              <w:left w:val="single" w:sz="6" w:space="0" w:color="000000"/>
              <w:bottom w:val="nil" w:sz="6" w:space="0" w:color="auto"/>
              <w:right w:val="single" w:sz="12" w:space="0" w:color="000000"/>
            </w:tcBorders>
            <w:shd w:val="clear" w:color="auto" w:fill="D2D2D2"/>
          </w:tcPr>
          <w:p>
            <w:pPr/>
          </w:p>
        </w:tc>
      </w:tr>
      <w:tr>
        <w:trPr>
          <w:trHeight w:val="187" w:hRule="exact"/>
        </w:trPr>
        <w:tc>
          <w:tcPr>
            <w:tcW w:w="1377" w:type="dxa"/>
            <w:vMerge/>
            <w:tcBorders>
              <w:left w:val="single" w:sz="12" w:space="0" w:color="000000"/>
              <w:bottom w:val="single" w:sz="6" w:space="0" w:color="000000"/>
              <w:right w:val="single" w:sz="6" w:space="0" w:color="000000"/>
            </w:tcBorders>
            <w:shd w:val="clear" w:color="auto" w:fill="D2D2D2"/>
          </w:tcPr>
          <w:p>
            <w:pPr/>
          </w:p>
        </w:tc>
        <w:tc>
          <w:tcPr>
            <w:tcW w:w="1459" w:type="dxa"/>
            <w:gridSpan w:val="2"/>
            <w:vMerge/>
            <w:tcBorders>
              <w:left w:val="single" w:sz="6" w:space="0" w:color="000000"/>
              <w:bottom w:val="single" w:sz="6" w:space="0" w:color="000000"/>
              <w:right w:val="single" w:sz="6" w:space="0" w:color="000000"/>
            </w:tcBorders>
            <w:shd w:val="clear" w:color="auto" w:fill="D2D2D2"/>
          </w:tcPr>
          <w:p>
            <w:pPr/>
          </w:p>
        </w:tc>
        <w:tc>
          <w:tcPr>
            <w:tcW w:w="836" w:type="dxa"/>
            <w:vMerge/>
            <w:tcBorders>
              <w:left w:val="single" w:sz="6" w:space="0" w:color="000000"/>
              <w:bottom w:val="single" w:sz="6" w:space="0" w:color="000000"/>
              <w:right w:val="single" w:sz="6" w:space="0" w:color="000000"/>
            </w:tcBorders>
            <w:shd w:val="clear" w:color="auto" w:fill="D2D2D2"/>
          </w:tcPr>
          <w:p>
            <w:pPr/>
          </w:p>
        </w:tc>
        <w:tc>
          <w:tcPr>
            <w:tcW w:w="113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03"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9" w:type="dxa"/>
            <w:gridSpan w:val="2"/>
            <w:vMerge/>
            <w:tcBorders>
              <w:left w:val="single" w:sz="6" w:space="0" w:color="000000"/>
              <w:bottom w:val="single" w:sz="6" w:space="0" w:color="000000"/>
              <w:right w:val="single" w:sz="6" w:space="0" w:color="000000"/>
            </w:tcBorders>
            <w:shd w:val="clear" w:color="auto" w:fill="D2D2D2"/>
          </w:tcPr>
          <w:p>
            <w:pPr/>
          </w:p>
        </w:tc>
        <w:tc>
          <w:tcPr>
            <w:tcW w:w="1129" w:type="dxa"/>
            <w:vMerge/>
            <w:tcBorders>
              <w:left w:val="single" w:sz="6" w:space="0" w:color="000000"/>
              <w:bottom w:val="single" w:sz="6" w:space="0" w:color="000000"/>
              <w:right w:val="single" w:sz="6" w:space="0" w:color="000000"/>
            </w:tcBorders>
            <w:shd w:val="clear" w:color="auto" w:fill="D2D2D2"/>
          </w:tcPr>
          <w:p>
            <w:pPr/>
          </w:p>
        </w:tc>
        <w:tc>
          <w:tcPr>
            <w:tcW w:w="423" w:type="dxa"/>
            <w:vMerge/>
            <w:tcBorders>
              <w:left w:val="single" w:sz="6" w:space="0" w:color="000000"/>
              <w:bottom w:val="single" w:sz="6" w:space="0" w:color="000000"/>
              <w:right w:val="single" w:sz="6" w:space="0" w:color="000000"/>
            </w:tcBorders>
            <w:shd w:val="clear" w:color="auto" w:fill="D2D2D2"/>
          </w:tcPr>
          <w:p>
            <w:pPr/>
          </w:p>
        </w:tc>
        <w:tc>
          <w:tcPr>
            <w:tcW w:w="1067"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719" w:hRule="exact"/>
        </w:trPr>
        <w:tc>
          <w:tcPr>
            <w:tcW w:w="137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63" w:right="29"/>
              <w:jc w:val="left"/>
              <w:rPr>
                <w:rFonts w:ascii="宋体" w:hAnsi="宋体" w:cs="宋体" w:eastAsia="宋体" w:hint="default"/>
                <w:sz w:val="18"/>
                <w:szCs w:val="18"/>
              </w:rPr>
            </w:pPr>
            <w:r>
              <w:rPr>
                <w:rFonts w:ascii="宋体" w:hAnsi="宋体" w:cs="宋体" w:eastAsia="宋体" w:hint="default"/>
                <w:sz w:val="18"/>
                <w:szCs w:val="18"/>
              </w:rPr>
              <w:t>江苏光一投资管 理有限责任公司</w:t>
            </w:r>
          </w:p>
        </w:tc>
        <w:tc>
          <w:tcPr>
            <w:tcW w:w="14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24.37%</w:t>
            </w: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100,209,700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-6,290,300</w:t>
            </w:r>
          </w:p>
        </w:tc>
        <w:tc>
          <w:tcPr>
            <w:tcW w:w="1139" w:type="dxa"/>
            <w:gridSpan w:val="2"/>
            <w:tcBorders>
              <w:top w:val="single" w:sz="25" w:space="0" w:color="D2D2D2"/>
              <w:left w:val="single" w:sz="6" w:space="0" w:color="000000"/>
              <w:bottom w:val="single" w:sz="6" w:space="0" w:color="000000"/>
              <w:right w:val="single" w:sz="6" w:space="0" w:color="000000"/>
            </w:tcBorders>
          </w:tcPr>
          <w:p>
            <w:pPr/>
          </w:p>
        </w:tc>
        <w:tc>
          <w:tcPr>
            <w:tcW w:w="1129" w:type="dxa"/>
            <w:tcBorders>
              <w:top w:val="single" w:sz="25" w:space="0" w:color="D2D2D2"/>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100,209,700</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100,047,200</w:t>
            </w:r>
          </w:p>
        </w:tc>
      </w:tr>
      <w:tr>
        <w:trPr>
          <w:trHeight w:val="719" w:hRule="exact"/>
        </w:trPr>
        <w:tc>
          <w:tcPr>
            <w:tcW w:w="137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423" w:right="29" w:hanging="360"/>
              <w:jc w:val="left"/>
              <w:rPr>
                <w:rFonts w:ascii="宋体" w:hAnsi="宋体" w:cs="宋体" w:eastAsia="宋体" w:hint="default"/>
                <w:sz w:val="18"/>
                <w:szCs w:val="18"/>
              </w:rPr>
            </w:pPr>
            <w:r>
              <w:rPr>
                <w:rFonts w:ascii="宋体" w:hAnsi="宋体" w:cs="宋体" w:eastAsia="宋体" w:hint="default"/>
                <w:sz w:val="18"/>
                <w:szCs w:val="18"/>
              </w:rPr>
              <w:t>湖北乾瀚投资有 限公司</w:t>
            </w:r>
          </w:p>
        </w:tc>
        <w:tc>
          <w:tcPr>
            <w:tcW w:w="14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11.88%</w:t>
            </w: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48,838,027</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-5,580,000</w:t>
            </w:r>
          </w:p>
        </w:tc>
        <w:tc>
          <w:tcPr>
            <w:tcW w:w="1139" w:type="dxa"/>
            <w:gridSpan w:val="2"/>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48,838,027</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30,048,027</w:t>
            </w:r>
          </w:p>
        </w:tc>
      </w:tr>
      <w:tr>
        <w:trPr>
          <w:trHeight w:val="407" w:hRule="exact"/>
        </w:trPr>
        <w:tc>
          <w:tcPr>
            <w:tcW w:w="1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32" w:right="0"/>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9.14%</w:t>
            </w: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37,563,250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w:t>
            </w:r>
          </w:p>
        </w:tc>
        <w:tc>
          <w:tcPr>
            <w:tcW w:w="11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99" w:right="0"/>
              <w:jc w:val="left"/>
              <w:rPr>
                <w:rFonts w:ascii="宋体" w:hAnsi="宋体" w:cs="宋体" w:eastAsia="宋体" w:hint="default"/>
                <w:sz w:val="18"/>
                <w:szCs w:val="18"/>
              </w:rPr>
            </w:pPr>
            <w:r>
              <w:rPr>
                <w:rFonts w:ascii="宋体"/>
                <w:sz w:val="18"/>
              </w:rPr>
              <w:t>28,172,437</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9,390,813</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3"/>
              <w:jc w:val="righ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32,914,800</w:t>
            </w:r>
          </w:p>
        </w:tc>
      </w:tr>
      <w:tr>
        <w:trPr>
          <w:trHeight w:val="407" w:hRule="exact"/>
        </w:trPr>
        <w:tc>
          <w:tcPr>
            <w:tcW w:w="1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32" w:right="0"/>
              <w:jc w:val="center"/>
              <w:rPr>
                <w:rFonts w:ascii="宋体" w:hAnsi="宋体" w:cs="宋体" w:eastAsia="宋体" w:hint="default"/>
                <w:sz w:val="18"/>
                <w:szCs w:val="18"/>
              </w:rPr>
            </w:pPr>
            <w:r>
              <w:rPr>
                <w:rFonts w:ascii="宋体" w:hAnsi="宋体" w:cs="宋体" w:eastAsia="宋体" w:hint="default"/>
                <w:sz w:val="18"/>
                <w:szCs w:val="18"/>
              </w:rPr>
              <w:t>任昌兆</w:t>
            </w:r>
          </w:p>
        </w:tc>
        <w:tc>
          <w:tcPr>
            <w:tcW w:w="14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1.70%</w:t>
            </w: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6,981,540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w:t>
            </w:r>
          </w:p>
        </w:tc>
        <w:tc>
          <w:tcPr>
            <w:tcW w:w="11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89" w:right="0"/>
              <w:jc w:val="left"/>
              <w:rPr>
                <w:rFonts w:ascii="宋体" w:hAnsi="宋体" w:cs="宋体" w:eastAsia="宋体" w:hint="default"/>
                <w:sz w:val="18"/>
                <w:szCs w:val="18"/>
              </w:rPr>
            </w:pPr>
            <w:r>
              <w:rPr>
                <w:rFonts w:ascii="宋体"/>
                <w:sz w:val="18"/>
              </w:rPr>
              <w:t>5,236,155</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1,745,385</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3"/>
              <w:jc w:val="righ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6,981,540</w:t>
            </w:r>
          </w:p>
        </w:tc>
      </w:tr>
      <w:tr>
        <w:trPr>
          <w:trHeight w:val="408" w:hRule="exact"/>
        </w:trPr>
        <w:tc>
          <w:tcPr>
            <w:tcW w:w="1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32" w:right="0"/>
              <w:jc w:val="center"/>
              <w:rPr>
                <w:rFonts w:ascii="宋体" w:hAnsi="宋体" w:cs="宋体" w:eastAsia="宋体" w:hint="default"/>
                <w:sz w:val="18"/>
                <w:szCs w:val="18"/>
              </w:rPr>
            </w:pPr>
            <w:r>
              <w:rPr>
                <w:rFonts w:ascii="宋体" w:hAnsi="宋体" w:cs="宋体" w:eastAsia="宋体" w:hint="default"/>
                <w:sz w:val="18"/>
                <w:szCs w:val="18"/>
              </w:rPr>
              <w:t>熊  珂</w:t>
            </w:r>
          </w:p>
        </w:tc>
        <w:tc>
          <w:tcPr>
            <w:tcW w:w="14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1.03%</w:t>
            </w: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4,218,750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w:t>
            </w:r>
          </w:p>
        </w:tc>
        <w:tc>
          <w:tcPr>
            <w:tcW w:w="11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89" w:right="0"/>
              <w:jc w:val="left"/>
              <w:rPr>
                <w:rFonts w:ascii="宋体" w:hAnsi="宋体" w:cs="宋体" w:eastAsia="宋体" w:hint="default"/>
                <w:sz w:val="18"/>
                <w:szCs w:val="18"/>
              </w:rPr>
            </w:pPr>
            <w:r>
              <w:rPr>
                <w:rFonts w:ascii="宋体"/>
                <w:sz w:val="18"/>
              </w:rPr>
              <w:t>3,164,062</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1,054,688</w:t>
            </w:r>
          </w:p>
        </w:tc>
        <w:tc>
          <w:tcPr>
            <w:tcW w:w="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3"/>
              <w:jc w:val="righ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2,464,000</w:t>
            </w:r>
          </w:p>
        </w:tc>
      </w:tr>
      <w:tr>
        <w:trPr>
          <w:trHeight w:val="407" w:hRule="exact"/>
        </w:trPr>
        <w:tc>
          <w:tcPr>
            <w:tcW w:w="1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32" w:right="0"/>
              <w:jc w:val="center"/>
              <w:rPr>
                <w:rFonts w:ascii="宋体" w:hAnsi="宋体" w:cs="宋体" w:eastAsia="宋体" w:hint="default"/>
                <w:sz w:val="18"/>
                <w:szCs w:val="18"/>
              </w:rPr>
            </w:pPr>
            <w:r>
              <w:rPr>
                <w:rFonts w:ascii="宋体" w:hAnsi="宋体" w:cs="宋体" w:eastAsia="宋体" w:hint="default"/>
                <w:sz w:val="18"/>
                <w:szCs w:val="18"/>
              </w:rPr>
              <w:t>任晶晶</w:t>
            </w:r>
          </w:p>
        </w:tc>
        <w:tc>
          <w:tcPr>
            <w:tcW w:w="14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0.72%</w:t>
            </w: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2,973,355</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w:t>
            </w:r>
          </w:p>
        </w:tc>
        <w:tc>
          <w:tcPr>
            <w:tcW w:w="1139" w:type="dxa"/>
            <w:gridSpan w:val="2"/>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2,973,355</w:t>
            </w:r>
          </w:p>
        </w:tc>
        <w:tc>
          <w:tcPr>
            <w:tcW w:w="423"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32" w:right="0"/>
              <w:jc w:val="center"/>
              <w:rPr>
                <w:rFonts w:ascii="宋体" w:hAnsi="宋体" w:cs="宋体" w:eastAsia="宋体" w:hint="default"/>
                <w:sz w:val="18"/>
                <w:szCs w:val="18"/>
              </w:rPr>
            </w:pPr>
            <w:r>
              <w:rPr>
                <w:rFonts w:ascii="宋体" w:hAnsi="宋体" w:cs="宋体" w:eastAsia="宋体" w:hint="default"/>
                <w:sz w:val="18"/>
                <w:szCs w:val="18"/>
              </w:rPr>
              <w:t>王琼</w:t>
            </w:r>
          </w:p>
        </w:tc>
        <w:tc>
          <w:tcPr>
            <w:tcW w:w="14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0.70%</w:t>
            </w: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2,891,500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2,156,800</w:t>
            </w:r>
          </w:p>
        </w:tc>
        <w:tc>
          <w:tcPr>
            <w:tcW w:w="1139" w:type="dxa"/>
            <w:gridSpan w:val="2"/>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2,891,500</w:t>
            </w:r>
          </w:p>
        </w:tc>
        <w:tc>
          <w:tcPr>
            <w:tcW w:w="423"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32" w:right="0"/>
              <w:jc w:val="center"/>
              <w:rPr>
                <w:rFonts w:ascii="宋体" w:hAnsi="宋体" w:cs="宋体" w:eastAsia="宋体" w:hint="default"/>
                <w:sz w:val="18"/>
                <w:szCs w:val="18"/>
              </w:rPr>
            </w:pPr>
            <w:r>
              <w:rPr>
                <w:rFonts w:ascii="宋体" w:hAnsi="宋体" w:cs="宋体" w:eastAsia="宋体" w:hint="default"/>
                <w:sz w:val="18"/>
                <w:szCs w:val="18"/>
              </w:rPr>
              <w:t>黄俊义</w:t>
            </w:r>
          </w:p>
        </w:tc>
        <w:tc>
          <w:tcPr>
            <w:tcW w:w="14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0.53%</w:t>
            </w: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2,166,100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2,166,100</w:t>
            </w:r>
          </w:p>
        </w:tc>
        <w:tc>
          <w:tcPr>
            <w:tcW w:w="1139" w:type="dxa"/>
            <w:gridSpan w:val="2"/>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2,166,100</w:t>
            </w:r>
          </w:p>
        </w:tc>
        <w:tc>
          <w:tcPr>
            <w:tcW w:w="423"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32" w:right="0"/>
              <w:jc w:val="center"/>
              <w:rPr>
                <w:rFonts w:ascii="宋体" w:hAnsi="宋体" w:cs="宋体" w:eastAsia="宋体" w:hint="default"/>
                <w:sz w:val="18"/>
                <w:szCs w:val="18"/>
              </w:rPr>
            </w:pPr>
            <w:r>
              <w:rPr>
                <w:rFonts w:ascii="宋体" w:hAnsi="宋体" w:cs="宋体" w:eastAsia="宋体" w:hint="default"/>
                <w:sz w:val="18"/>
                <w:szCs w:val="18"/>
              </w:rPr>
              <w:t>王海俊</w:t>
            </w:r>
          </w:p>
        </w:tc>
        <w:tc>
          <w:tcPr>
            <w:tcW w:w="14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0.42%</w:t>
            </w: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1,713,938</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-225,000</w:t>
            </w:r>
          </w:p>
        </w:tc>
        <w:tc>
          <w:tcPr>
            <w:tcW w:w="11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89" w:right="0"/>
              <w:jc w:val="left"/>
              <w:rPr>
                <w:rFonts w:ascii="宋体" w:hAnsi="宋体" w:cs="宋体" w:eastAsia="宋体" w:hint="default"/>
                <w:sz w:val="18"/>
                <w:szCs w:val="18"/>
              </w:rPr>
            </w:pPr>
            <w:r>
              <w:rPr>
                <w:rFonts w:ascii="宋体"/>
                <w:sz w:val="18"/>
              </w:rPr>
              <w:t>1,229,203</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484,735</w:t>
            </w:r>
          </w:p>
        </w:tc>
        <w:tc>
          <w:tcPr>
            <w:tcW w:w="423"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32" w:right="0"/>
              <w:jc w:val="center"/>
              <w:rPr>
                <w:rFonts w:ascii="宋体" w:hAnsi="宋体" w:cs="宋体" w:eastAsia="宋体" w:hint="default"/>
                <w:sz w:val="18"/>
                <w:szCs w:val="18"/>
              </w:rPr>
            </w:pPr>
            <w:r>
              <w:rPr>
                <w:rFonts w:ascii="宋体" w:hAnsi="宋体" w:cs="宋体" w:eastAsia="宋体" w:hint="default"/>
                <w:sz w:val="18"/>
                <w:szCs w:val="18"/>
              </w:rPr>
              <w:t>徐一宁</w:t>
            </w:r>
          </w:p>
        </w:tc>
        <w:tc>
          <w:tcPr>
            <w:tcW w:w="14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0.36%</w:t>
            </w: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1,493,417</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-4,112,083</w:t>
            </w:r>
          </w:p>
        </w:tc>
        <w:tc>
          <w:tcPr>
            <w:tcW w:w="1139" w:type="dxa"/>
            <w:gridSpan w:val="2"/>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1,493,417</w:t>
            </w:r>
          </w:p>
        </w:tc>
        <w:tc>
          <w:tcPr>
            <w:tcW w:w="423"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2837"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2"/>
              <w:ind w:left="13" w:right="9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名股东的情况（如有）</w:t>
            </w:r>
          </w:p>
        </w:tc>
        <w:tc>
          <w:tcPr>
            <w:tcW w:w="6735"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27" w:hRule="exact"/>
        </w:trPr>
        <w:tc>
          <w:tcPr>
            <w:tcW w:w="2837" w:type="dxa"/>
            <w:gridSpan w:val="3"/>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1"/>
              <w:ind w:left="13" w:right="9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35" w:type="dxa"/>
            <w:gridSpan w:val="8"/>
            <w:tcBorders>
              <w:top w:val="single" w:sz="6" w:space="0" w:color="000000"/>
              <w:left w:val="single" w:sz="6" w:space="0" w:color="000000"/>
              <w:bottom w:val="single" w:sz="12" w:space="0" w:color="000000"/>
              <w:right w:val="single" w:sz="12" w:space="0" w:color="000000"/>
            </w:tcBorders>
          </w:tcPr>
          <w:p>
            <w:pPr>
              <w:pStyle w:val="TableParagraph"/>
              <w:spacing w:line="316" w:lineRule="auto" w:before="71"/>
              <w:ind w:left="20" w:right="31"/>
              <w:jc w:val="left"/>
              <w:rPr>
                <w:rFonts w:ascii="宋体" w:hAnsi="宋体" w:cs="宋体" w:eastAsia="宋体" w:hint="default"/>
                <w:sz w:val="18"/>
                <w:szCs w:val="18"/>
              </w:rPr>
            </w:pPr>
            <w:r>
              <w:rPr>
                <w:rFonts w:ascii="宋体" w:hAnsi="宋体" w:cs="宋体" w:eastAsia="宋体" w:hint="default"/>
                <w:sz w:val="18"/>
                <w:szCs w:val="18"/>
              </w:rPr>
              <w:t>股东江苏光一投资管理有限责任公司为实际控制人龙昌明先生控制的企业，熊珂女士 为龙昌明先生配偶；湖北乾瀚投资有限公司为公司董事任昌兆先生控制的企业，任晶</w:t>
            </w:r>
          </w:p>
        </w:tc>
      </w:tr>
    </w:tbl>
    <w:p>
      <w:pPr>
        <w:spacing w:after="0" w:line="316" w:lineRule="auto"/>
        <w:jc w:val="lef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837"/>
        <w:gridCol w:w="4034"/>
        <w:gridCol w:w="1349"/>
        <w:gridCol w:w="1352"/>
      </w:tblGrid>
      <w:tr>
        <w:trPr>
          <w:trHeight w:val="374"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6735"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晶女士为任昌兆先生之女；其他股东未知是否存在关联关系或一致行动。</w:t>
            </w:r>
          </w:p>
        </w:tc>
      </w:tr>
      <w:tr>
        <w:trPr>
          <w:trHeight w:val="407" w:hRule="exact"/>
        </w:trPr>
        <w:tc>
          <w:tcPr>
            <w:tcW w:w="9571"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12" w:hRule="exact"/>
        </w:trPr>
        <w:tc>
          <w:tcPr>
            <w:tcW w:w="2837" w:type="dxa"/>
            <w:tcBorders>
              <w:top w:val="single" w:sz="6" w:space="0" w:color="000000"/>
              <w:left w:val="single" w:sz="12" w:space="0" w:color="000000"/>
              <w:bottom w:val="nil" w:sz="6" w:space="0" w:color="auto"/>
              <w:right w:val="single" w:sz="6" w:space="0" w:color="000000"/>
            </w:tcBorders>
            <w:shd w:val="clear" w:color="auto" w:fill="D2D2D2"/>
          </w:tcPr>
          <w:p>
            <w:pPr/>
          </w:p>
        </w:tc>
        <w:tc>
          <w:tcPr>
            <w:tcW w:w="4034" w:type="dxa"/>
            <w:tcBorders>
              <w:top w:val="single" w:sz="6" w:space="0" w:color="000000"/>
              <w:left w:val="single" w:sz="6" w:space="0" w:color="000000"/>
              <w:bottom w:val="nil" w:sz="6" w:space="0" w:color="auto"/>
              <w:right w:val="single" w:sz="6" w:space="0" w:color="000000"/>
            </w:tcBorders>
            <w:shd w:val="clear" w:color="auto" w:fill="D2D2D2"/>
          </w:tcPr>
          <w:p>
            <w:pPr/>
          </w:p>
        </w:tc>
        <w:tc>
          <w:tcPr>
            <w:tcW w:w="2701" w:type="dxa"/>
            <w:gridSpan w:val="2"/>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88" w:hRule="exact"/>
        </w:trPr>
        <w:tc>
          <w:tcPr>
            <w:tcW w:w="2837"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1" w:type="dxa"/>
            <w:gridSpan w:val="2"/>
            <w:vMerge/>
            <w:tcBorders>
              <w:left w:val="single" w:sz="6" w:space="0" w:color="000000"/>
              <w:bottom w:val="single" w:sz="6" w:space="0" w:color="000000"/>
              <w:right w:val="single" w:sz="12" w:space="0" w:color="000000"/>
            </w:tcBorders>
            <w:shd w:val="clear" w:color="auto" w:fill="D2D2D2"/>
          </w:tcPr>
          <w:p>
            <w:pPr/>
          </w:p>
        </w:tc>
      </w:tr>
      <w:tr>
        <w:trPr>
          <w:trHeight w:val="203" w:hRule="exact"/>
        </w:trPr>
        <w:tc>
          <w:tcPr>
            <w:tcW w:w="2837" w:type="dxa"/>
            <w:vMerge/>
            <w:tcBorders>
              <w:left w:val="single" w:sz="12" w:space="0" w:color="000000"/>
              <w:bottom w:val="nil" w:sz="6" w:space="0" w:color="auto"/>
              <w:right w:val="single" w:sz="6" w:space="0" w:color="000000"/>
            </w:tcBorders>
            <w:shd w:val="clear" w:color="auto" w:fill="D2D2D2"/>
          </w:tcPr>
          <w:p>
            <w:pPr/>
          </w:p>
        </w:tc>
        <w:tc>
          <w:tcPr>
            <w:tcW w:w="4034" w:type="dxa"/>
            <w:vMerge/>
            <w:tcBorders>
              <w:left w:val="single" w:sz="6" w:space="0" w:color="000000"/>
              <w:bottom w:val="nil" w:sz="6" w:space="0" w:color="auto"/>
              <w:right w:val="single" w:sz="6" w:space="0" w:color="000000"/>
            </w:tcBorders>
            <w:shd w:val="clear" w:color="auto" w:fill="D2D2D2"/>
          </w:tcPr>
          <w:p>
            <w:pPr/>
          </w:p>
        </w:tc>
        <w:tc>
          <w:tcPr>
            <w:tcW w:w="134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30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2837" w:type="dxa"/>
            <w:tcBorders>
              <w:top w:val="nil" w:sz="6" w:space="0" w:color="auto"/>
              <w:left w:val="single" w:sz="12" w:space="0" w:color="000000"/>
              <w:bottom w:val="single" w:sz="6" w:space="0" w:color="000000"/>
              <w:right w:val="single" w:sz="6" w:space="0" w:color="000000"/>
            </w:tcBorders>
            <w:shd w:val="clear" w:color="auto" w:fill="D2D2D2"/>
          </w:tcPr>
          <w:p>
            <w:pPr/>
          </w:p>
        </w:tc>
        <w:tc>
          <w:tcPr>
            <w:tcW w:w="4034" w:type="dxa"/>
            <w:tcBorders>
              <w:top w:val="nil" w:sz="6" w:space="0" w:color="auto"/>
              <w:left w:val="single" w:sz="6" w:space="0" w:color="000000"/>
              <w:bottom w:val="single" w:sz="6" w:space="0" w:color="000000"/>
              <w:right w:val="single" w:sz="6" w:space="0" w:color="000000"/>
            </w:tcBorders>
            <w:shd w:val="clear" w:color="auto" w:fill="D2D2D2"/>
          </w:tcPr>
          <w:p>
            <w:pPr/>
          </w:p>
        </w:tc>
        <w:tc>
          <w:tcPr>
            <w:tcW w:w="1349" w:type="dxa"/>
            <w:vMerge/>
            <w:tcBorders>
              <w:left w:val="single" w:sz="6" w:space="0" w:color="000000"/>
              <w:bottom w:val="single" w:sz="6" w:space="0" w:color="000000"/>
              <w:right w:val="single" w:sz="6" w:space="0" w:color="000000"/>
            </w:tcBorders>
            <w:shd w:val="clear" w:color="auto" w:fill="D2D2D2"/>
          </w:tcPr>
          <w:p>
            <w:pPr/>
          </w:p>
        </w:tc>
        <w:tc>
          <w:tcPr>
            <w:tcW w:w="1352"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100,209,700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100,209,700</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湖北乾瀚投资有限公司</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48,838,027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48,838,027</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9,390,813</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9,390,813</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任晶晶</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2,973,355</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2,973,355</w:t>
            </w:r>
          </w:p>
        </w:tc>
      </w:tr>
      <w:tr>
        <w:trPr>
          <w:trHeight w:val="408"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王  琼</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2,891,500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2,891,500</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黄俊义</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2,166,100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2,166,100</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任昌兆</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1,745,385</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1,745,385</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徐一宁</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1,493,417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1,493,417</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陈德洁</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1,492,600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1,492,600</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马丽荣</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1,420,000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1,420,000</w:t>
            </w:r>
          </w:p>
        </w:tc>
      </w:tr>
      <w:tr>
        <w:trPr>
          <w:trHeight w:val="1656"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名无限售流通股股东之间，以</w:t>
            </w:r>
          </w:p>
          <w:p>
            <w:pPr>
              <w:pStyle w:val="TableParagraph"/>
              <w:spacing w:line="319" w:lineRule="auto" w:before="75"/>
              <w:ind w:left="13" w:right="19"/>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宋体" w:hAnsi="宋体" w:cs="宋体" w:eastAsia="宋体" w:hint="default"/>
                <w:sz w:val="18"/>
                <w:szCs w:val="18"/>
              </w:rPr>
              <w:t>10</w:t>
            </w:r>
            <w:r>
              <w:rPr>
                <w:rFonts w:ascii="宋体" w:hAnsi="宋体" w:cs="宋体" w:eastAsia="宋体" w:hint="default"/>
                <w:spacing w:val="-6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宋体" w:hAnsi="宋体" w:cs="宋体" w:eastAsia="宋体" w:hint="default"/>
                <w:sz w:val="18"/>
                <w:szCs w:val="18"/>
              </w:rPr>
              <w:t>10 </w:t>
            </w:r>
            <w:r>
              <w:rPr>
                <w:rFonts w:ascii="宋体" w:hAnsi="宋体" w:cs="宋体" w:eastAsia="宋体" w:hint="default"/>
                <w:sz w:val="18"/>
                <w:szCs w:val="18"/>
              </w:rPr>
              <w:t>名股东之间关联关系或一致行动的 说明</w:t>
            </w:r>
          </w:p>
        </w:tc>
        <w:tc>
          <w:tcPr>
            <w:tcW w:w="6735" w:type="dxa"/>
            <w:gridSpan w:val="3"/>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0" w:right="11"/>
              <w:jc w:val="both"/>
              <w:rPr>
                <w:rFonts w:ascii="宋体" w:hAnsi="宋体" w:cs="宋体" w:eastAsia="宋体" w:hint="default"/>
                <w:sz w:val="18"/>
                <w:szCs w:val="18"/>
              </w:rPr>
            </w:pPr>
            <w:r>
              <w:rPr>
                <w:rFonts w:ascii="宋体" w:hAnsi="宋体" w:cs="宋体" w:eastAsia="宋体" w:hint="default"/>
                <w:sz w:val="18"/>
                <w:szCs w:val="18"/>
              </w:rPr>
              <w:t>江苏光一投资管理有限责任公司为实际控制人龙昌明先生控制的企业；湖北乾瀚投资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有限公司为董事任昌兆先生控制的企业，任晶晶女士为任昌兆先生之女；除此之外，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前</w:t>
            </w:r>
            <w:r>
              <w:rPr>
                <w:rFonts w:ascii="宋体" w:hAnsi="宋体" w:cs="宋体" w:eastAsia="宋体" w:hint="default"/>
                <w:spacing w:val="-24"/>
                <w:sz w:val="18"/>
                <w:szCs w:val="18"/>
              </w:rPr>
              <w:t> </w:t>
            </w:r>
            <w:r>
              <w:rPr>
                <w:rFonts w:ascii="宋体" w:hAnsi="宋体" w:cs="宋体" w:eastAsia="宋体" w:hint="default"/>
                <w:sz w:val="18"/>
                <w:szCs w:val="18"/>
              </w:rPr>
              <w:t>10</w:t>
            </w:r>
            <w:r>
              <w:rPr>
                <w:rFonts w:ascii="宋体" w:hAnsi="宋体" w:cs="宋体" w:eastAsia="宋体" w:hint="default"/>
                <w:spacing w:val="-24"/>
                <w:sz w:val="18"/>
                <w:szCs w:val="18"/>
              </w:rPr>
              <w:t> </w:t>
            </w:r>
            <w:r>
              <w:rPr>
                <w:rFonts w:ascii="宋体" w:hAnsi="宋体" w:cs="宋体" w:eastAsia="宋体" w:hint="default"/>
                <w:sz w:val="18"/>
                <w:szCs w:val="18"/>
              </w:rPr>
              <w:t>名其它无限售流通股股东之间，公司未知是否存在关联关系或一致行动；前</w:t>
            </w:r>
            <w:r>
              <w:rPr>
                <w:rFonts w:ascii="宋体" w:hAnsi="宋体" w:cs="宋体" w:eastAsia="宋体" w:hint="default"/>
                <w:spacing w:val="-24"/>
                <w:sz w:val="18"/>
                <w:szCs w:val="18"/>
              </w:rPr>
              <w:t> </w:t>
            </w:r>
            <w:r>
              <w:rPr>
                <w:rFonts w:ascii="宋体" w:hAnsi="宋体" w:cs="宋体" w:eastAsia="宋体" w:hint="default"/>
                <w:sz w:val="18"/>
                <w:szCs w:val="18"/>
              </w:rPr>
              <w:t>10</w:t>
            </w:r>
          </w:p>
          <w:p>
            <w:pPr>
              <w:pStyle w:val="TableParagraph"/>
              <w:spacing w:line="319" w:lineRule="auto" w:before="19"/>
              <w:ind w:left="20" w:right="10"/>
              <w:jc w:val="both"/>
              <w:rPr>
                <w:rFonts w:ascii="宋体" w:hAnsi="宋体" w:cs="宋体" w:eastAsia="宋体" w:hint="default"/>
                <w:sz w:val="18"/>
                <w:szCs w:val="18"/>
              </w:rPr>
            </w:pPr>
            <w:r>
              <w:rPr>
                <w:rFonts w:ascii="宋体" w:hAnsi="宋体" w:cs="宋体" w:eastAsia="宋体" w:hint="default"/>
                <w:sz w:val="18"/>
                <w:szCs w:val="18"/>
              </w:rPr>
              <w:t>名其它无限售流通股股东和前</w:t>
            </w:r>
            <w:r>
              <w:rPr>
                <w:rFonts w:ascii="宋体" w:hAnsi="宋体" w:cs="宋体" w:eastAsia="宋体" w:hint="default"/>
                <w:spacing w:val="-38"/>
                <w:sz w:val="18"/>
                <w:szCs w:val="18"/>
              </w:rPr>
              <w:t> </w:t>
            </w:r>
            <w:r>
              <w:rPr>
                <w:rFonts w:ascii="宋体" w:hAnsi="宋体" w:cs="宋体" w:eastAsia="宋体" w:hint="default"/>
                <w:sz w:val="18"/>
                <w:szCs w:val="18"/>
              </w:rPr>
              <w:t>10</w:t>
            </w:r>
            <w:r>
              <w:rPr>
                <w:rFonts w:ascii="宋体" w:hAnsi="宋体" w:cs="宋体" w:eastAsia="宋体" w:hint="default"/>
                <w:spacing w:val="-38"/>
                <w:sz w:val="18"/>
                <w:szCs w:val="18"/>
              </w:rPr>
              <w:t> </w:t>
            </w:r>
            <w:r>
              <w:rPr>
                <w:rFonts w:ascii="宋体" w:hAnsi="宋体" w:cs="宋体" w:eastAsia="宋体" w:hint="default"/>
                <w:spacing w:val="-4"/>
                <w:sz w:val="18"/>
                <w:szCs w:val="18"/>
              </w:rPr>
              <w:t>名其它股东之间，公司未知是否存在关联关系或一致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行动。</w:t>
            </w:r>
          </w:p>
        </w:tc>
      </w:tr>
      <w:tr>
        <w:trPr>
          <w:trHeight w:val="727"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6735"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股东陈德洁除通过普通证券账户持有</w:t>
            </w:r>
            <w:r>
              <w:rPr>
                <w:rFonts w:ascii="宋体" w:hAnsi="宋体" w:cs="宋体" w:eastAsia="宋体" w:hint="default"/>
                <w:spacing w:val="-46"/>
                <w:sz w:val="18"/>
                <w:szCs w:val="18"/>
              </w:rPr>
              <w:t> </w:t>
            </w:r>
            <w:r>
              <w:rPr>
                <w:rFonts w:ascii="宋体" w:hAnsi="宋体" w:cs="宋体" w:eastAsia="宋体" w:hint="default"/>
                <w:sz w:val="18"/>
                <w:szCs w:val="18"/>
              </w:rPr>
              <w:t>26,700</w:t>
            </w:r>
            <w:r>
              <w:rPr>
                <w:rFonts w:ascii="宋体" w:hAnsi="宋体" w:cs="宋体" w:eastAsia="宋体" w:hint="default"/>
                <w:spacing w:val="-46"/>
                <w:sz w:val="18"/>
                <w:szCs w:val="18"/>
              </w:rPr>
              <w:t> </w:t>
            </w:r>
            <w:r>
              <w:rPr>
                <w:rFonts w:ascii="宋体" w:hAnsi="宋体" w:cs="宋体" w:eastAsia="宋体" w:hint="default"/>
                <w:spacing w:val="-4"/>
                <w:sz w:val="18"/>
                <w:szCs w:val="18"/>
              </w:rPr>
              <w:t>股外，还通过东兴证券股份有限公司客户</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信用交易担保证券账户持有</w:t>
            </w:r>
            <w:r>
              <w:rPr>
                <w:rFonts w:ascii="宋体" w:hAnsi="宋体" w:cs="宋体" w:eastAsia="宋体" w:hint="default"/>
                <w:spacing w:val="-46"/>
                <w:sz w:val="18"/>
                <w:szCs w:val="18"/>
              </w:rPr>
              <w:t> </w:t>
            </w:r>
            <w:r>
              <w:rPr>
                <w:rFonts w:ascii="宋体" w:hAnsi="宋体" w:cs="宋体" w:eastAsia="宋体" w:hint="default"/>
                <w:sz w:val="18"/>
                <w:szCs w:val="18"/>
              </w:rPr>
              <w:t>1,465,900</w:t>
            </w:r>
            <w:r>
              <w:rPr>
                <w:rFonts w:ascii="宋体" w:hAnsi="宋体" w:cs="宋体" w:eastAsia="宋体" w:hint="default"/>
                <w:spacing w:val="-46"/>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宋体" w:hAnsi="宋体" w:cs="宋体" w:eastAsia="宋体" w:hint="default"/>
                <w:sz w:val="18"/>
                <w:szCs w:val="18"/>
              </w:rPr>
              <w:t>1,492,600</w:t>
            </w:r>
            <w:r>
              <w:rPr>
                <w:rFonts w:ascii="宋体" w:hAnsi="宋体" w:cs="宋体" w:eastAsia="宋体" w:hint="default"/>
                <w:spacing w:val="-46"/>
                <w:sz w:val="18"/>
                <w:szCs w:val="18"/>
              </w:rPr>
              <w:t> </w:t>
            </w:r>
            <w:r>
              <w:rPr>
                <w:rFonts w:ascii="宋体" w:hAnsi="宋体" w:cs="宋体" w:eastAsia="宋体" w:hint="default"/>
                <w:sz w:val="18"/>
                <w:szCs w:val="18"/>
              </w:rPr>
              <w:t>股。</w:t>
            </w:r>
          </w:p>
        </w:tc>
      </w:tr>
    </w:tbl>
    <w:p>
      <w:pPr>
        <w:pStyle w:val="BodyText"/>
        <w:spacing w:line="240" w:lineRule="auto" w:before="63"/>
        <w:ind w:right="1122"/>
        <w:jc w:val="left"/>
      </w:pPr>
      <w:r>
        <w:rPr/>
        <w:t>公司前</w:t>
      </w:r>
      <w:r>
        <w:rPr>
          <w:spacing w:val="-54"/>
        </w:rPr>
        <w:t> </w:t>
      </w:r>
      <w:r>
        <w:rPr>
          <w:rFonts w:ascii="宋体" w:hAnsi="宋体" w:cs="宋体" w:eastAsia="宋体" w:hint="default"/>
        </w:rPr>
        <w:t>10</w:t>
      </w:r>
      <w:r>
        <w:rPr>
          <w:rFonts w:ascii="宋体" w:hAnsi="宋体" w:cs="宋体" w:eastAsia="宋体" w:hint="default"/>
          <w:spacing w:val="-54"/>
        </w:rPr>
        <w:t> </w:t>
      </w:r>
      <w:r>
        <w:rPr/>
        <w:t>名普通股股东、前</w:t>
      </w:r>
      <w:r>
        <w:rPr>
          <w:spacing w:val="-55"/>
        </w:rPr>
        <w:t> </w:t>
      </w:r>
      <w:r>
        <w:rPr>
          <w:rFonts w:ascii="宋体" w:hAnsi="宋体" w:cs="宋体" w:eastAsia="宋体" w:hint="default"/>
        </w:rPr>
        <w:t>10</w:t>
      </w:r>
      <w:r>
        <w:rPr>
          <w:rFonts w:ascii="宋体" w:hAnsi="宋体" w:cs="宋体" w:eastAsia="宋体" w:hint="default"/>
          <w:spacing w:val="-54"/>
        </w:rPr>
        <w:t> </w:t>
      </w:r>
      <w:r>
        <w:rPr/>
        <w:t>名无限售条件普通股股东在报告期内是否进行约定购回交易</w:t>
      </w:r>
    </w:p>
    <w:p>
      <w:pPr>
        <w:spacing w:line="240" w:lineRule="auto" w:before="10"/>
        <w:rPr>
          <w:rFonts w:ascii="宋体" w:hAnsi="宋体" w:cs="宋体" w:eastAsia="宋体" w:hint="default"/>
          <w:sz w:val="14"/>
          <w:szCs w:val="14"/>
        </w:rPr>
      </w:pPr>
    </w:p>
    <w:p>
      <w:pPr>
        <w:spacing w:line="408" w:lineRule="auto" w:before="0"/>
        <w:ind w:left="154" w:right="8232" w:firstLine="0"/>
        <w:jc w:val="left"/>
        <w:rPr>
          <w:rFonts w:ascii="宋体" w:hAnsi="宋体" w:cs="宋体" w:eastAsia="宋体" w:hint="default"/>
          <w:sz w:val="21"/>
          <w:szCs w:val="21"/>
        </w:rPr>
      </w:pPr>
      <w:r>
        <w:rPr>
          <w:rFonts w:ascii="宋体" w:hAnsi="宋体" w:cs="宋体" w:eastAsia="宋体" w:hint="default"/>
          <w:sz w:val="21"/>
          <w:szCs w:val="21"/>
        </w:rPr>
        <w:t>□ 是 √ 否 </w:t>
      </w:r>
      <w:bookmarkStart w:name="2、公司控股股东情况" w:id="115"/>
      <w:bookmarkEnd w:id="115"/>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99"/>
          <w:sz w:val="21"/>
          <w:szCs w:val="21"/>
        </w:rPr>
        <w:t> </w:t>
      </w:r>
      <w:r>
        <w:rPr>
          <w:rFonts w:ascii="宋体" w:hAnsi="宋体" w:cs="宋体" w:eastAsia="宋体" w:hint="default"/>
          <w:sz w:val="21"/>
          <w:szCs w:val="21"/>
        </w:rPr>
        <w:t>控股股东性质：自然人控股 控股股东类型：法人</w:t>
      </w:r>
    </w:p>
    <w:tbl>
      <w:tblPr>
        <w:tblW w:w="0" w:type="auto"/>
        <w:jc w:val="left"/>
        <w:tblInd w:w="138" w:type="dxa"/>
        <w:tblLayout w:type="fixed"/>
        <w:tblCellMar>
          <w:top w:w="0" w:type="dxa"/>
          <w:left w:w="0" w:type="dxa"/>
          <w:bottom w:w="0" w:type="dxa"/>
          <w:right w:w="0" w:type="dxa"/>
        </w:tblCellMar>
        <w:tblLook w:val="01E0"/>
      </w:tblPr>
      <w:tblGrid>
        <w:gridCol w:w="2837"/>
        <w:gridCol w:w="1276"/>
        <w:gridCol w:w="1700"/>
        <w:gridCol w:w="1986"/>
        <w:gridCol w:w="1769"/>
      </w:tblGrid>
      <w:tr>
        <w:trPr>
          <w:trHeight w:val="413"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86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76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7"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8"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5"/>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sz w:val="18"/>
              </w:rPr>
              <w:t>91320115682517743A</w:t>
            </w:r>
          </w:p>
        </w:tc>
        <w:tc>
          <w:tcPr>
            <w:tcW w:w="17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7" w:right="0"/>
              <w:jc w:val="center"/>
              <w:rPr>
                <w:rFonts w:ascii="宋体" w:hAnsi="宋体" w:cs="宋体" w:eastAsia="宋体" w:hint="default"/>
                <w:sz w:val="18"/>
                <w:szCs w:val="18"/>
              </w:rPr>
            </w:pPr>
            <w:r>
              <w:rPr>
                <w:rFonts w:ascii="宋体" w:hAnsi="宋体" w:cs="宋体" w:eastAsia="宋体" w:hint="default"/>
                <w:sz w:val="18"/>
                <w:szCs w:val="18"/>
              </w:rPr>
              <w:t>投资管理</w:t>
            </w:r>
          </w:p>
        </w:tc>
      </w:tr>
      <w:tr>
        <w:trPr>
          <w:trHeight w:val="727"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34"/>
              <w:ind w:left="13" w:right="99"/>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 他境内外上市公司的股权情况</w:t>
            </w:r>
          </w:p>
        </w:tc>
        <w:tc>
          <w:tcPr>
            <w:tcW w:w="6732"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ind w:right="1122"/>
        <w:jc w:val="left"/>
      </w:pPr>
      <w:r>
        <w:rPr/>
        <w:t>控股股东报告期内变更</w:t>
      </w:r>
    </w:p>
    <w:p>
      <w:pPr>
        <w:spacing w:line="240" w:lineRule="auto" w:before="10"/>
        <w:rPr>
          <w:rFonts w:ascii="宋体" w:hAnsi="宋体" w:cs="宋体" w:eastAsia="宋体" w:hint="default"/>
          <w:sz w:val="14"/>
          <w:szCs w:val="14"/>
        </w:rPr>
      </w:pPr>
    </w:p>
    <w:p>
      <w:pPr>
        <w:spacing w:line="398" w:lineRule="auto" w:before="0"/>
        <w:ind w:left="154" w:right="748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公司实际控制人及其一致行动人" w:id="116"/>
      <w:bookmarkEnd w:id="116"/>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b/>
          <w:bCs/>
          <w:w w:val="99"/>
          <w:sz w:val="21"/>
          <w:szCs w:val="21"/>
        </w:rPr>
        <w:t> </w:t>
      </w:r>
      <w:r>
        <w:rPr>
          <w:rFonts w:ascii="宋体" w:hAnsi="宋体" w:cs="宋体" w:eastAsia="宋体" w:hint="default"/>
          <w:sz w:val="21"/>
          <w:szCs w:val="21"/>
        </w:rPr>
        <w:t>实际控制人性质：境内自然人</w:t>
      </w:r>
    </w:p>
    <w:p>
      <w:pPr>
        <w:spacing w:after="0" w:line="398" w:lineRule="auto"/>
        <w:jc w:val="left"/>
        <w:rPr>
          <w:rFonts w:ascii="宋体" w:hAnsi="宋体" w:cs="宋体" w:eastAsia="宋体" w:hint="default"/>
          <w:sz w:val="21"/>
          <w:szCs w:val="21"/>
        </w:rPr>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22"/>
        <w:jc w:val="left"/>
      </w:pPr>
      <w:r>
        <w:rPr/>
        <w:t>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44"/>
        <w:ind w:left="0" w:right="1139" w:firstLine="0"/>
        <w:jc w:val="right"/>
        <w:rPr>
          <w:rFonts w:ascii="宋体" w:hAnsi="宋体" w:cs="宋体" w:eastAsia="宋体" w:hint="default"/>
          <w:sz w:val="18"/>
          <w:szCs w:val="18"/>
        </w:rPr>
      </w:pPr>
      <w:r>
        <w:rPr/>
        <w:pict>
          <v:shape style="position:absolute;margin-left:55.919998pt;margin-top:-136.168274pt;width:480.7pt;height:208.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3"/>
                    <w:gridCol w:w="2392"/>
                    <w:gridCol w:w="2391"/>
                  </w:tblGrid>
                  <w:tr>
                    <w:trPr>
                      <w:trHeight w:val="727"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1007" w:right="98"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279"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1" w:right="9"/>
                          <w:jc w:val="left"/>
                          <w:rPr>
                            <w:rFonts w:ascii="宋体" w:hAnsi="宋体" w:cs="宋体" w:eastAsia="宋体" w:hint="default"/>
                            <w:sz w:val="18"/>
                            <w:szCs w:val="18"/>
                          </w:rPr>
                        </w:pPr>
                        <w:r>
                          <w:rPr>
                            <w:rFonts w:ascii="宋体" w:hAnsi="宋体" w:cs="宋体" w:eastAsia="宋体" w:hint="default"/>
                            <w:spacing w:val="-3"/>
                            <w:sz w:val="18"/>
                            <w:szCs w:val="18"/>
                          </w:rPr>
                          <w:t>龙昌明先生，中国致公党党员，南京巿人大代表，江苏省贵州商会会长，江苏省致公党省委</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委员。光一科技股份有限公司第一届、第二届、第三届董事会董事长；</w:t>
                        </w:r>
                        <w:r>
                          <w:rPr>
                            <w:rFonts w:ascii="宋体" w:hAnsi="宋体" w:cs="宋体" w:eastAsia="宋体" w:hint="default"/>
                            <w:sz w:val="18"/>
                            <w:szCs w:val="18"/>
                          </w:rPr>
                          <w:t>2009</w:t>
                        </w:r>
                        <w:r>
                          <w:rPr>
                            <w:rFonts w:ascii="宋体" w:hAnsi="宋体" w:cs="宋体" w:eastAsia="宋体" w:hint="default"/>
                            <w:spacing w:val="6"/>
                            <w:sz w:val="18"/>
                            <w:szCs w:val="18"/>
                          </w:rPr>
                          <w:t> </w:t>
                        </w:r>
                        <w:r>
                          <w:rPr>
                            <w:rFonts w:ascii="宋体" w:hAnsi="宋体" w:cs="宋体" w:eastAsia="宋体" w:hint="default"/>
                            <w:sz w:val="18"/>
                            <w:szCs w:val="18"/>
                          </w:rPr>
                          <w:t>年至今任光一 </w:t>
                        </w:r>
                        <w:r>
                          <w:rPr>
                            <w:rFonts w:ascii="宋体" w:hAnsi="宋体" w:cs="宋体" w:eastAsia="宋体" w:hint="default"/>
                            <w:spacing w:val="-3"/>
                            <w:sz w:val="18"/>
                            <w:szCs w:val="18"/>
                          </w:rPr>
                          <w:t>投资执行董事兼总经理；全资子公司苏源光一董事长；全资子智友尚云、光一贵仁、德能工</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程执行董事；全资子公司索瑞电气董事；控股子公司云商天下董事长；参股公司中云文化大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数据董事；天擎华媒董事长、中广文影股权投资基金管理（上海）有限公司董事、南京医科</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大学第三届董事会董事；江苏黔首网络科技有限公司董事长；江苏数道科技有限公司董事长</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总经理；南京建盈鸿亿科技发展有限公司、贵州贵银投资有限公司董事。</w:t>
                        </w:r>
                      </w:p>
                    </w:tc>
                  </w:tr>
                  <w:tr>
                    <w:trPr>
                      <w:trHeight w:val="727"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9" w:lineRule="auto" w:before="51"/>
                          <w:ind w:left="13"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龙昌明先生除控股光一科技以外，不存在控股其它境内外上市公司情况。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0"/>
        <w:ind w:right="1122"/>
        <w:jc w:val="left"/>
      </w:pPr>
      <w:r>
        <w:rPr/>
        <w:t>实际控制人报告期内变更</w:t>
      </w:r>
    </w:p>
    <w:p>
      <w:pPr>
        <w:spacing w:line="240" w:lineRule="auto" w:before="10"/>
        <w:rPr>
          <w:rFonts w:ascii="宋体" w:hAnsi="宋体" w:cs="宋体" w:eastAsia="宋体" w:hint="default"/>
          <w:sz w:val="14"/>
          <w:szCs w:val="14"/>
        </w:rPr>
      </w:pPr>
    </w:p>
    <w:p>
      <w:pPr>
        <w:pStyle w:val="BodyText"/>
        <w:spacing w:line="408" w:lineRule="auto" w:before="0"/>
        <w:ind w:right="6132"/>
        <w:jc w:val="left"/>
      </w:pPr>
      <w:r>
        <w:rPr/>
        <w:t>□ 适用 √</w:t>
      </w:r>
      <w:r>
        <w:rPr>
          <w:spacing w:val="-1"/>
        </w:rPr>
        <w:t> </w:t>
      </w:r>
      <w:r>
        <w:rPr/>
        <w:t>不适用</w:t>
      </w:r>
      <w:r>
        <w:rPr/>
        <w:t> 公司与实际控制人之间的产权及控制关系的方框图</w:t>
      </w:r>
    </w:p>
    <w:p>
      <w:pPr>
        <w:spacing w:line="240" w:lineRule="auto" w:before="11"/>
        <w:rPr>
          <w:rFonts w:ascii="宋体" w:hAnsi="宋体" w:cs="宋体" w:eastAsia="宋体" w:hint="default"/>
          <w:sz w:val="14"/>
          <w:szCs w:val="14"/>
        </w:rPr>
      </w:pPr>
    </w:p>
    <w:p>
      <w:pPr>
        <w:spacing w:line="3724" w:lineRule="exact"/>
        <w:ind w:left="154"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3492752" cy="2365152"/>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6" cstate="print"/>
                    <a:stretch>
                      <a:fillRect/>
                    </a:stretch>
                  </pic:blipFill>
                  <pic:spPr>
                    <a:xfrm>
                      <a:off x="0" y="0"/>
                      <a:ext cx="3492752" cy="2365152"/>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11"/>
        <w:rPr>
          <w:rFonts w:ascii="宋体" w:hAnsi="宋体" w:cs="宋体" w:eastAsia="宋体" w:hint="default"/>
          <w:sz w:val="14"/>
          <w:szCs w:val="14"/>
        </w:rPr>
      </w:pPr>
    </w:p>
    <w:p>
      <w:pPr>
        <w:pStyle w:val="BodyText"/>
        <w:spacing w:line="240" w:lineRule="auto" w:before="0"/>
        <w:ind w:right="1122"/>
        <w:jc w:val="left"/>
      </w:pPr>
      <w:r>
        <w:rPr/>
        <w:t>实际控制人通过信托或其他资产管理方式控制公司</w:t>
      </w:r>
    </w:p>
    <w:p>
      <w:pPr>
        <w:spacing w:line="240" w:lineRule="auto" w:before="3"/>
        <w:rPr>
          <w:rFonts w:ascii="宋体" w:hAnsi="宋体" w:cs="宋体" w:eastAsia="宋体" w:hint="default"/>
          <w:sz w:val="18"/>
          <w:szCs w:val="18"/>
        </w:rPr>
      </w:pPr>
    </w:p>
    <w:p>
      <w:pPr>
        <w:pStyle w:val="BodyText"/>
        <w:spacing w:line="240" w:lineRule="auto" w:before="0"/>
        <w:ind w:right="1122"/>
        <w:jc w:val="left"/>
      </w:pPr>
      <w:r>
        <w:rPr/>
        <w:t>□ 适用 √</w:t>
      </w:r>
      <w:r>
        <w:rPr>
          <w:spacing w:val="-1"/>
        </w:rPr>
        <w:t> </w:t>
      </w:r>
      <w:r>
        <w:rPr/>
        <w:t>不适用</w:t>
      </w:r>
    </w:p>
    <w:p>
      <w:pPr>
        <w:pStyle w:val="Heading4"/>
        <w:spacing w:line="240" w:lineRule="auto" w:before="153"/>
        <w:ind w:right="1122"/>
        <w:jc w:val="left"/>
        <w:rPr>
          <w:b w:val="0"/>
          <w:bCs w:val="0"/>
        </w:rPr>
      </w:pPr>
      <w:bookmarkStart w:name="4、其他持股在10%以上的法人股东" w:id="117"/>
      <w:bookmarkEnd w:id="117"/>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269"/>
        <w:gridCol w:w="1134"/>
        <w:gridCol w:w="1560"/>
        <w:gridCol w:w="992"/>
        <w:gridCol w:w="3613"/>
      </w:tblGrid>
      <w:tr>
        <w:trPr>
          <w:trHeight w:val="415" w:hRule="exact"/>
        </w:trPr>
        <w:tc>
          <w:tcPr>
            <w:tcW w:w="22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6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08"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351" w:hRule="exact"/>
        </w:trPr>
        <w:tc>
          <w:tcPr>
            <w:tcW w:w="226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湖北乾瀚投资有限公司</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任昌兆</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613"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3"/>
              <w:ind w:left="20" w:right="-30"/>
              <w:jc w:val="both"/>
              <w:rPr>
                <w:rFonts w:ascii="宋体" w:hAnsi="宋体" w:cs="宋体" w:eastAsia="宋体" w:hint="default"/>
                <w:sz w:val="18"/>
                <w:szCs w:val="18"/>
              </w:rPr>
            </w:pPr>
            <w:r>
              <w:rPr>
                <w:rFonts w:ascii="宋体" w:hAnsi="宋体" w:cs="宋体" w:eastAsia="宋体" w:hint="default"/>
                <w:spacing w:val="-3"/>
                <w:sz w:val="18"/>
                <w:szCs w:val="18"/>
              </w:rPr>
              <w:t>对国家法律、行政法规和国务院决定规定允许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公司自主经营的项目（不含融资性担保项目） </w:t>
            </w:r>
            <w:r>
              <w:rPr>
                <w:rFonts w:ascii="宋体" w:hAnsi="宋体" w:cs="宋体" w:eastAsia="宋体" w:hint="default"/>
                <w:spacing w:val="-3"/>
                <w:sz w:val="18"/>
                <w:szCs w:val="18"/>
              </w:rPr>
              <w:t>进行投资；资产管理服务；投资咨询服务（不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含证券、期货及其他金融活动的咨询）。</w:t>
            </w:r>
          </w:p>
        </w:tc>
      </w:tr>
    </w:tbl>
    <w:p>
      <w:pPr>
        <w:spacing w:after="0" w:line="316" w:lineRule="auto"/>
        <w:jc w:val="both"/>
        <w:rPr>
          <w:rFonts w:ascii="宋体" w:hAnsi="宋体" w:cs="宋体" w:eastAsia="宋体" w:hint="default"/>
          <w:sz w:val="18"/>
          <w:szCs w:val="18"/>
        </w:rPr>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5、控股股东、实际控制人、重组方及其他承诺主体股份限制减持情况" w:id="118"/>
      <w:bookmarkEnd w:id="118"/>
      <w:r>
        <w:rPr>
          <w:b w:val="0"/>
          <w:bCs w:val="0"/>
        </w:rPr>
      </w: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4" w:right="1122" w:hanging="420"/>
        <w:jc w:val="left"/>
      </w:pPr>
      <w:r>
        <w:rPr/>
        <w:t>√ 适用 □</w:t>
      </w:r>
      <w:r>
        <w:rPr>
          <w:spacing w:val="-1"/>
        </w:rPr>
        <w:t> </w:t>
      </w:r>
      <w:r>
        <w:rPr/>
        <w:t>不适用</w:t>
      </w:r>
      <w:r>
        <w:rPr/>
        <w:t> </w:t>
      </w:r>
      <w:r>
        <w:rPr>
          <w:spacing w:val="-1"/>
        </w:rPr>
        <w:t>湖北乾瀚投资有限公司、任昌兆、任晶晶在《发行股份及支付现金购买资产协议》中特别承诺自本次</w:t>
      </w:r>
    </w:p>
    <w:p>
      <w:pPr>
        <w:pStyle w:val="BodyText"/>
        <w:spacing w:line="408" w:lineRule="auto"/>
        <w:ind w:right="1120"/>
        <w:jc w:val="left"/>
      </w:pPr>
      <w:r>
        <w:rPr/>
        <w:t>交易所获得股份锁定期结束至</w:t>
      </w:r>
      <w:r>
        <w:rPr>
          <w:spacing w:val="-57"/>
        </w:rPr>
        <w:t> </w:t>
      </w:r>
      <w:r>
        <w:rPr>
          <w:rFonts w:ascii="宋体" w:hAnsi="宋体" w:cs="宋体" w:eastAsia="宋体" w:hint="default"/>
        </w:rPr>
        <w:t>2020</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日，本公司</w:t>
      </w:r>
      <w:r>
        <w:rPr>
          <w:rFonts w:ascii="宋体" w:hAnsi="宋体" w:cs="宋体" w:eastAsia="宋体" w:hint="default"/>
        </w:rPr>
        <w:t>/</w:t>
      </w:r>
      <w:r>
        <w:rPr/>
        <w:t>本人每年可减持的光一科技股份数量不超过上 年末本公司</w:t>
      </w:r>
      <w:r>
        <w:rPr>
          <w:rFonts w:ascii="宋体" w:hAnsi="宋体" w:cs="宋体" w:eastAsia="宋体" w:hint="default"/>
        </w:rPr>
        <w:t>/</w:t>
      </w:r>
      <w:r>
        <w:rPr/>
        <w:t>本人持有光一科技股份总数的</w:t>
      </w:r>
      <w:r>
        <w:rPr>
          <w:spacing w:val="-53"/>
        </w:rPr>
        <w:t> </w:t>
      </w:r>
      <w:r>
        <w:rPr>
          <w:rFonts w:ascii="宋体" w:hAnsi="宋体" w:cs="宋体" w:eastAsia="宋体" w:hint="default"/>
        </w:rPr>
        <w:t>25%</w:t>
      </w:r>
      <w:r>
        <w:rPr/>
        <w:t>。</w:t>
      </w:r>
    </w:p>
    <w:p>
      <w:pPr>
        <w:spacing w:line="240" w:lineRule="auto" w:before="13"/>
        <w:rPr>
          <w:rFonts w:ascii="宋体" w:hAnsi="宋体" w:cs="宋体" w:eastAsia="宋体" w:hint="default"/>
          <w:sz w:val="25"/>
          <w:szCs w:val="25"/>
        </w:rPr>
      </w:pPr>
    </w:p>
    <w:p>
      <w:pPr>
        <w:pStyle w:val="Heading1"/>
        <w:spacing w:line="240" w:lineRule="auto" w:before="0"/>
        <w:ind w:left="3286" w:right="1122"/>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8"/>
        </w:rPr>
        <w:t> </w:t>
      </w:r>
      <w:r>
        <w:rPr/>
        <w:t>优先股相关情况</w:t>
      </w:r>
      <w:r>
        <w:rPr>
          <w:b w:val="0"/>
          <w:bCs w:val="0"/>
        </w:rPr>
      </w:r>
    </w:p>
    <w:p>
      <w:pPr>
        <w:spacing w:line="240" w:lineRule="auto" w:before="10"/>
        <w:rPr>
          <w:rFonts w:ascii="宋体" w:hAnsi="宋体" w:cs="宋体" w:eastAsia="宋体" w:hint="default"/>
          <w:b/>
          <w:bCs/>
          <w:sz w:val="33"/>
          <w:szCs w:val="33"/>
        </w:rPr>
      </w:pPr>
    </w:p>
    <w:p>
      <w:pPr>
        <w:pStyle w:val="BodyText"/>
        <w:spacing w:line="374" w:lineRule="auto" w:before="0"/>
        <w:ind w:right="8232"/>
        <w:jc w:val="left"/>
      </w:pPr>
      <w:r>
        <w:rPr/>
        <w:t>□ 适用 √</w:t>
      </w:r>
      <w:r>
        <w:rPr>
          <w:spacing w:val="-1"/>
        </w:rPr>
        <w:t> </w:t>
      </w:r>
      <w:r>
        <w:rPr/>
        <w:t>不适用</w:t>
      </w:r>
      <w:r>
        <w:rPr/>
        <w:t> 报告期公司不存在优先股。</w:t>
      </w:r>
    </w:p>
    <w:p>
      <w:pPr>
        <w:spacing w:after="0" w:line="374" w:lineRule="auto"/>
        <w:jc w:val="left"/>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1122"/>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16"/>
        </w:rPr>
        <w:t> </w:t>
      </w:r>
      <w:r>
        <w:rPr/>
        <w:t>董事、监事、高级管理人员和员工情况</w:t>
      </w:r>
      <w:r>
        <w:rPr>
          <w:b w:val="0"/>
          <w:bCs w:val="0"/>
        </w:rPr>
      </w:r>
    </w:p>
    <w:p>
      <w:pPr>
        <w:spacing w:line="240" w:lineRule="auto" w:before="9"/>
        <w:rPr>
          <w:rFonts w:ascii="宋体" w:hAnsi="宋体" w:cs="宋体" w:eastAsia="宋体" w:hint="default"/>
          <w:b/>
          <w:bCs/>
          <w:sz w:val="38"/>
          <w:szCs w:val="38"/>
        </w:rPr>
      </w:pPr>
    </w:p>
    <w:p>
      <w:pPr>
        <w:pStyle w:val="Heading2"/>
        <w:spacing w:line="240" w:lineRule="auto" w:before="0"/>
        <w:ind w:right="1122"/>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7"/>
        <w:rPr>
          <w:rFonts w:ascii="宋体" w:hAnsi="宋体" w:cs="宋体" w:eastAsia="宋体" w:hint="default"/>
          <w:b/>
          <w:bCs/>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799"/>
        <w:gridCol w:w="1045"/>
        <w:gridCol w:w="548"/>
        <w:gridCol w:w="444"/>
        <w:gridCol w:w="426"/>
        <w:gridCol w:w="1523"/>
        <w:gridCol w:w="745"/>
        <w:gridCol w:w="991"/>
        <w:gridCol w:w="425"/>
        <w:gridCol w:w="568"/>
        <w:gridCol w:w="851"/>
        <w:gridCol w:w="1208"/>
      </w:tblGrid>
      <w:tr>
        <w:trPr>
          <w:trHeight w:val="1270" w:hRule="exact"/>
        </w:trPr>
        <w:tc>
          <w:tcPr>
            <w:tcW w:w="79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姓名</w:t>
            </w:r>
          </w:p>
        </w:tc>
        <w:tc>
          <w:tcPr>
            <w:tcW w:w="10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4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86" w:right="85"/>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152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7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期初持股数</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25" w:right="23"/>
              <w:jc w:val="both"/>
              <w:rPr>
                <w:rFonts w:ascii="宋体" w:hAnsi="宋体" w:cs="宋体" w:eastAsia="宋体" w:hint="default"/>
                <w:sz w:val="18"/>
                <w:szCs w:val="18"/>
              </w:rPr>
            </w:pPr>
            <w:r>
              <w:rPr>
                <w:rFonts w:ascii="宋体" w:hAnsi="宋体" w:cs="宋体" w:eastAsia="宋体" w:hint="default"/>
                <w:sz w:val="18"/>
                <w:szCs w:val="18"/>
              </w:rPr>
              <w:t>本期 增持 股份 数量</w:t>
            </w:r>
          </w:p>
        </w:tc>
        <w:tc>
          <w:tcPr>
            <w:tcW w:w="5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97" w:right="95"/>
              <w:jc w:val="both"/>
              <w:rPr>
                <w:rFonts w:ascii="宋体" w:hAnsi="宋体" w:cs="宋体" w:eastAsia="宋体" w:hint="default"/>
                <w:sz w:val="18"/>
                <w:szCs w:val="18"/>
              </w:rPr>
            </w:pPr>
            <w:r>
              <w:rPr>
                <w:rFonts w:ascii="宋体" w:hAnsi="宋体" w:cs="宋体" w:eastAsia="宋体" w:hint="default"/>
                <w:sz w:val="18"/>
                <w:szCs w:val="18"/>
              </w:rPr>
              <w:t>本期 减持 股份 数量</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120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期末持股数</w:t>
            </w:r>
          </w:p>
        </w:tc>
      </w:tr>
      <w:tr>
        <w:trPr>
          <w:trHeight w:val="413"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52</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37,563,250</w:t>
            </w: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37,563,250</w:t>
            </w:r>
          </w:p>
        </w:tc>
      </w:tr>
      <w:tr>
        <w:trPr>
          <w:trHeight w:val="638"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44" w:right="245" w:firstLine="90"/>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49</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1,938,938</w:t>
            </w: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225,000</w:t>
            </w: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1,713,938</w:t>
            </w:r>
          </w:p>
        </w:tc>
      </w:tr>
      <w:tr>
        <w:trPr>
          <w:trHeight w:val="413"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任昌兆</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58</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6,981,540</w:t>
            </w: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6,981,540</w:t>
            </w:r>
          </w:p>
        </w:tc>
      </w:tr>
      <w:tr>
        <w:trPr>
          <w:trHeight w:val="126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戴晓东</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0" w:right="18"/>
              <w:jc w:val="both"/>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68"/>
                <w:sz w:val="18"/>
                <w:szCs w:val="18"/>
              </w:rPr>
              <w:t> </w:t>
            </w:r>
            <w:r>
              <w:rPr>
                <w:rFonts w:ascii="宋体" w:hAnsi="宋体" w:cs="宋体" w:eastAsia="宋体" w:hint="default"/>
                <w:sz w:val="18"/>
                <w:szCs w:val="18"/>
              </w:rPr>
              <w:t>事</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副</w:t>
            </w:r>
            <w:r>
              <w:rPr>
                <w:rFonts w:ascii="宋体" w:hAnsi="宋体" w:cs="宋体" w:eastAsia="宋体" w:hint="default"/>
                <w:spacing w:val="-68"/>
                <w:sz w:val="18"/>
                <w:szCs w:val="18"/>
              </w:rPr>
              <w:t> </w:t>
            </w:r>
            <w:r>
              <w:rPr>
                <w:rFonts w:ascii="宋体" w:hAnsi="宋体" w:cs="宋体" w:eastAsia="宋体" w:hint="default"/>
                <w:sz w:val="18"/>
                <w:szCs w:val="18"/>
              </w:rPr>
              <w:t>总</w:t>
            </w:r>
            <w:r>
              <w:rPr>
                <w:rFonts w:ascii="宋体" w:hAnsi="宋体" w:cs="宋体" w:eastAsia="宋体" w:hint="default"/>
                <w:sz w:val="18"/>
                <w:szCs w:val="18"/>
              </w:rPr>
              <w:t> 经</w:t>
            </w:r>
            <w:r>
              <w:rPr>
                <w:rFonts w:ascii="宋体" w:hAnsi="宋体" w:cs="宋体" w:eastAsia="宋体" w:hint="default"/>
                <w:spacing w:val="-68"/>
                <w:sz w:val="18"/>
                <w:szCs w:val="18"/>
              </w:rPr>
              <w:t> </w:t>
            </w:r>
            <w:r>
              <w:rPr>
                <w:rFonts w:ascii="宋体" w:hAnsi="宋体" w:cs="宋体" w:eastAsia="宋体" w:hint="default"/>
                <w:sz w:val="18"/>
                <w:szCs w:val="18"/>
              </w:rPr>
              <w:t>理</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董</w:t>
            </w:r>
            <w:r>
              <w:rPr>
                <w:rFonts w:ascii="宋体" w:hAnsi="宋体" w:cs="宋体" w:eastAsia="宋体" w:hint="default"/>
                <w:spacing w:val="-68"/>
                <w:sz w:val="18"/>
                <w:szCs w:val="18"/>
              </w:rPr>
              <w:t> </w:t>
            </w:r>
            <w:r>
              <w:rPr>
                <w:rFonts w:ascii="宋体" w:hAnsi="宋体" w:cs="宋体" w:eastAsia="宋体" w:hint="default"/>
                <w:sz w:val="18"/>
                <w:szCs w:val="18"/>
              </w:rPr>
              <w:t>事</w:t>
            </w:r>
            <w:r>
              <w:rPr>
                <w:rFonts w:ascii="宋体" w:hAnsi="宋体" w:cs="宋体" w:eastAsia="宋体" w:hint="default"/>
                <w:sz w:val="18"/>
                <w:szCs w:val="18"/>
              </w:rPr>
              <w:t> 会</w:t>
            </w:r>
            <w:r>
              <w:rPr>
                <w:rFonts w:ascii="宋体" w:hAnsi="宋体" w:cs="宋体" w:eastAsia="宋体" w:hint="default"/>
                <w:spacing w:val="-68"/>
                <w:sz w:val="18"/>
                <w:szCs w:val="18"/>
              </w:rPr>
              <w:t> </w:t>
            </w:r>
            <w:r>
              <w:rPr>
                <w:rFonts w:ascii="宋体" w:hAnsi="宋体" w:cs="宋体" w:eastAsia="宋体" w:hint="default"/>
                <w:sz w:val="18"/>
                <w:szCs w:val="18"/>
              </w:rPr>
              <w:t>秘</w:t>
            </w:r>
            <w:r>
              <w:rPr>
                <w:rFonts w:ascii="宋体" w:hAnsi="宋体" w:cs="宋体" w:eastAsia="宋体" w:hint="default"/>
                <w:spacing w:val="-68"/>
                <w:sz w:val="18"/>
                <w:szCs w:val="18"/>
              </w:rPr>
              <w:t> </w:t>
            </w:r>
            <w:r>
              <w:rPr>
                <w:rFonts w:ascii="宋体" w:hAnsi="宋体" w:cs="宋体" w:eastAsia="宋体" w:hint="default"/>
                <w:spacing w:val="10"/>
                <w:sz w:val="18"/>
                <w:szCs w:val="18"/>
              </w:rPr>
              <w:t>书、</w:t>
            </w:r>
            <w:r>
              <w:rPr>
                <w:rFonts w:ascii="宋体" w:hAnsi="宋体" w:cs="宋体" w:eastAsia="宋体" w:hint="default"/>
                <w:spacing w:val="-68"/>
                <w:sz w:val="18"/>
                <w:szCs w:val="18"/>
              </w:rPr>
              <w:t> </w:t>
            </w:r>
            <w:r>
              <w:rPr>
                <w:rFonts w:ascii="宋体" w:hAnsi="宋体" w:cs="宋体" w:eastAsia="宋体" w:hint="default"/>
                <w:sz w:val="18"/>
                <w:szCs w:val="18"/>
              </w:rPr>
              <w:t>财</w:t>
            </w:r>
            <w:r>
              <w:rPr>
                <w:rFonts w:ascii="宋体" w:hAnsi="宋体" w:cs="宋体" w:eastAsia="宋体" w:hint="default"/>
                <w:sz w:val="18"/>
                <w:szCs w:val="18"/>
              </w:rPr>
              <w:t> 务总监</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47</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1,303,943</w:t>
            </w: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120,000</w:t>
            </w: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1,183,943</w:t>
            </w:r>
          </w:p>
        </w:tc>
      </w:tr>
      <w:tr>
        <w:trPr>
          <w:trHeight w:val="95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熊  俊</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33</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29</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茅  宁</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63</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周友梅</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58</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刘向明</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54</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306,562</w:t>
            </w: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306,562</w:t>
            </w:r>
          </w:p>
        </w:tc>
      </w:tr>
      <w:tr>
        <w:trPr>
          <w:trHeight w:val="41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钱卫民</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55</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葛兹俊</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58</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李宝亮</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39</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16</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3</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汪梦余</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48</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3</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227,500</w:t>
            </w: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67,500</w:t>
            </w: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160,000</w:t>
            </w:r>
          </w:p>
        </w:tc>
      </w:tr>
      <w:tr>
        <w:trPr>
          <w:trHeight w:val="638"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邱卫东</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53</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1</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822,451</w:t>
            </w: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172,500</w:t>
            </w: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649,951</w:t>
            </w:r>
          </w:p>
        </w:tc>
      </w:tr>
      <w:tr>
        <w:trPr>
          <w:trHeight w:val="952" w:hRule="exact"/>
        </w:trPr>
        <w:tc>
          <w:tcPr>
            <w:tcW w:w="7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周振娟</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42</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227,650</w:t>
            </w: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60,000</w:t>
            </w:r>
          </w:p>
        </w:tc>
        <w:tc>
          <w:tcPr>
            <w:tcW w:w="12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167,650</w:t>
            </w:r>
          </w:p>
        </w:tc>
      </w:tr>
      <w:tr>
        <w:trPr>
          <w:trHeight w:val="419" w:hRule="exact"/>
        </w:trPr>
        <w:tc>
          <w:tcPr>
            <w:tcW w:w="79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104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54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44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42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sz w:val="18"/>
              </w:rPr>
              <w:t>--</w:t>
            </w:r>
          </w:p>
        </w:tc>
        <w:tc>
          <w:tcPr>
            <w:tcW w:w="152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74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49,371,834</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645,000</w:t>
            </w:r>
          </w:p>
        </w:tc>
        <w:tc>
          <w:tcPr>
            <w:tcW w:w="12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48,726,834</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7"/>
        <w:rPr>
          <w:rFonts w:ascii="宋体" w:hAnsi="宋体" w:cs="宋体" w:eastAsia="宋体" w:hint="default"/>
          <w:sz w:val="25"/>
          <w:szCs w:val="25"/>
        </w:rPr>
      </w:pPr>
    </w:p>
    <w:p>
      <w:pPr>
        <w:pStyle w:val="Heading2"/>
        <w:spacing w:line="240" w:lineRule="auto"/>
        <w:ind w:right="1122"/>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pStyle w:val="BodyText"/>
        <w:spacing w:line="240" w:lineRule="auto" w:before="177"/>
        <w:ind w:right="1122"/>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331"/>
        <w:gridCol w:w="1330"/>
        <w:gridCol w:w="1330"/>
        <w:gridCol w:w="1541"/>
        <w:gridCol w:w="4038"/>
      </w:tblGrid>
      <w:tr>
        <w:trPr>
          <w:trHeight w:val="415" w:hRule="exact"/>
        </w:trPr>
        <w:tc>
          <w:tcPr>
            <w:tcW w:w="133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7" w:hRule="exact"/>
        </w:trPr>
        <w:tc>
          <w:tcPr>
            <w:tcW w:w="13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邱卫东</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0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15" w:hRule="exact"/>
        </w:trPr>
        <w:tc>
          <w:tcPr>
            <w:tcW w:w="13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周振娟</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0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个人原因辞职</w:t>
            </w:r>
          </w:p>
        </w:tc>
      </w:tr>
    </w:tbl>
    <w:p>
      <w:pPr>
        <w:pStyle w:val="Heading2"/>
        <w:spacing w:line="240" w:lineRule="auto" w:before="40"/>
        <w:ind w:right="1122"/>
        <w:jc w:val="left"/>
        <w:rPr>
          <w:b w:val="0"/>
          <w:bCs w:val="0"/>
        </w:rPr>
      </w:pPr>
      <w:bookmarkStart w:name="三、任职情况" w:id="125"/>
      <w:bookmarkEnd w:id="125"/>
      <w:r>
        <w:rPr>
          <w:b w:val="0"/>
          <w:bCs w:val="0"/>
        </w:rPr>
      </w:r>
      <w:r>
        <w:rPr/>
        <w:t>三、任职情况</w:t>
      </w:r>
      <w:r>
        <w:rPr>
          <w:b w:val="0"/>
          <w:bCs w:val="0"/>
        </w:rPr>
      </w:r>
    </w:p>
    <w:p>
      <w:pPr>
        <w:pStyle w:val="BodyText"/>
        <w:spacing w:line="408" w:lineRule="auto" w:before="177"/>
        <w:ind w:left="574" w:right="1122" w:hanging="420"/>
        <w:jc w:val="left"/>
      </w:pPr>
      <w:r>
        <w:rPr/>
        <w:t>公司现任董事、监事、高级管理人员专业背景、主要工作经历以及目前在公司的主要职责 </w:t>
      </w:r>
      <w:r>
        <w:rPr>
          <w:rFonts w:ascii="宋体" w:hAnsi="宋体" w:cs="宋体" w:eastAsia="宋体" w:hint="default"/>
        </w:rPr>
        <w:t>1</w:t>
      </w:r>
      <w:r>
        <w:rPr/>
        <w:t>、董事长龙昌明先生，</w:t>
      </w:r>
      <w:r>
        <w:rPr>
          <w:rFonts w:ascii="宋体" w:hAnsi="宋体" w:cs="宋体" w:eastAsia="宋体" w:hint="default"/>
        </w:rPr>
        <w:t>1987</w:t>
      </w:r>
      <w:r>
        <w:rPr/>
        <w:t>年毕业于东南大学无线电系，硕士研究生学历，中国致公党党员，南京</w:t>
      </w:r>
    </w:p>
    <w:p>
      <w:pPr>
        <w:pStyle w:val="BodyText"/>
        <w:spacing w:line="408" w:lineRule="auto"/>
        <w:ind w:right="0"/>
        <w:jc w:val="left"/>
      </w:pPr>
      <w:r>
        <w:rPr/>
        <w:t>巿人大代表，江苏省贵州商会会长，江苏省致公党省委委员。光一科技第一届、第二届、第三届董事长，</w:t>
      </w:r>
      <w:r>
        <w:rPr>
          <w:spacing w:val="-35"/>
        </w:rPr>
        <w:t> </w:t>
      </w:r>
      <w:r>
        <w:rPr>
          <w:spacing w:val="-35"/>
        </w:rPr>
      </w:r>
      <w:r>
        <w:rPr/>
        <w:t>第四届董事会董事长、总裁；</w:t>
      </w:r>
      <w:r>
        <w:rPr>
          <w:rFonts w:ascii="宋体" w:hAnsi="宋体" w:cs="宋体" w:eastAsia="宋体" w:hint="default"/>
        </w:rPr>
        <w:t>2009</w:t>
      </w:r>
      <w:r>
        <w:rPr/>
        <w:t>年至今任光一投资执行董事兼总经理；全资子公司苏源光一董事长；全 资子公司智友尚云、光一贵仁、德能工程执行董事；全资子公司索瑞电气董事；控股子公司云商天下董事 </w:t>
      </w:r>
      <w:r>
        <w:rPr>
          <w:spacing w:val="-5"/>
        </w:rPr>
        <w:t>长；参股公司中云文化大数据董事；天擎华媒董事长、中广文影股权投资基金管理（上海）有限公司董事、</w:t>
      </w:r>
      <w:r>
        <w:rPr/>
        <w:t> 南京医科大学第三届董事会董事；江苏黔首网络科技有限公司董事长；江苏数道科技有限公司董事长、总 经理；南京建盈鸿亿科技发展有限公司、贵州贵银投资有限公司董事。目前，龙昌明先生主要负责公司战 略规划和经营管理。</w:t>
      </w:r>
    </w:p>
    <w:p>
      <w:pPr>
        <w:pStyle w:val="BodyText"/>
        <w:spacing w:line="408" w:lineRule="auto"/>
        <w:ind w:right="1127" w:firstLine="420"/>
        <w:jc w:val="both"/>
      </w:pPr>
      <w:r>
        <w:rPr>
          <w:rFonts w:ascii="宋体" w:hAnsi="宋体" w:cs="宋体" w:eastAsia="宋体" w:hint="default"/>
        </w:rPr>
        <w:t>2</w:t>
      </w:r>
      <w:r>
        <w:rPr/>
        <w:t>、董事、总经理王海俊先生，</w:t>
      </w:r>
      <w:r>
        <w:rPr>
          <w:rFonts w:ascii="宋体" w:hAnsi="宋体" w:cs="宋体" w:eastAsia="宋体" w:hint="default"/>
        </w:rPr>
        <w:t>1993</w:t>
      </w:r>
      <w:r>
        <w:rPr/>
        <w:t>年毕业于南京理工大学机械制造系，硕士研究生学历，</w:t>
      </w:r>
      <w:r>
        <w:rPr>
          <w:rFonts w:ascii="宋体" w:hAnsi="宋体" w:cs="宋体" w:eastAsia="宋体" w:hint="default"/>
        </w:rPr>
        <w:t>2009</w:t>
      </w:r>
      <w:r>
        <w:rPr/>
        <w:t>年至</w:t>
      </w:r>
      <w:r>
        <w:rPr>
          <w:spacing w:val="3"/>
        </w:rPr>
        <w:t> </w:t>
      </w:r>
      <w:r>
        <w:rPr>
          <w:spacing w:val="-1"/>
        </w:rPr>
        <w:t>今任光一科技第一届、第二届、第三届董事会董事、总经理，第四届董事会董事、常务副总裁；全资子公</w:t>
      </w:r>
      <w:r>
        <w:rPr>
          <w:spacing w:val="-83"/>
        </w:rPr>
        <w:t> </w:t>
      </w:r>
      <w:r>
        <w:rPr>
          <w:spacing w:val="-83"/>
        </w:rPr>
      </w:r>
      <w:r>
        <w:rPr>
          <w:spacing w:val="-1"/>
        </w:rPr>
        <w:t>司苏源光一董事、索瑞电气董事；控股子公司云商天下董事、德能设计董事；参股公司今程光一董事。目</w:t>
      </w:r>
      <w:r>
        <w:rPr>
          <w:spacing w:val="-83"/>
        </w:rPr>
        <w:t> </w:t>
      </w:r>
      <w:r>
        <w:rPr>
          <w:spacing w:val="-83"/>
        </w:rPr>
      </w:r>
      <w:r>
        <w:rPr/>
        <w:t>前，王海俊先生协助总裁经营管理。</w:t>
      </w:r>
    </w:p>
    <w:p>
      <w:pPr>
        <w:pStyle w:val="BodyText"/>
        <w:spacing w:line="408" w:lineRule="auto"/>
        <w:ind w:right="1130" w:firstLine="420"/>
        <w:jc w:val="both"/>
      </w:pPr>
      <w:r>
        <w:rPr>
          <w:rFonts w:ascii="宋体" w:hAnsi="宋体" w:cs="宋体" w:eastAsia="宋体" w:hint="default"/>
        </w:rPr>
        <w:t>3</w:t>
      </w:r>
      <w:r>
        <w:rPr/>
        <w:t>、董事任昌兆先生，</w:t>
      </w:r>
      <w:r>
        <w:rPr>
          <w:rFonts w:ascii="宋体" w:hAnsi="宋体" w:cs="宋体" w:eastAsia="宋体" w:hint="default"/>
        </w:rPr>
        <w:t>1991</w:t>
      </w:r>
      <w:r>
        <w:rPr/>
        <w:t>年毕业于武汉工学院，大专学历，高级工程师。</w:t>
      </w:r>
      <w:r>
        <w:rPr>
          <w:rFonts w:ascii="宋体" w:hAnsi="宋体" w:cs="宋体" w:eastAsia="宋体" w:hint="default"/>
        </w:rPr>
        <w:t>2005</w:t>
      </w:r>
      <w:r>
        <w:rPr/>
        <w:t>年</w:t>
      </w:r>
      <w:r>
        <w:rPr>
          <w:rFonts w:ascii="宋体" w:hAnsi="宋体" w:cs="宋体" w:eastAsia="宋体" w:hint="default"/>
        </w:rPr>
        <w:t>11</w:t>
      </w:r>
      <w:r>
        <w:rPr/>
        <w:t>月至今任湖北索 </w:t>
      </w:r>
      <w:r>
        <w:rPr>
          <w:spacing w:val="-1"/>
        </w:rPr>
        <w:t>瑞电气有限公司董事长、总经理，</w:t>
      </w:r>
      <w:r>
        <w:rPr>
          <w:rFonts w:ascii="宋体" w:hAnsi="宋体" w:cs="宋体" w:eastAsia="宋体" w:hint="default"/>
          <w:spacing w:val="-1"/>
        </w:rPr>
        <w:t>2014</w:t>
      </w:r>
      <w:r>
        <w:rPr>
          <w:spacing w:val="-1"/>
        </w:rPr>
        <w:t>年</w:t>
      </w:r>
      <w:r>
        <w:rPr>
          <w:rFonts w:ascii="宋体" w:hAnsi="宋体" w:cs="宋体" w:eastAsia="宋体" w:hint="default"/>
          <w:spacing w:val="-1"/>
        </w:rPr>
        <w:t>3</w:t>
      </w:r>
      <w:r>
        <w:rPr>
          <w:spacing w:val="-1"/>
        </w:rPr>
        <w:t>月至今任湖北乾瀚投资有限公司执行董事、经理；</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月至</w:t>
      </w:r>
      <w:r>
        <w:rPr>
          <w:spacing w:val="-80"/>
        </w:rPr>
        <w:t> </w:t>
      </w:r>
      <w:r>
        <w:rPr>
          <w:spacing w:val="-1"/>
        </w:rPr>
        <w:t>今任光一科技第二届、第三届、第四届董事会董事；</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月至今任武汉联畅股权投资管理有限公司董</w:t>
      </w:r>
      <w:r>
        <w:rPr>
          <w:spacing w:val="-81"/>
        </w:rPr>
        <w:t> </w:t>
      </w:r>
      <w:r>
        <w:rPr>
          <w:spacing w:val="-81"/>
        </w:rPr>
      </w:r>
      <w:r>
        <w:rPr/>
        <w:t>事；</w:t>
      </w:r>
      <w:r>
        <w:rPr>
          <w:rFonts w:ascii="宋体" w:hAnsi="宋体" w:cs="宋体" w:eastAsia="宋体" w:hint="default"/>
        </w:rPr>
        <w:t>2018</w:t>
      </w:r>
      <w:r>
        <w:rPr/>
        <w:t>年</w:t>
      </w:r>
      <w:r>
        <w:rPr>
          <w:rFonts w:ascii="宋体" w:hAnsi="宋体" w:cs="宋体" w:eastAsia="宋体" w:hint="default"/>
        </w:rPr>
        <w:t>8</w:t>
      </w:r>
      <w:r>
        <w:rPr/>
        <w:t>月至今任襄阳先天下环保设备有限公司董事。</w:t>
      </w:r>
    </w:p>
    <w:p>
      <w:pPr>
        <w:pStyle w:val="BodyText"/>
        <w:spacing w:line="408" w:lineRule="auto"/>
        <w:ind w:right="1032" w:firstLine="420"/>
        <w:jc w:val="both"/>
      </w:pPr>
      <w:r>
        <w:rPr>
          <w:rFonts w:ascii="宋体" w:hAnsi="宋体" w:cs="宋体" w:eastAsia="宋体" w:hint="default"/>
          <w:spacing w:val="-3"/>
        </w:rPr>
        <w:t>4</w:t>
      </w:r>
      <w:r>
        <w:rPr>
          <w:spacing w:val="-3"/>
        </w:rPr>
        <w:t>、董事、副总经理、董事会秘书、财务总监戴晓东先生，</w:t>
      </w:r>
      <w:r>
        <w:rPr>
          <w:rFonts w:ascii="宋体" w:hAnsi="宋体" w:cs="宋体" w:eastAsia="宋体" w:hint="default"/>
          <w:spacing w:val="-3"/>
        </w:rPr>
        <w:t>2000</w:t>
      </w:r>
      <w:r>
        <w:rPr>
          <w:spacing w:val="-3"/>
        </w:rPr>
        <w:t>年毕业于南京财经大学工业会计专业，</w:t>
      </w:r>
      <w:r>
        <w:rPr/>
        <w:t> 硕士研究生学历，非执业注册会计师、高级会计师。光一科技第一届董事会董事、财务总监；第二届、第 三届董事会董事、副总经理；第四届董事会董事、董事会秘书、财务总监；全资子公司苏源光一董事；全 资子公司索瑞电气董事、副总经理、财务总监。戴晓东先生主要负责公司总裁办及财务统筹管理等工作。</w:t>
      </w:r>
    </w:p>
    <w:p>
      <w:pPr>
        <w:pStyle w:val="BodyText"/>
        <w:spacing w:line="408" w:lineRule="auto"/>
        <w:ind w:right="1130" w:firstLine="420"/>
        <w:jc w:val="both"/>
      </w:pPr>
      <w:r>
        <w:rPr>
          <w:rFonts w:ascii="宋体" w:hAnsi="宋体" w:cs="宋体" w:eastAsia="宋体" w:hint="default"/>
        </w:rPr>
        <w:t>5</w:t>
      </w:r>
      <w:r>
        <w:rPr/>
        <w:t>、董事熊俊先生，</w:t>
      </w:r>
      <w:r>
        <w:rPr>
          <w:rFonts w:ascii="宋体" w:hAnsi="宋体" w:cs="宋体" w:eastAsia="宋体" w:hint="default"/>
        </w:rPr>
        <w:t>2008</w:t>
      </w:r>
      <w:r>
        <w:rPr/>
        <w:t>年毕业于美国波士顿大学，大学本科双学位。</w:t>
      </w:r>
      <w:r>
        <w:rPr>
          <w:rFonts w:ascii="宋体" w:hAnsi="宋体" w:cs="宋体" w:eastAsia="宋体" w:hint="default"/>
        </w:rPr>
        <w:t>2008</w:t>
      </w:r>
      <w:r>
        <w:rPr/>
        <w:t>年</w:t>
      </w:r>
      <w:r>
        <w:rPr>
          <w:rFonts w:ascii="宋体" w:hAnsi="宋体" w:cs="宋体" w:eastAsia="宋体" w:hint="default"/>
        </w:rPr>
        <w:t>8</w:t>
      </w:r>
      <w:r>
        <w:rPr/>
        <w:t>月至</w:t>
      </w:r>
      <w:r>
        <w:rPr>
          <w:rFonts w:ascii="宋体" w:hAnsi="宋体" w:cs="宋体" w:eastAsia="宋体" w:hint="default"/>
        </w:rPr>
        <w:t>2010</w:t>
      </w:r>
      <w:r>
        <w:rPr/>
        <w:t>年</w:t>
      </w:r>
      <w:r>
        <w:rPr>
          <w:rFonts w:ascii="宋体" w:hAnsi="宋体" w:cs="宋体" w:eastAsia="宋体" w:hint="default"/>
        </w:rPr>
        <w:t>2</w:t>
      </w:r>
      <w:r>
        <w:rPr/>
        <w:t>月任职于 </w:t>
      </w:r>
      <w:r>
        <w:rPr>
          <w:spacing w:val="-1"/>
        </w:rPr>
        <w:t>摩根史丹利投资银行部；</w:t>
      </w:r>
      <w:r>
        <w:rPr>
          <w:rFonts w:ascii="宋体" w:hAnsi="宋体" w:cs="宋体" w:eastAsia="宋体" w:hint="default"/>
          <w:spacing w:val="-1"/>
        </w:rPr>
        <w:t>2010</w:t>
      </w:r>
      <w:r>
        <w:rPr>
          <w:spacing w:val="-1"/>
        </w:rPr>
        <w:t>年</w:t>
      </w:r>
      <w:r>
        <w:rPr>
          <w:rFonts w:ascii="宋体" w:hAnsi="宋体" w:cs="宋体" w:eastAsia="宋体" w:hint="default"/>
          <w:spacing w:val="-1"/>
        </w:rPr>
        <w:t>2</w:t>
      </w:r>
      <w:r>
        <w:rPr>
          <w:spacing w:val="-1"/>
        </w:rPr>
        <w:t>月至</w:t>
      </w:r>
      <w:r>
        <w:rPr>
          <w:rFonts w:ascii="宋体" w:hAnsi="宋体" w:cs="宋体" w:eastAsia="宋体" w:hint="default"/>
          <w:spacing w:val="-1"/>
        </w:rPr>
        <w:t>2010</w:t>
      </w:r>
      <w:r>
        <w:rPr>
          <w:spacing w:val="-1"/>
        </w:rPr>
        <w:t>年</w:t>
      </w:r>
      <w:r>
        <w:rPr>
          <w:rFonts w:ascii="宋体" w:hAnsi="宋体" w:cs="宋体" w:eastAsia="宋体" w:hint="default"/>
          <w:spacing w:val="-1"/>
        </w:rPr>
        <w:t>9</w:t>
      </w:r>
      <w:r>
        <w:rPr>
          <w:spacing w:val="-1"/>
        </w:rPr>
        <w:t>月任职于香港荣俊投资发展有限公司，担任董事长；</w:t>
      </w:r>
      <w:r>
        <w:rPr>
          <w:rFonts w:ascii="宋体" w:hAnsi="宋体" w:cs="宋体" w:eastAsia="宋体" w:hint="default"/>
          <w:spacing w:val="-1"/>
        </w:rPr>
        <w:t>2010</w:t>
      </w:r>
      <w:r>
        <w:rPr>
          <w:spacing w:val="-1"/>
        </w:rPr>
        <w:t>年</w:t>
      </w:r>
      <w:r>
        <w:rPr>
          <w:spacing w:val="-79"/>
        </w:rPr>
        <w:t> </w:t>
      </w:r>
      <w:r>
        <w:rPr>
          <w:rFonts w:ascii="宋体" w:hAnsi="宋体" w:cs="宋体" w:eastAsia="宋体" w:hint="default"/>
          <w:spacing w:val="-1"/>
        </w:rPr>
        <w:t>10</w:t>
      </w:r>
      <w:r>
        <w:rPr>
          <w:spacing w:val="-1"/>
        </w:rPr>
        <w:t>月至今任职于北京华康瑞宏投资有限公司，担任执行董事、总经理；</w:t>
      </w:r>
      <w:r>
        <w:rPr>
          <w:rFonts w:ascii="宋体" w:hAnsi="宋体" w:cs="宋体" w:eastAsia="宋体" w:hint="default"/>
          <w:spacing w:val="-1"/>
        </w:rPr>
        <w:t>2011</w:t>
      </w:r>
      <w:r>
        <w:rPr>
          <w:spacing w:val="-1"/>
        </w:rPr>
        <w:t>年至</w:t>
      </w:r>
      <w:r>
        <w:rPr>
          <w:rFonts w:ascii="宋体" w:hAnsi="宋体" w:cs="宋体" w:eastAsia="宋体" w:hint="default"/>
          <w:spacing w:val="-1"/>
        </w:rPr>
        <w:t>2017</w:t>
      </w:r>
      <w:r>
        <w:rPr>
          <w:spacing w:val="-1"/>
        </w:rPr>
        <w:t>年任中复碳芯电缆科</w:t>
      </w:r>
    </w:p>
    <w:p>
      <w:pPr>
        <w:spacing w:after="0" w:line="408" w:lineRule="auto"/>
        <w:jc w:val="both"/>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027"/>
        <w:jc w:val="left"/>
      </w:pPr>
      <w:r>
        <w:rPr/>
        <w:t>技有限公司第一、二届董事会董事；</w:t>
      </w:r>
      <w:r>
        <w:rPr>
          <w:rFonts w:ascii="宋体" w:hAnsi="宋体" w:cs="宋体" w:eastAsia="宋体" w:hint="default"/>
        </w:rPr>
        <w:t>2017</w:t>
      </w:r>
      <w:r>
        <w:rPr/>
        <w:t>年</w:t>
      </w:r>
      <w:r>
        <w:rPr>
          <w:rFonts w:ascii="宋体" w:hAnsi="宋体" w:cs="宋体" w:eastAsia="宋体" w:hint="default"/>
        </w:rPr>
        <w:t>10</w:t>
      </w:r>
      <w:r>
        <w:rPr/>
        <w:t>月至今任职于深圳市金德安实业有限公司董事长、总经理；</w:t>
      </w:r>
      <w:r>
        <w:rPr>
          <w:spacing w:val="-33"/>
        </w:rPr>
        <w:t> </w:t>
      </w:r>
      <w:r>
        <w:rPr>
          <w:spacing w:val="-33"/>
        </w:rPr>
      </w:r>
      <w:r>
        <w:rPr>
          <w:rFonts w:ascii="宋体" w:hAnsi="宋体" w:cs="宋体" w:eastAsia="宋体" w:hint="default"/>
        </w:rPr>
        <w:t>2010</w:t>
      </w:r>
      <w:r>
        <w:rPr/>
        <w:t>年</w:t>
      </w:r>
      <w:r>
        <w:rPr>
          <w:rFonts w:ascii="宋体" w:hAnsi="宋体" w:cs="宋体" w:eastAsia="宋体" w:hint="default"/>
        </w:rPr>
        <w:t>10</w:t>
      </w:r>
      <w:r>
        <w:rPr/>
        <w:t>月至今任光一科技第一届、第二届、第三届董事会董事。目前熊俊先生任期届满不在公司继续任 职。</w:t>
      </w:r>
    </w:p>
    <w:p>
      <w:pPr>
        <w:pStyle w:val="BodyText"/>
        <w:spacing w:line="408" w:lineRule="auto"/>
        <w:ind w:right="1128" w:firstLine="420"/>
        <w:jc w:val="both"/>
      </w:pPr>
      <w:r>
        <w:rPr>
          <w:rFonts w:ascii="宋体" w:hAnsi="宋体" w:cs="宋体" w:eastAsia="宋体" w:hint="default"/>
        </w:rPr>
        <w:t>6</w:t>
      </w:r>
      <w:r>
        <w:rPr/>
        <w:t>、独立董事刘向明先生，</w:t>
      </w:r>
      <w:r>
        <w:rPr>
          <w:rFonts w:ascii="宋体" w:hAnsi="宋体" w:cs="宋体" w:eastAsia="宋体" w:hint="default"/>
        </w:rPr>
        <w:t>1989</w:t>
      </w:r>
      <w:r>
        <w:rPr/>
        <w:t>年毕业于苏州大学，法学学士、律师证券从业资格，民盟成员。</w:t>
      </w:r>
      <w:r>
        <w:rPr>
          <w:rFonts w:ascii="宋体" w:hAnsi="宋体" w:cs="宋体" w:eastAsia="宋体" w:hint="default"/>
        </w:rPr>
        <w:t>2000 </w:t>
      </w:r>
      <w:r>
        <w:rPr/>
        <w:t>年</w:t>
      </w:r>
      <w:r>
        <w:rPr>
          <w:rFonts w:ascii="宋体" w:hAnsi="宋体" w:cs="宋体" w:eastAsia="宋体" w:hint="default"/>
        </w:rPr>
        <w:t>6</w:t>
      </w:r>
      <w:r>
        <w:rPr/>
        <w:t>月至</w:t>
      </w:r>
      <w:r>
        <w:rPr>
          <w:rFonts w:ascii="宋体" w:hAnsi="宋体" w:cs="宋体" w:eastAsia="宋体" w:hint="default"/>
        </w:rPr>
        <w:t>2015</w:t>
      </w:r>
      <w:r>
        <w:rPr/>
        <w:t>年</w:t>
      </w:r>
      <w:r>
        <w:rPr>
          <w:rFonts w:ascii="宋体" w:hAnsi="宋体" w:cs="宋体" w:eastAsia="宋体" w:hint="default"/>
        </w:rPr>
        <w:t>4</w:t>
      </w:r>
      <w:r>
        <w:rPr/>
        <w:t>月任江苏金鼎英杰律师事务所合伙人；</w:t>
      </w:r>
      <w:r>
        <w:rPr>
          <w:rFonts w:ascii="宋体" w:hAnsi="宋体" w:cs="宋体" w:eastAsia="宋体" w:hint="default"/>
        </w:rPr>
        <w:t>2010</w:t>
      </w:r>
      <w:r>
        <w:rPr/>
        <w:t>年</w:t>
      </w:r>
      <w:r>
        <w:rPr>
          <w:rFonts w:ascii="宋体" w:hAnsi="宋体" w:cs="宋体" w:eastAsia="宋体" w:hint="default"/>
        </w:rPr>
        <w:t>2</w:t>
      </w:r>
      <w:r>
        <w:rPr/>
        <w:t>月至</w:t>
      </w:r>
      <w:r>
        <w:rPr>
          <w:rFonts w:ascii="宋体" w:hAnsi="宋体" w:cs="宋体" w:eastAsia="宋体" w:hint="default"/>
        </w:rPr>
        <w:t>2015</w:t>
      </w:r>
      <w:r>
        <w:rPr/>
        <w:t>年</w:t>
      </w:r>
      <w:r>
        <w:rPr>
          <w:rFonts w:ascii="宋体" w:hAnsi="宋体" w:cs="宋体" w:eastAsia="宋体" w:hint="default"/>
        </w:rPr>
        <w:t>10</w:t>
      </w:r>
      <w:r>
        <w:rPr/>
        <w:t>月任亿通科技（</w:t>
      </w:r>
      <w:r>
        <w:rPr>
          <w:rFonts w:ascii="宋体" w:hAnsi="宋体" w:cs="宋体" w:eastAsia="宋体" w:hint="default"/>
        </w:rPr>
        <w:t>300211</w:t>
      </w:r>
      <w:r>
        <w:rPr/>
        <w:t>）独</w:t>
      </w:r>
      <w:r>
        <w:rPr>
          <w:spacing w:val="-28"/>
        </w:rPr>
        <w:t> </w:t>
      </w:r>
      <w:r>
        <w:rPr/>
        <w:t>立董事；</w:t>
      </w:r>
      <w:r>
        <w:rPr>
          <w:rFonts w:ascii="宋体" w:hAnsi="宋体" w:cs="宋体" w:eastAsia="宋体" w:hint="default"/>
        </w:rPr>
        <w:t>2013</w:t>
      </w:r>
      <w:r>
        <w:rPr/>
        <w:t>年</w:t>
      </w:r>
      <w:r>
        <w:rPr>
          <w:rFonts w:ascii="宋体" w:hAnsi="宋体" w:cs="宋体" w:eastAsia="宋体" w:hint="default"/>
        </w:rPr>
        <w:t>3</w:t>
      </w:r>
      <w:r>
        <w:rPr/>
        <w:t>月至</w:t>
      </w:r>
      <w:r>
        <w:rPr>
          <w:rFonts w:ascii="宋体" w:hAnsi="宋体" w:cs="宋体" w:eastAsia="宋体" w:hint="default"/>
        </w:rPr>
        <w:t>2016</w:t>
      </w:r>
      <w:r>
        <w:rPr/>
        <w:t>年</w:t>
      </w:r>
      <w:r>
        <w:rPr>
          <w:rFonts w:ascii="宋体" w:hAnsi="宋体" w:cs="宋体" w:eastAsia="宋体" w:hint="default"/>
        </w:rPr>
        <w:t>5</w:t>
      </w:r>
      <w:r>
        <w:rPr/>
        <w:t>月任维格娜丝（</w:t>
      </w:r>
      <w:r>
        <w:rPr>
          <w:rFonts w:ascii="宋体" w:hAnsi="宋体" w:cs="宋体" w:eastAsia="宋体" w:hint="default"/>
        </w:rPr>
        <w:t>603518</w:t>
      </w:r>
      <w:r>
        <w:rPr/>
        <w:t>）独立董事；</w:t>
      </w:r>
      <w:r>
        <w:rPr>
          <w:rFonts w:ascii="宋体" w:hAnsi="宋体" w:cs="宋体" w:eastAsia="宋体" w:hint="default"/>
        </w:rPr>
        <w:t>2015</w:t>
      </w:r>
      <w:r>
        <w:rPr/>
        <w:t>年</w:t>
      </w:r>
      <w:r>
        <w:rPr>
          <w:rFonts w:ascii="宋体" w:hAnsi="宋体" w:cs="宋体" w:eastAsia="宋体" w:hint="default"/>
        </w:rPr>
        <w:t>5</w:t>
      </w:r>
      <w:r>
        <w:rPr/>
        <w:t>月至今任国浩律师（南京）事</w:t>
      </w:r>
      <w:r>
        <w:rPr>
          <w:spacing w:val="-33"/>
        </w:rPr>
        <w:t> </w:t>
      </w:r>
      <w:r>
        <w:rPr>
          <w:spacing w:val="-33"/>
        </w:rPr>
      </w:r>
      <w:r>
        <w:rPr>
          <w:spacing w:val="-1"/>
        </w:rPr>
        <w:t>务所合伙人；现任国电南瑞（</w:t>
      </w:r>
      <w:r>
        <w:rPr>
          <w:rFonts w:ascii="宋体" w:hAnsi="宋体" w:cs="宋体" w:eastAsia="宋体" w:hint="default"/>
          <w:spacing w:val="-1"/>
        </w:rPr>
        <w:t>600406</w:t>
      </w:r>
      <w:r>
        <w:rPr>
          <w:spacing w:val="-1"/>
        </w:rPr>
        <w:t>）、蓝英装备（</w:t>
      </w:r>
      <w:r>
        <w:rPr>
          <w:rFonts w:ascii="宋体" w:hAnsi="宋体" w:cs="宋体" w:eastAsia="宋体" w:hint="default"/>
          <w:spacing w:val="-1"/>
        </w:rPr>
        <w:t>300293</w:t>
      </w:r>
      <w:r>
        <w:rPr>
          <w:spacing w:val="-1"/>
        </w:rPr>
        <w:t>）独立董事；光一科技第三届、第四届董事会</w:t>
      </w:r>
      <w:r>
        <w:rPr>
          <w:spacing w:val="-80"/>
        </w:rPr>
        <w:t> </w:t>
      </w:r>
      <w:r>
        <w:rPr>
          <w:spacing w:val="-80"/>
        </w:rPr>
      </w:r>
      <w:r>
        <w:rPr/>
        <w:t>独立董事。</w:t>
      </w:r>
    </w:p>
    <w:p>
      <w:pPr>
        <w:pStyle w:val="BodyText"/>
        <w:spacing w:line="408" w:lineRule="auto"/>
        <w:ind w:right="1132" w:firstLine="420"/>
        <w:jc w:val="both"/>
      </w:pPr>
      <w:r>
        <w:rPr>
          <w:rFonts w:ascii="宋体" w:hAnsi="宋体" w:cs="宋体" w:eastAsia="宋体" w:hint="default"/>
        </w:rPr>
        <w:t>7</w:t>
      </w:r>
      <w:r>
        <w:rPr/>
        <w:t>、独立董事周友梅先生，</w:t>
      </w:r>
      <w:r>
        <w:rPr>
          <w:rFonts w:ascii="宋体" w:hAnsi="宋体" w:cs="宋体" w:eastAsia="宋体" w:hint="default"/>
        </w:rPr>
        <w:t>1984</w:t>
      </w:r>
      <w:r>
        <w:rPr/>
        <w:t>年毕业于安徽财经大学，会计学硕士，中国民建会员。现任南京财经 </w:t>
      </w:r>
      <w:r>
        <w:rPr>
          <w:spacing w:val="-1"/>
        </w:rPr>
        <w:t>大学会计学院会计学教授，兼任中国对外经济贸易会计学会副会长。</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月至</w:t>
      </w:r>
      <w:r>
        <w:rPr>
          <w:rFonts w:ascii="宋体" w:hAnsi="宋体" w:cs="宋体" w:eastAsia="宋体" w:hint="default"/>
          <w:spacing w:val="-1"/>
        </w:rPr>
        <w:t>2018</w:t>
      </w:r>
      <w:r>
        <w:rPr>
          <w:spacing w:val="-1"/>
        </w:rPr>
        <w:t>年</w:t>
      </w:r>
      <w:r>
        <w:rPr>
          <w:rFonts w:ascii="宋体" w:hAnsi="宋体" w:cs="宋体" w:eastAsia="宋体" w:hint="default"/>
          <w:spacing w:val="-1"/>
        </w:rPr>
        <w:t>10</w:t>
      </w:r>
      <w:r>
        <w:rPr>
          <w:spacing w:val="-1"/>
        </w:rPr>
        <w:t>月任路通视信</w:t>
      </w:r>
    </w:p>
    <w:p>
      <w:pPr>
        <w:pStyle w:val="BodyText"/>
        <w:spacing w:line="408" w:lineRule="auto"/>
        <w:ind w:right="1122"/>
        <w:jc w:val="left"/>
      </w:pPr>
      <w:r>
        <w:rPr>
          <w:spacing w:val="-5"/>
        </w:rPr>
        <w:t>（</w:t>
      </w:r>
      <w:r>
        <w:rPr>
          <w:rFonts w:ascii="宋体" w:hAnsi="宋体" w:cs="宋体" w:eastAsia="宋体" w:hint="default"/>
          <w:spacing w:val="-5"/>
        </w:rPr>
        <w:t>300555</w:t>
      </w:r>
      <w:r>
        <w:rPr>
          <w:spacing w:val="-5"/>
        </w:rPr>
        <w:t>）独立董事，</w:t>
      </w:r>
      <w:r>
        <w:rPr>
          <w:rFonts w:ascii="宋体" w:hAnsi="宋体" w:cs="宋体" w:eastAsia="宋体" w:hint="default"/>
          <w:spacing w:val="-5"/>
        </w:rPr>
        <w:t>2016</w:t>
      </w:r>
      <w:r>
        <w:rPr>
          <w:spacing w:val="-5"/>
        </w:rPr>
        <w:t>年</w:t>
      </w:r>
      <w:r>
        <w:rPr>
          <w:rFonts w:ascii="宋体" w:hAnsi="宋体" w:cs="宋体" w:eastAsia="宋体" w:hint="default"/>
          <w:spacing w:val="-5"/>
        </w:rPr>
        <w:t>1</w:t>
      </w:r>
      <w:r>
        <w:rPr>
          <w:spacing w:val="-5"/>
        </w:rPr>
        <w:t>月至</w:t>
      </w:r>
      <w:r>
        <w:rPr>
          <w:rFonts w:ascii="宋体" w:hAnsi="宋体" w:cs="宋体" w:eastAsia="宋体" w:hint="default"/>
          <w:spacing w:val="-5"/>
        </w:rPr>
        <w:t>2019</w:t>
      </w:r>
      <w:r>
        <w:rPr>
          <w:spacing w:val="-5"/>
        </w:rPr>
        <w:t>年</w:t>
      </w:r>
      <w:r>
        <w:rPr>
          <w:rFonts w:ascii="宋体" w:hAnsi="宋体" w:cs="宋体" w:eastAsia="宋体" w:hint="default"/>
          <w:spacing w:val="-5"/>
        </w:rPr>
        <w:t>1</w:t>
      </w:r>
      <w:r>
        <w:rPr>
          <w:spacing w:val="-5"/>
        </w:rPr>
        <w:t>月任亚夏汽车（</w:t>
      </w:r>
      <w:r>
        <w:rPr>
          <w:rFonts w:ascii="宋体" w:hAnsi="宋体" w:cs="宋体" w:eastAsia="宋体" w:hint="default"/>
          <w:spacing w:val="-5"/>
        </w:rPr>
        <w:t>002607</w:t>
      </w:r>
      <w:r>
        <w:rPr>
          <w:spacing w:val="-5"/>
        </w:rPr>
        <w:t>）独立董事；现任江苏舜天（</w:t>
      </w:r>
      <w:r>
        <w:rPr>
          <w:rFonts w:ascii="宋体" w:hAnsi="宋体" w:cs="宋体" w:eastAsia="宋体" w:hint="default"/>
          <w:spacing w:val="-5"/>
        </w:rPr>
        <w:t>600287</w:t>
      </w:r>
      <w:r>
        <w:rPr>
          <w:spacing w:val="-5"/>
        </w:rPr>
        <w:t>）、</w:t>
      </w:r>
      <w:r>
        <w:rPr>
          <w:spacing w:val="-75"/>
        </w:rPr>
        <w:t> </w:t>
      </w:r>
      <w:r>
        <w:rPr/>
        <w:t>南京盛航海运股份有限公司独立董事，光一科技第三届、第四届董事会独立董事。</w:t>
      </w:r>
    </w:p>
    <w:p>
      <w:pPr>
        <w:pStyle w:val="BodyText"/>
        <w:spacing w:line="408" w:lineRule="auto"/>
        <w:ind w:right="1116" w:firstLine="420"/>
        <w:jc w:val="both"/>
      </w:pPr>
      <w:r>
        <w:rPr>
          <w:rFonts w:ascii="宋体" w:hAnsi="宋体" w:cs="宋体" w:eastAsia="宋体" w:hint="default"/>
          <w:spacing w:val="-3"/>
        </w:rPr>
        <w:t>8</w:t>
      </w:r>
      <w:r>
        <w:rPr>
          <w:spacing w:val="-3"/>
        </w:rPr>
        <w:t>、独立董事茅宁先生，</w:t>
      </w:r>
      <w:r>
        <w:rPr>
          <w:rFonts w:ascii="宋体" w:hAnsi="宋体" w:cs="宋体" w:eastAsia="宋体" w:hint="default"/>
          <w:spacing w:val="-3"/>
        </w:rPr>
        <w:t>1988</w:t>
      </w:r>
      <w:r>
        <w:rPr>
          <w:spacing w:val="-3"/>
        </w:rPr>
        <w:t>年毕业于国防科技大学，工学博士。</w:t>
      </w:r>
      <w:r>
        <w:rPr>
          <w:rFonts w:ascii="宋体" w:hAnsi="宋体" w:cs="宋体" w:eastAsia="宋体" w:hint="default"/>
          <w:spacing w:val="-3"/>
        </w:rPr>
        <w:t>1989</w:t>
      </w:r>
      <w:r>
        <w:rPr>
          <w:spacing w:val="-3"/>
        </w:rPr>
        <w:t>年至今在南京大学商学院任教，</w:t>
      </w:r>
      <w:r>
        <w:rPr/>
        <w:t> </w:t>
      </w:r>
      <w:r>
        <w:rPr>
          <w:spacing w:val="-1"/>
        </w:rPr>
        <w:t>历任南京大学工商管理系副系主任、主任，南京大学商学院院长助理，南京大学</w:t>
      </w:r>
      <w:r>
        <w:rPr>
          <w:rFonts w:ascii="宋体" w:hAnsi="宋体" w:cs="宋体" w:eastAsia="宋体" w:hint="default"/>
          <w:spacing w:val="-1"/>
        </w:rPr>
        <w:t>EMBA</w:t>
      </w:r>
      <w:r>
        <w:rPr>
          <w:spacing w:val="-1"/>
        </w:rPr>
        <w:t>及高级经理培训中心</w:t>
      </w:r>
      <w:r>
        <w:rPr>
          <w:spacing w:val="-82"/>
        </w:rPr>
        <w:t> </w:t>
      </w:r>
      <w:r>
        <w:rPr>
          <w:spacing w:val="-82"/>
        </w:rPr>
      </w:r>
      <w:r>
        <w:rPr/>
        <w:t>主任，南京大学管理学院副院长，美国纽约大学</w:t>
      </w:r>
      <w:r>
        <w:rPr>
          <w:rFonts w:ascii="宋体" w:hAnsi="宋体" w:cs="宋体" w:eastAsia="宋体" w:hint="default"/>
        </w:rPr>
        <w:t>Stern</w:t>
      </w:r>
      <w:r>
        <w:rPr/>
        <w:t>商学院富布赖特高级访问学者。现任南京大学商学</w:t>
      </w:r>
      <w:r>
        <w:rPr>
          <w:spacing w:val="-31"/>
        </w:rPr>
        <w:t> </w:t>
      </w:r>
      <w:r>
        <w:rPr>
          <w:spacing w:val="-31"/>
        </w:rPr>
      </w:r>
      <w:r>
        <w:rPr>
          <w:spacing w:val="-13"/>
        </w:rPr>
        <w:t>院教授、博士生导师、享受国务院特殊津贴；兼任江苏省数量经济与管理科学学会会长、金陵饭店（</w:t>
      </w:r>
      <w:r>
        <w:rPr>
          <w:rFonts w:ascii="宋体" w:hAnsi="宋体" w:cs="宋体" w:eastAsia="宋体" w:hint="default"/>
          <w:spacing w:val="-13"/>
        </w:rPr>
        <w:t>601007</w:t>
      </w:r>
      <w:r>
        <w:rPr>
          <w:spacing w:val="-13"/>
        </w:rPr>
        <w:t>）、</w:t>
      </w:r>
      <w:r>
        <w:rPr>
          <w:spacing w:val="-85"/>
        </w:rPr>
        <w:t> </w:t>
      </w:r>
      <w:r>
        <w:rPr>
          <w:spacing w:val="-1"/>
        </w:rPr>
        <w:t>华贸物流（</w:t>
      </w:r>
      <w:r>
        <w:rPr>
          <w:rFonts w:ascii="宋体" w:hAnsi="宋体" w:cs="宋体" w:eastAsia="宋体" w:hint="default"/>
          <w:spacing w:val="-1"/>
        </w:rPr>
        <w:t>603128</w:t>
      </w:r>
      <w:r>
        <w:rPr>
          <w:spacing w:val="-1"/>
        </w:rPr>
        <w:t>）、栖霞建设（</w:t>
      </w:r>
      <w:r>
        <w:rPr>
          <w:rFonts w:ascii="宋体" w:hAnsi="宋体" w:cs="宋体" w:eastAsia="宋体" w:hint="default"/>
          <w:spacing w:val="-1"/>
        </w:rPr>
        <w:t>600533</w:t>
      </w:r>
      <w:r>
        <w:rPr>
          <w:spacing w:val="-1"/>
        </w:rPr>
        <w:t>）独立董事。</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月至</w:t>
      </w:r>
      <w:r>
        <w:rPr>
          <w:rFonts w:ascii="宋体" w:hAnsi="宋体" w:cs="宋体" w:eastAsia="宋体" w:hint="default"/>
          <w:spacing w:val="-1"/>
        </w:rPr>
        <w:t>2019</w:t>
      </w:r>
      <w:r>
        <w:rPr>
          <w:spacing w:val="-1"/>
        </w:rPr>
        <w:t>年</w:t>
      </w:r>
      <w:r>
        <w:rPr>
          <w:rFonts w:ascii="宋体" w:hAnsi="宋体" w:cs="宋体" w:eastAsia="宋体" w:hint="default"/>
          <w:spacing w:val="-1"/>
        </w:rPr>
        <w:t>3</w:t>
      </w:r>
      <w:r>
        <w:rPr>
          <w:spacing w:val="-1"/>
        </w:rPr>
        <w:t>月任光一科技第二届、第三届</w:t>
      </w:r>
      <w:r>
        <w:rPr>
          <w:spacing w:val="-77"/>
        </w:rPr>
        <w:t> </w:t>
      </w:r>
      <w:r>
        <w:rPr>
          <w:spacing w:val="-77"/>
        </w:rPr>
      </w:r>
      <w:r>
        <w:rPr/>
        <w:t>董事会独立董事，目前茅宁先生任期届满不在公司继续任职。</w:t>
      </w:r>
    </w:p>
    <w:p>
      <w:pPr>
        <w:pStyle w:val="BodyText"/>
        <w:spacing w:line="408" w:lineRule="auto"/>
        <w:ind w:right="1133" w:firstLine="420"/>
        <w:jc w:val="both"/>
      </w:pPr>
      <w:r>
        <w:rPr>
          <w:rFonts w:ascii="宋体" w:hAnsi="宋体" w:cs="宋体" w:eastAsia="宋体" w:hint="default"/>
        </w:rPr>
        <w:t>9</w:t>
      </w:r>
      <w:r>
        <w:rPr/>
        <w:t>、监事会主席朱云飞先生，</w:t>
      </w:r>
      <w:r>
        <w:rPr>
          <w:rFonts w:ascii="宋体" w:hAnsi="宋体" w:cs="宋体" w:eastAsia="宋体" w:hint="default"/>
        </w:rPr>
        <w:t>1987</w:t>
      </w:r>
      <w:r>
        <w:rPr/>
        <w:t>年毕业于东南大学无线电系，大学本科学历。</w:t>
      </w:r>
      <w:r>
        <w:rPr>
          <w:rFonts w:ascii="宋体" w:hAnsi="宋体" w:cs="宋体" w:eastAsia="宋体" w:hint="default"/>
        </w:rPr>
        <w:t>2009</w:t>
      </w:r>
      <w:r>
        <w:rPr/>
        <w:t>年至今任光一科 </w:t>
      </w:r>
      <w:r>
        <w:rPr>
          <w:spacing w:val="-1"/>
        </w:rPr>
        <w:t>技第一届、第二届、第三届、第四届监事会主席；全资子公司索瑞电气、苏源光一、智友尚云、德能工程</w:t>
      </w:r>
      <w:r>
        <w:rPr>
          <w:spacing w:val="-85"/>
        </w:rPr>
        <w:t> </w:t>
      </w:r>
      <w:r>
        <w:rPr>
          <w:spacing w:val="-85"/>
        </w:rPr>
      </w:r>
      <w:r>
        <w:rPr/>
        <w:t>监事；控股子公司德能设计、云商天下监事；光一投资监事。</w:t>
      </w:r>
    </w:p>
    <w:p>
      <w:pPr>
        <w:pStyle w:val="BodyText"/>
        <w:spacing w:line="408" w:lineRule="auto"/>
        <w:ind w:right="1130" w:firstLine="420"/>
        <w:jc w:val="both"/>
      </w:pPr>
      <w:r>
        <w:rPr>
          <w:rFonts w:ascii="宋体" w:hAnsi="宋体" w:cs="宋体" w:eastAsia="宋体" w:hint="default"/>
          <w:spacing w:val="-1"/>
        </w:rPr>
        <w:t>10</w:t>
      </w:r>
      <w:r>
        <w:rPr>
          <w:spacing w:val="-1"/>
        </w:rPr>
        <w:t>、监事钱卫民先生，</w:t>
      </w:r>
      <w:r>
        <w:rPr>
          <w:rFonts w:ascii="宋体" w:hAnsi="宋体" w:cs="宋体" w:eastAsia="宋体" w:hint="default"/>
          <w:spacing w:val="-1"/>
        </w:rPr>
        <w:t>1987</w:t>
      </w:r>
      <w:r>
        <w:rPr>
          <w:spacing w:val="-1"/>
        </w:rPr>
        <w:t>年毕业于南京大学理论物理专业，大学本科学历，高级工程师。</w:t>
      </w:r>
      <w:r>
        <w:rPr>
          <w:rFonts w:ascii="宋体" w:hAnsi="宋体" w:cs="宋体" w:eastAsia="宋体" w:hint="default"/>
          <w:spacing w:val="-1"/>
        </w:rPr>
        <w:t>2010</w:t>
      </w:r>
      <w:r>
        <w:rPr>
          <w:spacing w:val="-1"/>
        </w:rPr>
        <w:t>年</w:t>
      </w:r>
      <w:r>
        <w:rPr>
          <w:rFonts w:ascii="宋体" w:hAnsi="宋体" w:cs="宋体" w:eastAsia="宋体" w:hint="default"/>
          <w:spacing w:val="-1"/>
        </w:rPr>
        <w:t>12</w:t>
      </w:r>
      <w:r>
        <w:rPr>
          <w:rFonts w:ascii="宋体" w:hAnsi="宋体" w:cs="宋体" w:eastAsia="宋体" w:hint="default"/>
        </w:rPr>
        <w:t> </w:t>
      </w:r>
      <w:r>
        <w:rPr>
          <w:spacing w:val="-1"/>
        </w:rPr>
        <w:t>月至</w:t>
      </w:r>
      <w:r>
        <w:rPr>
          <w:rFonts w:ascii="宋体" w:hAnsi="宋体" w:cs="宋体" w:eastAsia="宋体" w:hint="default"/>
          <w:spacing w:val="-1"/>
        </w:rPr>
        <w:t>2012</w:t>
      </w:r>
      <w:r>
        <w:rPr>
          <w:spacing w:val="-1"/>
        </w:rPr>
        <w:t>年</w:t>
      </w:r>
      <w:r>
        <w:rPr>
          <w:rFonts w:ascii="宋体" w:hAnsi="宋体" w:cs="宋体" w:eastAsia="宋体" w:hint="default"/>
          <w:spacing w:val="-1"/>
        </w:rPr>
        <w:t>7</w:t>
      </w:r>
      <w:r>
        <w:rPr>
          <w:spacing w:val="-1"/>
        </w:rPr>
        <w:t>月任上海彩码信息科技有限公司总工程师；</w:t>
      </w:r>
      <w:r>
        <w:rPr>
          <w:rFonts w:ascii="宋体" w:hAnsi="宋体" w:cs="宋体" w:eastAsia="宋体" w:hint="default"/>
          <w:spacing w:val="-1"/>
        </w:rPr>
        <w:t>2012</w:t>
      </w:r>
      <w:r>
        <w:rPr>
          <w:spacing w:val="-1"/>
        </w:rPr>
        <w:t>年</w:t>
      </w:r>
      <w:r>
        <w:rPr>
          <w:rFonts w:ascii="宋体" w:hAnsi="宋体" w:cs="宋体" w:eastAsia="宋体" w:hint="default"/>
          <w:spacing w:val="-1"/>
        </w:rPr>
        <w:t>8</w:t>
      </w:r>
      <w:r>
        <w:rPr>
          <w:spacing w:val="-1"/>
        </w:rPr>
        <w:t>月至今任控股子公司云商天下董事、总经</w:t>
      </w:r>
      <w:r>
        <w:rPr>
          <w:spacing w:val="-80"/>
        </w:rPr>
        <w:t> </w:t>
      </w:r>
      <w:r>
        <w:rPr>
          <w:spacing w:val="-80"/>
        </w:rPr>
      </w:r>
      <w:r>
        <w:rPr/>
        <w:t>理；</w:t>
      </w:r>
      <w:r>
        <w:rPr>
          <w:rFonts w:ascii="宋体" w:hAnsi="宋体" w:cs="宋体" w:eastAsia="宋体" w:hint="default"/>
        </w:rPr>
        <w:t>2015</w:t>
      </w:r>
      <w:r>
        <w:rPr/>
        <w:t>年</w:t>
      </w:r>
      <w:r>
        <w:rPr>
          <w:rFonts w:ascii="宋体" w:hAnsi="宋体" w:cs="宋体" w:eastAsia="宋体" w:hint="default"/>
        </w:rPr>
        <w:t>7</w:t>
      </w:r>
      <w:r>
        <w:rPr/>
        <w:t>月至今任贵州健康云科技执行董事、总经理；光一科技第三届、第四届监事会监事。钱卫民</w:t>
      </w:r>
      <w:r>
        <w:rPr>
          <w:spacing w:val="-33"/>
        </w:rPr>
        <w:t> </w:t>
      </w:r>
      <w:r>
        <w:rPr>
          <w:spacing w:val="-33"/>
        </w:rPr>
      </w:r>
      <w:r>
        <w:rPr/>
        <w:t>先生主要负责控股子公司云商天下的经营管理工作。</w:t>
      </w:r>
    </w:p>
    <w:p>
      <w:pPr>
        <w:pStyle w:val="BodyText"/>
        <w:spacing w:line="408" w:lineRule="auto"/>
        <w:ind w:right="1133" w:firstLine="420"/>
        <w:jc w:val="both"/>
      </w:pPr>
      <w:r>
        <w:rPr>
          <w:rFonts w:ascii="宋体" w:hAnsi="宋体" w:cs="宋体" w:eastAsia="宋体" w:hint="default"/>
          <w:spacing w:val="-1"/>
        </w:rPr>
        <w:t>11</w:t>
      </w:r>
      <w:r>
        <w:rPr>
          <w:spacing w:val="-1"/>
        </w:rPr>
        <w:t>、职工监事葛兹俊先生，</w:t>
      </w:r>
      <w:r>
        <w:rPr>
          <w:rFonts w:ascii="宋体" w:hAnsi="宋体" w:cs="宋体" w:eastAsia="宋体" w:hint="default"/>
          <w:spacing w:val="-1"/>
        </w:rPr>
        <w:t>1982</w:t>
      </w:r>
      <w:r>
        <w:rPr>
          <w:spacing w:val="-1"/>
        </w:rPr>
        <w:t>年毕业于河海大学电子计算机专业，大学本科学历，电子信息工程高</w:t>
      </w:r>
      <w:r>
        <w:rPr/>
        <w:t> </w:t>
      </w:r>
      <w:r>
        <w:rPr>
          <w:spacing w:val="-1"/>
        </w:rPr>
        <w:t>级工程师。</w:t>
      </w:r>
      <w:r>
        <w:rPr>
          <w:rFonts w:ascii="宋体" w:hAnsi="宋体" w:cs="宋体" w:eastAsia="宋体" w:hint="default"/>
          <w:spacing w:val="-1"/>
        </w:rPr>
        <w:t>2010</w:t>
      </w:r>
      <w:r>
        <w:rPr>
          <w:spacing w:val="-1"/>
        </w:rPr>
        <w:t>年至今任公司项目申报主管、高级工程师。葛兹俊先生主要负责公司项目、资质的申报工</w:t>
      </w:r>
      <w:r>
        <w:rPr>
          <w:spacing w:val="-84"/>
        </w:rPr>
        <w:t> </w:t>
      </w:r>
      <w:r>
        <w:rPr>
          <w:spacing w:val="-84"/>
        </w:rPr>
      </w:r>
      <w:r>
        <w:rPr/>
        <w:t>作。</w:t>
      </w:r>
    </w:p>
    <w:p>
      <w:pPr>
        <w:pStyle w:val="BodyText"/>
        <w:spacing w:line="240" w:lineRule="auto"/>
        <w:ind w:left="574" w:right="0"/>
        <w:jc w:val="left"/>
      </w:pPr>
      <w:r>
        <w:rPr>
          <w:rFonts w:ascii="宋体" w:hAnsi="宋体" w:cs="宋体" w:eastAsia="宋体" w:hint="default"/>
        </w:rPr>
        <w:t>12</w:t>
      </w:r>
      <w:r>
        <w:rPr/>
        <w:t>、副总经理李宝亮先生，</w:t>
      </w:r>
      <w:r>
        <w:rPr>
          <w:rFonts w:ascii="宋体" w:hAnsi="宋体" w:cs="宋体" w:eastAsia="宋体" w:hint="default"/>
        </w:rPr>
        <w:t>2001</w:t>
      </w:r>
      <w:r>
        <w:rPr/>
        <w:t>年毕业于南京理工大学机械电子工程专业，本科学历，中级工程师。</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2009</w:t>
      </w:r>
      <w:r>
        <w:rPr/>
        <w:t>年至</w:t>
      </w:r>
      <w:r>
        <w:rPr>
          <w:rFonts w:ascii="宋体" w:hAnsi="宋体" w:cs="宋体" w:eastAsia="宋体" w:hint="default"/>
        </w:rPr>
        <w:t>2011</w:t>
      </w:r>
      <w:r>
        <w:rPr/>
        <w:t>年任江苏通驰自动化系统有限公司总经理；</w:t>
      </w:r>
      <w:r>
        <w:rPr>
          <w:rFonts w:ascii="宋体" w:hAnsi="宋体" w:cs="宋体" w:eastAsia="宋体" w:hint="default"/>
        </w:rPr>
        <w:t>2012</w:t>
      </w:r>
      <w:r>
        <w:rPr/>
        <w:t>年至</w:t>
      </w:r>
      <w:r>
        <w:rPr>
          <w:rFonts w:ascii="宋体" w:hAnsi="宋体" w:cs="宋体" w:eastAsia="宋体" w:hint="default"/>
        </w:rPr>
        <w:t>2014</w:t>
      </w:r>
      <w:r>
        <w:rPr/>
        <w:t>年任国电南瑞三能电力仪表有限公</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22"/>
        <w:jc w:val="left"/>
      </w:pPr>
      <w:r>
        <w:rPr/>
        <w:t>司总经理；</w:t>
      </w:r>
      <w:r>
        <w:rPr>
          <w:rFonts w:ascii="宋体" w:hAnsi="宋体" w:cs="宋体" w:eastAsia="宋体" w:hint="default"/>
        </w:rPr>
        <w:t>2015</w:t>
      </w:r>
      <w:r>
        <w:rPr/>
        <w:t>年至</w:t>
      </w:r>
      <w:r>
        <w:rPr>
          <w:rFonts w:ascii="宋体" w:hAnsi="宋体" w:cs="宋体" w:eastAsia="宋体" w:hint="default"/>
        </w:rPr>
        <w:t>2019</w:t>
      </w:r>
      <w:r>
        <w:rPr/>
        <w:t>年</w:t>
      </w:r>
      <w:r>
        <w:rPr>
          <w:rFonts w:ascii="宋体" w:hAnsi="宋体" w:cs="宋体" w:eastAsia="宋体" w:hint="default"/>
        </w:rPr>
        <w:t>3</w:t>
      </w:r>
      <w:r>
        <w:rPr/>
        <w:t>月任光一科技智能终端事业部总经理，第三届董事会副总经理。目前，李宝</w:t>
      </w:r>
      <w:r>
        <w:rPr>
          <w:spacing w:val="-36"/>
        </w:rPr>
        <w:t> </w:t>
      </w:r>
      <w:r>
        <w:rPr>
          <w:spacing w:val="-36"/>
        </w:rPr>
      </w:r>
      <w:r>
        <w:rPr/>
        <w:t>亮先生任期届满不在公司继续任职。</w:t>
      </w:r>
    </w:p>
    <w:p>
      <w:pPr>
        <w:pStyle w:val="BodyText"/>
        <w:spacing w:line="408" w:lineRule="auto"/>
        <w:ind w:right="1131" w:firstLine="420"/>
        <w:jc w:val="both"/>
      </w:pPr>
      <w:r>
        <w:rPr>
          <w:rFonts w:ascii="宋体" w:hAnsi="宋体" w:cs="宋体" w:eastAsia="宋体" w:hint="default"/>
          <w:spacing w:val="-5"/>
        </w:rPr>
        <w:t>13</w:t>
      </w:r>
      <w:r>
        <w:rPr>
          <w:spacing w:val="-5"/>
        </w:rPr>
        <w:t>、副总经理汪梦余先生，</w:t>
      </w:r>
      <w:r>
        <w:rPr>
          <w:rFonts w:ascii="宋体" w:hAnsi="宋体" w:cs="宋体" w:eastAsia="宋体" w:hint="default"/>
          <w:spacing w:val="-5"/>
        </w:rPr>
        <w:t>1992</w:t>
      </w:r>
      <w:r>
        <w:rPr>
          <w:spacing w:val="-5"/>
        </w:rPr>
        <w:t>年毕业于安徽工程大学，硕士研究生学历，高级工程师。</w:t>
      </w:r>
      <w:r>
        <w:rPr>
          <w:rFonts w:ascii="宋体" w:hAnsi="宋体" w:cs="宋体" w:eastAsia="宋体" w:hint="default"/>
          <w:spacing w:val="-5"/>
        </w:rPr>
        <w:t>2004</w:t>
      </w:r>
      <w:r>
        <w:rPr>
          <w:spacing w:val="-5"/>
        </w:rPr>
        <w:t>年至</w:t>
      </w:r>
      <w:r>
        <w:rPr>
          <w:rFonts w:ascii="宋体" w:hAnsi="宋体" w:cs="宋体" w:eastAsia="宋体" w:hint="default"/>
          <w:spacing w:val="-5"/>
        </w:rPr>
        <w:t>2009</w:t>
      </w:r>
      <w:r>
        <w:rPr>
          <w:rFonts w:ascii="宋体" w:hAnsi="宋体" w:cs="宋体" w:eastAsia="宋体" w:hint="default"/>
        </w:rPr>
        <w:t> </w:t>
      </w:r>
      <w:r>
        <w:rPr>
          <w:spacing w:val="-1"/>
        </w:rPr>
        <w:t>年任光一有限软件工程师、应用开发部经理、研发中心主任助理；</w:t>
      </w:r>
      <w:r>
        <w:rPr>
          <w:rFonts w:ascii="宋体" w:hAnsi="宋体" w:cs="宋体" w:eastAsia="宋体" w:hint="default"/>
          <w:spacing w:val="-1"/>
        </w:rPr>
        <w:t>2010</w:t>
      </w:r>
      <w:r>
        <w:rPr>
          <w:spacing w:val="-1"/>
        </w:rPr>
        <w:t>年至</w:t>
      </w:r>
      <w:r>
        <w:rPr>
          <w:rFonts w:ascii="宋体" w:hAnsi="宋体" w:cs="宋体" w:eastAsia="宋体" w:hint="default"/>
          <w:spacing w:val="-1"/>
        </w:rPr>
        <w:t>2014</w:t>
      </w:r>
      <w:r>
        <w:rPr>
          <w:spacing w:val="-1"/>
        </w:rPr>
        <w:t>年任光一科技研发中心主</w:t>
      </w:r>
      <w:r>
        <w:rPr>
          <w:spacing w:val="-80"/>
        </w:rPr>
        <w:t> </w:t>
      </w:r>
      <w:r>
        <w:rPr>
          <w:spacing w:val="-80"/>
        </w:rPr>
      </w:r>
      <w:r>
        <w:rPr>
          <w:spacing w:val="-1"/>
        </w:rPr>
        <w:t>任、终端事业部副总经理；光一科技技术研究院院长、终端事业部副总经理；第三届董事会副总经理。汪</w:t>
      </w:r>
      <w:r>
        <w:rPr>
          <w:spacing w:val="-83"/>
        </w:rPr>
        <w:t> </w:t>
      </w:r>
      <w:r>
        <w:rPr>
          <w:spacing w:val="-83"/>
        </w:rPr>
      </w:r>
      <w:r>
        <w:rPr/>
        <w:t>梦余先生任期届满，继续在公司分管研发工作。</w:t>
      </w:r>
    </w:p>
    <w:p>
      <w:pPr>
        <w:pStyle w:val="BodyText"/>
        <w:spacing w:line="240" w:lineRule="auto"/>
        <w:ind w:left="574" w:right="0"/>
        <w:jc w:val="left"/>
      </w:pPr>
      <w:r>
        <w:rPr>
          <w:rFonts w:ascii="宋体" w:hAnsi="宋体" w:cs="宋体" w:eastAsia="宋体" w:hint="default"/>
          <w:spacing w:val="-5"/>
        </w:rPr>
        <w:t>14</w:t>
      </w:r>
      <w:r>
        <w:rPr>
          <w:spacing w:val="-5"/>
        </w:rPr>
        <w:t>、原财务总监周振娟女士，</w:t>
      </w:r>
      <w:r>
        <w:rPr>
          <w:rFonts w:ascii="宋体" w:hAnsi="宋体" w:cs="宋体" w:eastAsia="宋体" w:hint="default"/>
          <w:spacing w:val="-5"/>
        </w:rPr>
        <w:t>1999</w:t>
      </w:r>
      <w:r>
        <w:rPr>
          <w:spacing w:val="-5"/>
        </w:rPr>
        <w:t>年毕业于南京大学行政管理专业，东南大学</w:t>
      </w:r>
      <w:r>
        <w:rPr>
          <w:rFonts w:ascii="宋体" w:hAnsi="宋体" w:cs="宋体" w:eastAsia="宋体" w:hint="default"/>
          <w:spacing w:val="-5"/>
        </w:rPr>
        <w:t>EMBA</w:t>
      </w:r>
      <w:r>
        <w:rPr>
          <w:spacing w:val="-5"/>
        </w:rPr>
        <w:t>在读，高级会计师。</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rFonts w:ascii="宋体" w:hAnsi="宋体" w:cs="宋体" w:eastAsia="宋体" w:hint="default"/>
          <w:spacing w:val="-3"/>
        </w:rPr>
        <w:t>2010</w:t>
      </w:r>
      <w:r>
        <w:rPr>
          <w:spacing w:val="-3"/>
        </w:rPr>
        <w:t>年至</w:t>
      </w:r>
      <w:r>
        <w:rPr>
          <w:rFonts w:ascii="宋体" w:hAnsi="宋体" w:cs="宋体" w:eastAsia="宋体" w:hint="default"/>
          <w:spacing w:val="-3"/>
        </w:rPr>
        <w:t>2011</w:t>
      </w:r>
      <w:r>
        <w:rPr>
          <w:spacing w:val="-3"/>
        </w:rPr>
        <w:t>年任公司审计经理；</w:t>
      </w:r>
      <w:r>
        <w:rPr>
          <w:rFonts w:ascii="宋体" w:hAnsi="宋体" w:cs="宋体" w:eastAsia="宋体" w:hint="default"/>
          <w:spacing w:val="-3"/>
        </w:rPr>
        <w:t>2012</w:t>
      </w:r>
      <w:r>
        <w:rPr>
          <w:spacing w:val="-3"/>
        </w:rPr>
        <w:t>年至</w:t>
      </w:r>
      <w:r>
        <w:rPr>
          <w:rFonts w:ascii="宋体" w:hAnsi="宋体" w:cs="宋体" w:eastAsia="宋体" w:hint="default"/>
          <w:spacing w:val="-3"/>
        </w:rPr>
        <w:t>2014</w:t>
      </w:r>
      <w:r>
        <w:rPr>
          <w:spacing w:val="-3"/>
        </w:rPr>
        <w:t>年任公司财务经理；</w:t>
      </w:r>
      <w:r>
        <w:rPr>
          <w:rFonts w:ascii="宋体" w:hAnsi="宋体" w:cs="宋体" w:eastAsia="宋体" w:hint="default"/>
          <w:spacing w:val="-3"/>
        </w:rPr>
        <w:t>2014</w:t>
      </w:r>
      <w:r>
        <w:rPr>
          <w:spacing w:val="-3"/>
        </w:rPr>
        <w:t>年至</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月任公司财务总监。</w:t>
      </w:r>
      <w:r>
        <w:rPr>
          <w:spacing w:val="-59"/>
        </w:rPr>
        <w:t> </w:t>
      </w:r>
      <w:r>
        <w:rPr>
          <w:spacing w:val="-59"/>
        </w:rPr>
      </w:r>
      <w:r>
        <w:rPr/>
        <w:t>目前，周振娟女士不在公司任职。</w:t>
      </w:r>
    </w:p>
    <w:p>
      <w:pPr>
        <w:pStyle w:val="BodyText"/>
        <w:spacing w:line="240" w:lineRule="auto"/>
        <w:ind w:right="1122"/>
        <w:jc w:val="left"/>
      </w:pPr>
      <w:r>
        <w:rPr/>
        <w:t>在股东单位任职情况</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202"/>
        <w:gridCol w:w="2910"/>
        <w:gridCol w:w="1559"/>
        <w:gridCol w:w="1560"/>
        <w:gridCol w:w="1276"/>
        <w:gridCol w:w="1417"/>
      </w:tblGrid>
      <w:tr>
        <w:trPr>
          <w:trHeight w:val="727" w:hRule="exact"/>
        </w:trPr>
        <w:tc>
          <w:tcPr>
            <w:tcW w:w="120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1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160" w:right="61"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2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任昌兆</w:t>
            </w:r>
          </w:p>
        </w:tc>
        <w:tc>
          <w:tcPr>
            <w:tcW w:w="29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湖北乾瀚投资有限公司</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63"/>
        <w:ind w:right="1122"/>
        <w:jc w:val="left"/>
      </w:pPr>
      <w:r>
        <w:rPr/>
        <w:t>在其他单位任职情况</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202"/>
        <w:gridCol w:w="2910"/>
        <w:gridCol w:w="1559"/>
        <w:gridCol w:w="1560"/>
        <w:gridCol w:w="1559"/>
        <w:gridCol w:w="1133"/>
      </w:tblGrid>
      <w:tr>
        <w:trPr>
          <w:trHeight w:val="958" w:hRule="exact"/>
        </w:trPr>
        <w:tc>
          <w:tcPr>
            <w:tcW w:w="120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91" w:right="50"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1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110" w:right="98"/>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贵州贵银投资有限公司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天擎华媒（北京）科技有限公司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177" w:right="96" w:hanging="1080"/>
              <w:jc w:val="left"/>
              <w:rPr>
                <w:rFonts w:ascii="宋体" w:hAnsi="宋体" w:cs="宋体" w:eastAsia="宋体" w:hint="default"/>
                <w:sz w:val="18"/>
                <w:szCs w:val="18"/>
              </w:rPr>
            </w:pPr>
            <w:r>
              <w:rPr>
                <w:rFonts w:ascii="宋体" w:hAnsi="宋体" w:cs="宋体" w:eastAsia="宋体" w:hint="default"/>
                <w:sz w:val="18"/>
                <w:szCs w:val="18"/>
              </w:rPr>
              <w:t>江苏光一贵仁股权投资基金管理有 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中云文化大数据科技有限公司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9"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87" w:right="-5" w:hanging="1067"/>
              <w:jc w:val="left"/>
              <w:rPr>
                <w:rFonts w:ascii="宋体" w:hAnsi="宋体" w:cs="宋体" w:eastAsia="宋体" w:hint="default"/>
                <w:sz w:val="18"/>
                <w:szCs w:val="18"/>
              </w:rPr>
            </w:pPr>
            <w:r>
              <w:rPr>
                <w:rFonts w:ascii="宋体" w:hAnsi="宋体" w:cs="宋体" w:eastAsia="宋体" w:hint="default"/>
                <w:sz w:val="18"/>
                <w:szCs w:val="18"/>
              </w:rPr>
              <w:t>中广文影股权投资基金管理（上海） 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1" w:hRule="exact"/>
        </w:trPr>
        <w:tc>
          <w:tcPr>
            <w:tcW w:w="12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江苏光一德能电气工程有限公司</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202"/>
        <w:gridCol w:w="2910"/>
        <w:gridCol w:w="1559"/>
        <w:gridCol w:w="1560"/>
        <w:gridCol w:w="1559"/>
        <w:gridCol w:w="1133"/>
      </w:tblGrid>
      <w:tr>
        <w:trPr>
          <w:trHeight w:val="958" w:hRule="exact"/>
        </w:trPr>
        <w:tc>
          <w:tcPr>
            <w:tcW w:w="120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6"/>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591" w:right="50"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110" w:right="98"/>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鼎一科技有限公司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光一数道（北京）科技有限公司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江苏数道科技有限公司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总经理、董事长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江苏黔首网络科技有限公司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南京建盈鸿亿科技发展有限公司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87" w:right="366" w:hanging="720"/>
              <w:jc w:val="left"/>
              <w:rPr>
                <w:rFonts w:ascii="宋体" w:hAnsi="宋体" w:cs="宋体" w:eastAsia="宋体" w:hint="default"/>
                <w:sz w:val="18"/>
                <w:szCs w:val="18"/>
              </w:rPr>
            </w:pPr>
            <w:r>
              <w:rPr>
                <w:rFonts w:ascii="宋体" w:hAnsi="宋体" w:cs="宋体" w:eastAsia="宋体" w:hint="default"/>
                <w:sz w:val="18"/>
                <w:szCs w:val="18"/>
              </w:rPr>
              <w:t>广东今程光一电力科技有限 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戴晓东</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戴晓东</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武汉睿博电气有限责任公司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501" w:right="410" w:hanging="90"/>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戴晓东</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6"/>
              <w:jc w:val="center"/>
              <w:rPr>
                <w:rFonts w:ascii="宋体" w:hAnsi="宋体" w:cs="宋体" w:eastAsia="宋体" w:hint="default"/>
                <w:sz w:val="18"/>
                <w:szCs w:val="18"/>
              </w:rPr>
            </w:pPr>
            <w:r>
              <w:rPr>
                <w:rFonts w:ascii="宋体" w:hAnsi="宋体" w:cs="宋体" w:eastAsia="宋体" w:hint="default"/>
                <w:sz w:val="18"/>
                <w:szCs w:val="18"/>
              </w:rPr>
              <w:t>任昌兆</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任昌兆</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武汉联畅股权投资管理有限公司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熊  俊</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北京华康瑞宏投资有限公司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01" w:right="410" w:hanging="90"/>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熊  俊</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中复碳芯电缆科技有限公司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熊  俊</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深圳市金德安实业有限公司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茅  宁</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南京大学商学院</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教授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1989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茅  宁</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金陵饭店股份有限公司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茅  宁</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港中旅华贸国际物流股份有限公司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茅  宁</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南京栖霞建设股份有限公司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南京财经大学会计学院</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教授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芜湖亚夏汽车股份有限公司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江苏舜天股份有限公司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南京盛航海运股份有限公司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6"/>
              <w:jc w:val="center"/>
              <w:rPr>
                <w:rFonts w:ascii="宋体" w:hAnsi="宋体" w:cs="宋体" w:eastAsia="宋体" w:hint="default"/>
                <w:sz w:val="18"/>
                <w:szCs w:val="18"/>
              </w:rPr>
            </w:pPr>
            <w:r>
              <w:rPr>
                <w:rFonts w:ascii="宋体" w:hAnsi="宋体" w:cs="宋体" w:eastAsia="宋体" w:hint="default"/>
                <w:sz w:val="18"/>
                <w:szCs w:val="18"/>
              </w:rPr>
              <w:t>刘向明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国浩律师（南京）事务所</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刘向明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国电南瑞科技股份有限公司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46" w:hRule="exact"/>
        </w:trPr>
        <w:tc>
          <w:tcPr>
            <w:tcW w:w="12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刘向明</w:t>
            </w:r>
          </w:p>
        </w:tc>
        <w:tc>
          <w:tcPr>
            <w:tcW w:w="291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
              <w:ind w:left="1267" w:right="96" w:hanging="1170"/>
              <w:jc w:val="left"/>
              <w:rPr>
                <w:rFonts w:ascii="宋体" w:hAnsi="宋体" w:cs="宋体" w:eastAsia="宋体" w:hint="default"/>
                <w:sz w:val="18"/>
                <w:szCs w:val="18"/>
              </w:rPr>
            </w:pPr>
            <w:r>
              <w:rPr>
                <w:rFonts w:ascii="宋体" w:hAnsi="宋体" w:cs="宋体" w:eastAsia="宋体" w:hint="default"/>
                <w:sz w:val="18"/>
                <w:szCs w:val="18"/>
              </w:rPr>
              <w:t>沈阳蓝英工业自动化装备股份有限 公司</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202"/>
        <w:gridCol w:w="2910"/>
        <w:gridCol w:w="1559"/>
        <w:gridCol w:w="1560"/>
        <w:gridCol w:w="1559"/>
        <w:gridCol w:w="1133"/>
      </w:tblGrid>
      <w:tr>
        <w:trPr>
          <w:trHeight w:val="958" w:hRule="exact"/>
        </w:trPr>
        <w:tc>
          <w:tcPr>
            <w:tcW w:w="120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6"/>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591" w:right="50"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1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110" w:right="98"/>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江苏德能电气工程有限公司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钱卫民</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47" w:hRule="exact"/>
        </w:trPr>
        <w:tc>
          <w:tcPr>
            <w:tcW w:w="12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钱卫民</w:t>
            </w:r>
          </w:p>
        </w:tc>
        <w:tc>
          <w:tcPr>
            <w:tcW w:w="29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贵州健康云科技有限公司</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1"/>
              <w:ind w:left="501" w:right="410" w:hanging="90"/>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63"/>
        <w:ind w:right="1122"/>
        <w:jc w:val="left"/>
      </w:pPr>
      <w:r>
        <w:rPr/>
        <w:t>公司现任及报告期内离任董事、监事和高级管理人员近三年证券监管机构处罚的情况</w:t>
      </w:r>
    </w:p>
    <w:p>
      <w:pPr>
        <w:spacing w:line="240" w:lineRule="auto" w:before="10"/>
        <w:rPr>
          <w:rFonts w:ascii="宋体" w:hAnsi="宋体" w:cs="宋体" w:eastAsia="宋体" w:hint="default"/>
          <w:sz w:val="14"/>
          <w:szCs w:val="14"/>
        </w:rPr>
      </w:pPr>
    </w:p>
    <w:p>
      <w:pPr>
        <w:pStyle w:val="BodyText"/>
        <w:spacing w:line="408" w:lineRule="auto" w:before="0"/>
        <w:ind w:left="574" w:right="1127" w:hanging="420"/>
        <w:jc w:val="left"/>
        <w:rPr>
          <w:rFonts w:ascii="宋体" w:hAnsi="宋体" w:cs="宋体" w:eastAsia="宋体" w:hint="default"/>
        </w:rPr>
      </w:pPr>
      <w:r>
        <w:rPr/>
        <w:t>√ 适用 □</w:t>
      </w:r>
      <w:r>
        <w:rPr>
          <w:spacing w:val="-1"/>
        </w:rPr>
        <w:t> </w:t>
      </w:r>
      <w:r>
        <w:rPr/>
        <w:t>不适用</w:t>
      </w:r>
      <w:r>
        <w:rPr/>
        <w:t> </w:t>
      </w:r>
      <w:r>
        <w:rPr>
          <w:spacing w:val="-5"/>
        </w:rPr>
        <w:t>因商誉减值处理，公司</w:t>
      </w:r>
      <w:r>
        <w:rPr>
          <w:rFonts w:ascii="宋体" w:hAnsi="宋体" w:cs="宋体" w:eastAsia="宋体" w:hint="default"/>
          <w:spacing w:val="-5"/>
        </w:rPr>
        <w:t>2017</w:t>
      </w:r>
      <w:r>
        <w:rPr>
          <w:spacing w:val="-5"/>
        </w:rPr>
        <w:t>年度经营业绩与预告有差异，龙昌明先生、王海俊先生、周振娟女士于</w:t>
      </w:r>
      <w:r>
        <w:rPr>
          <w:rFonts w:ascii="宋体" w:hAnsi="宋体" w:cs="宋体" w:eastAsia="宋体" w:hint="default"/>
          <w:spacing w:val="-5"/>
        </w:rPr>
        <w:t>2019</w:t>
      </w:r>
    </w:p>
    <w:p>
      <w:pPr>
        <w:spacing w:line="381" w:lineRule="auto" w:before="46"/>
        <w:ind w:left="154" w:right="4242"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日被深圳证券交易所通报批评。 </w:t>
      </w:r>
      <w:bookmarkStart w:name="四、董事、监事、高级管理人员报酬情况" w:id="126"/>
      <w:bookmarkEnd w:id="126"/>
      <w:r>
        <w:rPr>
          <w:rFonts w:ascii="宋体" w:hAnsi="宋体" w:cs="宋体" w:eastAsia="宋体" w:hint="default"/>
          <w:sz w:val="21"/>
          <w:szCs w:val="21"/>
        </w:rPr>
      </w:r>
      <w:r>
        <w:rPr>
          <w:rFonts w:ascii="宋体" w:hAnsi="宋体" w:cs="宋体" w:eastAsia="宋体" w:hint="default"/>
          <w:b/>
          <w:bCs/>
          <w:sz w:val="24"/>
          <w:szCs w:val="24"/>
        </w:rPr>
        <w:t>四、董事、监事、高级管理人员报酬情况</w:t>
      </w:r>
      <w:r>
        <w:rPr>
          <w:rFonts w:ascii="宋体" w:hAnsi="宋体" w:cs="宋体" w:eastAsia="宋体" w:hint="default"/>
          <w:b/>
          <w:bCs/>
          <w:w w:val="99"/>
          <w:sz w:val="24"/>
          <w:szCs w:val="24"/>
        </w:rPr>
        <w:t> </w:t>
      </w:r>
      <w:r>
        <w:rPr>
          <w:rFonts w:ascii="宋体" w:hAnsi="宋体" w:cs="宋体" w:eastAsia="宋体" w:hint="default"/>
          <w:sz w:val="21"/>
          <w:szCs w:val="21"/>
        </w:rPr>
        <w:t>董事、监事、高级管理人员报酬的决策程序、确定依据、实际支付情况</w:t>
      </w:r>
    </w:p>
    <w:p>
      <w:pPr>
        <w:pStyle w:val="BodyText"/>
        <w:spacing w:line="408" w:lineRule="auto" w:before="69"/>
        <w:ind w:right="1131" w:firstLine="420"/>
        <w:jc w:val="both"/>
      </w:pPr>
      <w:r>
        <w:rPr>
          <w:spacing w:val="-1"/>
        </w:rPr>
        <w:t>关于薪酬的决策程序：公司董事、监事报酬按照《董事、监事薪酬管理制度》的规定执行，高级管理</w:t>
      </w:r>
      <w:r>
        <w:rPr/>
        <w:t> </w:t>
      </w:r>
      <w:r>
        <w:rPr>
          <w:spacing w:val="-1"/>
        </w:rPr>
        <w:t>人员报酬按照《高级管理人员薪酬管理制度》的规定执行；在公司任职的董事、监事、高级管理人员报酬</w:t>
      </w:r>
      <w:r>
        <w:rPr>
          <w:spacing w:val="-83"/>
        </w:rPr>
        <w:t> </w:t>
      </w:r>
      <w:r>
        <w:rPr>
          <w:spacing w:val="-83"/>
        </w:rPr>
      </w:r>
      <w:r>
        <w:rPr>
          <w:spacing w:val="-1"/>
        </w:rPr>
        <w:t>由公司支付，董事、监事不另外支付津贴。独立董事津贴依据股东大会决议支付，董事履责产生的差旅费</w:t>
      </w:r>
      <w:r>
        <w:rPr>
          <w:spacing w:val="-86"/>
        </w:rPr>
        <w:t> </w:t>
      </w:r>
      <w:r>
        <w:rPr>
          <w:spacing w:val="-86"/>
        </w:rPr>
      </w:r>
      <w:r>
        <w:rPr/>
        <w:t>及住宿费等据实报销。</w:t>
      </w:r>
    </w:p>
    <w:p>
      <w:pPr>
        <w:pStyle w:val="BodyText"/>
        <w:spacing w:line="408" w:lineRule="auto"/>
        <w:ind w:right="1122" w:firstLine="420"/>
        <w:jc w:val="left"/>
      </w:pPr>
      <w:r>
        <w:rPr>
          <w:spacing w:val="-1"/>
        </w:rPr>
        <w:t>关于薪酬的确定依据：根据公司盈利水平及董事、监事、高级管理人员的职责履行情况并结合年度绩</w:t>
      </w:r>
      <w:r>
        <w:rPr/>
        <w:t> 效完成情况综合确定。</w:t>
      </w:r>
    </w:p>
    <w:p>
      <w:pPr>
        <w:pStyle w:val="BodyText"/>
        <w:spacing w:line="408" w:lineRule="auto"/>
        <w:ind w:right="1122" w:firstLine="420"/>
        <w:jc w:val="left"/>
      </w:pPr>
      <w:r>
        <w:rPr>
          <w:spacing w:val="-1"/>
        </w:rPr>
        <w:t>实际支付情况：报告期内，在公司领取薪酬的董事、监事、高级管理人员有</w:t>
      </w:r>
      <w:r>
        <w:rPr>
          <w:rFonts w:ascii="宋体" w:hAnsi="宋体" w:cs="宋体" w:eastAsia="宋体" w:hint="default"/>
          <w:spacing w:val="-1"/>
        </w:rPr>
        <w:t>13</w:t>
      </w:r>
      <w:r>
        <w:rPr>
          <w:spacing w:val="-1"/>
        </w:rPr>
        <w:t>人，董事熊俊先生不在</w:t>
      </w:r>
      <w:r>
        <w:rPr/>
        <w:t> 公司领取薪酬、监事朱云飞先生在参股公司其厚电气领取薪酬，公司</w:t>
      </w:r>
      <w:r>
        <w:rPr>
          <w:rFonts w:ascii="宋体" w:hAnsi="宋体" w:cs="宋体" w:eastAsia="宋体" w:hint="default"/>
        </w:rPr>
        <w:t>2018</w:t>
      </w:r>
      <w:r>
        <w:rPr/>
        <w:t>年共计支付薪酬</w:t>
      </w:r>
      <w:r>
        <w:rPr>
          <w:rFonts w:ascii="宋体" w:hAnsi="宋体" w:cs="宋体" w:eastAsia="宋体" w:hint="default"/>
        </w:rPr>
        <w:t>321.06</w:t>
      </w:r>
      <w:r>
        <w:rPr/>
        <w:t>万元。 公司报告期内董事、监事和高级管理人员报酬情况</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70"/>
        <w:gridCol w:w="1367"/>
        <w:gridCol w:w="1367"/>
        <w:gridCol w:w="1367"/>
        <w:gridCol w:w="1368"/>
        <w:gridCol w:w="1367"/>
        <w:gridCol w:w="1366"/>
      </w:tblGrid>
      <w:tr>
        <w:trPr>
          <w:trHeight w:val="727" w:hRule="exact"/>
        </w:trPr>
        <w:tc>
          <w:tcPr>
            <w:tcW w:w="137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225" w:right="45"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51"/>
              <w:ind w:left="225" w:right="36"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52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45.35</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49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27.87</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13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任昌兆</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58</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r>
        <w:rPr/>
        <w:pict>
          <v:shape style="position:absolute;margin-left:187.580002pt;margin-top:109.43998pt;width:73.95pt;height:15.6pt;mso-position-horizontal-relative:page;mso-position-vertical-relative:page;z-index:-90383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93.880005pt;margin-top:109.43998pt;width:67.650pt;height:15.6pt;mso-position-horizontal-relative:page;mso-position-vertical-relative:page;z-index:-903808" coordorigin="3878,2189" coordsize="1353,312">
            <v:shape style="position:absolute;left:3878;top:2189;width:1353;height:312" coordorigin="3878,2189" coordsize="1353,312" path="m3878,2501l5230,2501,5230,2189,3878,2189,3878,2501xe" filled="true" fillcolor="#ffffff" stroked="false">
              <v:path arrowok="t"/>
              <v:fill type="solid"/>
            </v:shape>
            <w10:wrap type="none"/>
          </v:group>
        </w:pict>
      </w:r>
    </w:p>
    <w:tbl>
      <w:tblPr>
        <w:tblW w:w="0" w:type="auto"/>
        <w:jc w:val="left"/>
        <w:tblInd w:w="138" w:type="dxa"/>
        <w:tblLayout w:type="fixed"/>
        <w:tblCellMar>
          <w:top w:w="0" w:type="dxa"/>
          <w:left w:w="0" w:type="dxa"/>
          <w:bottom w:w="0" w:type="dxa"/>
          <w:right w:w="0" w:type="dxa"/>
        </w:tblCellMar>
        <w:tblLook w:val="01E0"/>
      </w:tblPr>
      <w:tblGrid>
        <w:gridCol w:w="1370"/>
        <w:gridCol w:w="1367"/>
        <w:gridCol w:w="327"/>
        <w:gridCol w:w="1040"/>
        <w:gridCol w:w="1367"/>
        <w:gridCol w:w="1368"/>
        <w:gridCol w:w="1367"/>
        <w:gridCol w:w="1366"/>
      </w:tblGrid>
      <w:tr>
        <w:trPr>
          <w:trHeight w:val="727" w:hRule="exact"/>
        </w:trPr>
        <w:tc>
          <w:tcPr>
            <w:tcW w:w="137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25" w:right="45"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225" w:right="36"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1031"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
              <w:jc w:val="center"/>
              <w:rPr>
                <w:rFonts w:ascii="宋体" w:hAnsi="宋体" w:cs="宋体" w:eastAsia="宋体" w:hint="default"/>
                <w:sz w:val="18"/>
                <w:szCs w:val="18"/>
              </w:rPr>
            </w:pPr>
            <w:r>
              <w:rPr>
                <w:rFonts w:ascii="宋体" w:hAnsi="宋体" w:cs="宋体" w:eastAsia="宋体" w:hint="default"/>
                <w:sz w:val="18"/>
                <w:szCs w:val="18"/>
              </w:rPr>
              <w:t>戴晓东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44" w:hanging="64"/>
              <w:jc w:val="center"/>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z w:val="18"/>
                <w:szCs w:val="18"/>
              </w:rPr>
              <w:t> 董事会秘书、财 务总监</w:t>
            </w:r>
          </w:p>
        </w:tc>
        <w:tc>
          <w:tcPr>
            <w:tcW w:w="327" w:type="dxa"/>
            <w:tcBorders>
              <w:top w:val="single" w:sz="6" w:space="0" w:color="000000"/>
              <w:left w:val="single" w:sz="6" w:space="0" w:color="000000"/>
              <w:bottom w:val="single" w:sz="6" w:space="0" w:color="000000"/>
              <w:right w:val="nil" w:sz="6" w:space="0" w:color="auto"/>
            </w:tcBorders>
          </w:tcPr>
          <w:p>
            <w:pPr/>
          </w:p>
        </w:tc>
        <w:tc>
          <w:tcPr>
            <w:tcW w:w="104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47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27.56</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熊  俊</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茅  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63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周友梅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58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刘向明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50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54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钱卫民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44</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葛兹俊</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23.58</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李宝亮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52.14</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汪梦余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48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36.36</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邱卫东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53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周振娟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42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17.2</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37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w:t>
            </w:r>
          </w:p>
        </w:tc>
        <w:tc>
          <w:tcPr>
            <w:tcW w:w="1367" w:type="dxa"/>
            <w:gridSpan w:val="2"/>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84"/>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14" w:space="0" w:color="D2D2D2"/>
              <w:bottom w:val="single" w:sz="12" w:space="0" w:color="000000"/>
              <w:right w:val="single" w:sz="8" w:space="0" w:color="D2D2D2"/>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321.06</w:t>
            </w:r>
          </w:p>
        </w:tc>
        <w:tc>
          <w:tcPr>
            <w:tcW w:w="136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84"/>
              <w:ind w:left="615"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3"/>
        <w:ind w:right="1122"/>
        <w:jc w:val="left"/>
      </w:pPr>
      <w:r>
        <w:rPr/>
        <w:t>公司董事、高级管理人员报告期内被授予的股权激励情况</w:t>
      </w:r>
    </w:p>
    <w:p>
      <w:pPr>
        <w:spacing w:line="240" w:lineRule="auto" w:before="10"/>
        <w:rPr>
          <w:rFonts w:ascii="宋体" w:hAnsi="宋体" w:cs="宋体" w:eastAsia="宋体" w:hint="default"/>
          <w:sz w:val="14"/>
          <w:szCs w:val="14"/>
        </w:rPr>
      </w:pPr>
    </w:p>
    <w:p>
      <w:pPr>
        <w:spacing w:line="381" w:lineRule="auto" w:before="0"/>
        <w:ind w:left="154" w:right="748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五、公司员工情况" w:id="127"/>
      <w:bookmarkEnd w:id="127"/>
      <w:r>
        <w:rPr>
          <w:rFonts w:ascii="宋体" w:hAnsi="宋体" w:cs="宋体" w:eastAsia="宋体" w:hint="default"/>
          <w:sz w:val="21"/>
          <w:szCs w:val="21"/>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28"/>
      <w:bookmarkEnd w:id="128"/>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before="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单位：人</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768"/>
        <w:gridCol w:w="4794"/>
      </w:tblGrid>
      <w:tr>
        <w:trPr>
          <w:trHeight w:val="414" w:hRule="exact"/>
        </w:trPr>
        <w:tc>
          <w:tcPr>
            <w:tcW w:w="47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母公司在职员工的数量</w:t>
            </w:r>
          </w:p>
        </w:tc>
        <w:tc>
          <w:tcPr>
            <w:tcW w:w="4794"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234</w:t>
            </w:r>
          </w:p>
        </w:tc>
      </w:tr>
      <w:tr>
        <w:trPr>
          <w:trHeight w:val="408"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主要子公司在职员工的数量</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691</w:t>
            </w:r>
          </w:p>
        </w:tc>
      </w:tr>
      <w:tr>
        <w:trPr>
          <w:trHeight w:val="407"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在职员工的数量合计</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925</w:t>
            </w:r>
          </w:p>
        </w:tc>
      </w:tr>
      <w:tr>
        <w:trPr>
          <w:trHeight w:val="407"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当期领取薪酬员工总人数</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925</w:t>
            </w:r>
          </w:p>
        </w:tc>
      </w:tr>
      <w:tr>
        <w:trPr>
          <w:trHeight w:val="415"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w:t>
            </w:r>
          </w:p>
        </w:tc>
      </w:tr>
      <w:tr>
        <w:trPr>
          <w:trHeight w:val="391" w:hRule="exact"/>
        </w:trPr>
        <w:tc>
          <w:tcPr>
            <w:tcW w:w="9562"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right="4"/>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15"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9"/>
              <w:ind w:left="18" w:right="0"/>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408"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260</w:t>
            </w:r>
          </w:p>
        </w:tc>
      </w:tr>
      <w:tr>
        <w:trPr>
          <w:trHeight w:val="407"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40</w:t>
            </w:r>
          </w:p>
        </w:tc>
      </w:tr>
      <w:tr>
        <w:trPr>
          <w:trHeight w:val="407"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194</w:t>
            </w:r>
          </w:p>
        </w:tc>
      </w:tr>
      <w:tr>
        <w:trPr>
          <w:trHeight w:val="407"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25</w:t>
            </w:r>
          </w:p>
        </w:tc>
      </w:tr>
      <w:tr>
        <w:trPr>
          <w:trHeight w:val="414" w:hRule="exact"/>
        </w:trPr>
        <w:tc>
          <w:tcPr>
            <w:tcW w:w="47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786"/>
        <w:gridCol w:w="4783"/>
      </w:tblGrid>
      <w:tr>
        <w:trPr>
          <w:trHeight w:val="415" w:hRule="exact"/>
        </w:trPr>
        <w:tc>
          <w:tcPr>
            <w:tcW w:w="478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96</w:t>
            </w:r>
          </w:p>
        </w:tc>
      </w:tr>
      <w:tr>
        <w:trPr>
          <w:trHeight w:val="407" w:hRule="exact"/>
        </w:trPr>
        <w:tc>
          <w:tcPr>
            <w:tcW w:w="4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工程人员</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229</w:t>
            </w:r>
          </w:p>
        </w:tc>
      </w:tr>
      <w:tr>
        <w:trPr>
          <w:trHeight w:val="413"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925</w:t>
            </w:r>
          </w:p>
        </w:tc>
      </w:tr>
      <w:tr>
        <w:trPr>
          <w:trHeight w:val="393" w:hRule="exact"/>
        </w:trPr>
        <w:tc>
          <w:tcPr>
            <w:tcW w:w="9569"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14"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9"/>
              <w:ind w:right="1845"/>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9"/>
              <w:ind w:left="2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7" w:hRule="exact"/>
        </w:trPr>
        <w:tc>
          <w:tcPr>
            <w:tcW w:w="4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1845"/>
              <w:jc w:val="right"/>
              <w:rPr>
                <w:rFonts w:ascii="宋体" w:hAnsi="宋体" w:cs="宋体" w:eastAsia="宋体" w:hint="default"/>
                <w:sz w:val="18"/>
                <w:szCs w:val="18"/>
              </w:rPr>
            </w:pPr>
            <w:r>
              <w:rPr>
                <w:rFonts w:ascii="宋体" w:hAnsi="宋体" w:cs="宋体" w:eastAsia="宋体" w:hint="default"/>
                <w:sz w:val="18"/>
                <w:szCs w:val="18"/>
              </w:rPr>
              <w:t>研究生及以上</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w:t>
            </w:r>
          </w:p>
        </w:tc>
      </w:tr>
      <w:tr>
        <w:trPr>
          <w:trHeight w:val="408" w:hRule="exact"/>
        </w:trPr>
        <w:tc>
          <w:tcPr>
            <w:tcW w:w="4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209</w:t>
            </w:r>
          </w:p>
        </w:tc>
      </w:tr>
      <w:tr>
        <w:trPr>
          <w:trHeight w:val="407" w:hRule="exact"/>
        </w:trPr>
        <w:tc>
          <w:tcPr>
            <w:tcW w:w="4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大学专科</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241</w:t>
            </w:r>
          </w:p>
        </w:tc>
      </w:tr>
      <w:tr>
        <w:trPr>
          <w:trHeight w:val="407" w:hRule="exact"/>
        </w:trPr>
        <w:tc>
          <w:tcPr>
            <w:tcW w:w="47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专科以下</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449</w:t>
            </w:r>
          </w:p>
        </w:tc>
      </w:tr>
      <w:tr>
        <w:trPr>
          <w:trHeight w:val="414"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925</w:t>
            </w:r>
          </w:p>
        </w:tc>
      </w:tr>
    </w:tbl>
    <w:p>
      <w:pPr>
        <w:pStyle w:val="Heading4"/>
        <w:spacing w:line="240" w:lineRule="auto" w:before="63"/>
        <w:ind w:right="1122"/>
        <w:jc w:val="left"/>
        <w:rPr>
          <w:b w:val="0"/>
          <w:bCs w:val="0"/>
        </w:rPr>
      </w:pPr>
      <w:bookmarkStart w:name="2、薪酬政策" w:id="129"/>
      <w:bookmarkEnd w:id="129"/>
      <w:r>
        <w:rPr>
          <w:b w:val="0"/>
          <w:bCs w:val="0"/>
        </w:rPr>
      </w:r>
      <w:r>
        <w:rPr>
          <w:rFonts w:ascii="宋体" w:hAnsi="宋体" w:cs="宋体" w:eastAsia="宋体" w:hint="default"/>
        </w:rPr>
        <w:t>2</w:t>
      </w:r>
      <w:r>
        <w:rPr/>
        <w:t>、薪酬政策</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33" w:firstLine="420"/>
        <w:jc w:val="both"/>
        <w:rPr>
          <w:rFonts w:ascii="宋体" w:hAnsi="宋体" w:cs="宋体" w:eastAsia="宋体" w:hint="default"/>
        </w:rPr>
      </w:pPr>
      <w:r>
        <w:rPr>
          <w:spacing w:val="-1"/>
        </w:rPr>
        <w:t>公司建立公平、公正的薪酬管理体系，发挥薪酬的激励作用，调动员工的工作积极性，促进员工和企</w:t>
      </w:r>
      <w:r>
        <w:rPr/>
        <w:t> </w:t>
      </w:r>
      <w:r>
        <w:rPr>
          <w:spacing w:val="-1"/>
        </w:rPr>
        <w:t>业的共同发展。在公司《薪酬管理制度》中明确可以采用年薪制、结构工资制等分配机制，员工薪酬由岗</w:t>
      </w:r>
      <w:r>
        <w:rPr>
          <w:spacing w:val="-83"/>
        </w:rPr>
        <w:t> </w:t>
      </w:r>
      <w:r>
        <w:rPr>
          <w:spacing w:val="-83"/>
        </w:rPr>
      </w:r>
      <w:r>
        <w:rPr>
          <w:spacing w:val="-1"/>
        </w:rPr>
        <w:t>位工资、绩效工资、各种补贴、考核奖金等部分组成，其中岗位工资根据岗位技能高低，岗位职责轻重等</w:t>
      </w:r>
      <w:r>
        <w:rPr>
          <w:spacing w:val="-83"/>
        </w:rPr>
        <w:t> </w:t>
      </w:r>
      <w:r>
        <w:rPr>
          <w:spacing w:val="-83"/>
        </w:rPr>
      </w:r>
      <w:r>
        <w:rPr>
          <w:spacing w:val="-5"/>
        </w:rPr>
        <w:t>因素具体确定，并随着岗位、工作年限、专业职称、绩效考核的变化而变动，体现一定的灵活性和激励性。</w:t>
      </w:r>
      <w:r>
        <w:rPr/>
        <w:t> </w:t>
      </w:r>
      <w:bookmarkStart w:name="3、培训计划" w:id="130"/>
      <w:bookmarkEnd w:id="130"/>
      <w:r>
        <w:rPr/>
      </w:r>
      <w:r>
        <w:rPr>
          <w:rFonts w:ascii="宋体" w:hAnsi="宋体" w:cs="宋体" w:eastAsia="宋体" w:hint="default"/>
          <w:b/>
          <w:bCs/>
        </w:rPr>
        <w:t>3</w:t>
      </w:r>
      <w:r>
        <w:rPr>
          <w:rFonts w:ascii="宋体" w:hAnsi="宋体" w:cs="宋体" w:eastAsia="宋体" w:hint="default"/>
          <w:b/>
          <w:bCs/>
        </w:rPr>
        <w:t>、培训计划</w:t>
      </w:r>
      <w:r>
        <w:rPr>
          <w:rFonts w:ascii="宋体" w:hAnsi="宋体" w:cs="宋体" w:eastAsia="宋体" w:hint="default"/>
        </w:rPr>
      </w:r>
    </w:p>
    <w:p>
      <w:pPr>
        <w:pStyle w:val="BodyText"/>
        <w:spacing w:line="408" w:lineRule="auto"/>
        <w:ind w:right="0" w:firstLine="420"/>
        <w:jc w:val="left"/>
      </w:pPr>
      <w:r>
        <w:rPr/>
        <w:t>报告期内，公司人力资源部根据公司战略目标及管理方向，结合各部门具体培训需求制定培训计划， 从员工春训、安全管理、质量管理、制度管理、知识产权、知识技能、上岗培训、资质证书培训等方面有 </w:t>
      </w:r>
      <w:r>
        <w:rPr>
          <w:spacing w:val="-5"/>
        </w:rPr>
        <w:t>针对性的开展各项培训工作。同时，在公司内部积极鼓励“能者为师”，通过内部分享机制开展办公软件、</w:t>
      </w:r>
      <w:r>
        <w:rPr>
          <w:spacing w:val="-102"/>
        </w:rPr>
        <w:t> </w:t>
      </w:r>
      <w:r>
        <w:rPr>
          <w:spacing w:val="-102"/>
        </w:rPr>
      </w:r>
      <w:r>
        <w:rPr/>
        <w:t>新</w:t>
      </w:r>
      <w:r>
        <w:rPr>
          <w:rFonts w:ascii="宋体" w:hAnsi="宋体" w:cs="宋体" w:eastAsia="宋体" w:hint="default"/>
        </w:rPr>
        <w:t>/</w:t>
      </w:r>
      <w:r>
        <w:rPr/>
        <w:t>老产品基础知识、班组质量体系管理、焊接工艺等专项培训课程，培训内容具体，培训形式多样，既</w:t>
      </w:r>
      <w:r>
        <w:rPr>
          <w:spacing w:val="-35"/>
        </w:rPr>
        <w:t> </w:t>
      </w:r>
      <w:r>
        <w:rPr>
          <w:spacing w:val="-35"/>
        </w:rPr>
      </w:r>
      <w:r>
        <w:rPr/>
        <w:t>激发员工广泛参与的积极性，又有效提升员工的综合素质和工作技能。</w:t>
      </w:r>
    </w:p>
    <w:p>
      <w:pPr>
        <w:pStyle w:val="Heading4"/>
        <w:spacing w:line="240" w:lineRule="auto" w:before="46"/>
        <w:ind w:right="1122"/>
        <w:jc w:val="left"/>
        <w:rPr>
          <w:b w:val="0"/>
          <w:bCs w:val="0"/>
        </w:rPr>
      </w:pPr>
      <w:bookmarkStart w:name="4、劳务外包情况" w:id="131"/>
      <w:bookmarkEnd w:id="131"/>
      <w:r>
        <w:rPr>
          <w:b w:val="0"/>
          <w:bCs w:val="0"/>
        </w:rPr>
      </w:r>
      <w:r>
        <w:rPr>
          <w:rFonts w:ascii="宋体" w:hAnsi="宋体" w:cs="宋体" w:eastAsia="宋体" w:hint="default"/>
        </w:rPr>
        <w:t>4</w:t>
      </w:r>
      <w:r>
        <w:rPr/>
        <w:t>、劳务外包情况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786"/>
        <w:gridCol w:w="4783"/>
      </w:tblGrid>
      <w:tr>
        <w:trPr>
          <w:trHeight w:val="415"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120,646</w:t>
            </w:r>
          </w:p>
        </w:tc>
      </w:tr>
      <w:tr>
        <w:trPr>
          <w:trHeight w:val="414"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劳务外包支付的报酬总额</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2,833,737.00</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bookmarkStart w:name="一、公司治理的基本状况" w:id="134"/>
      <w:bookmarkEnd w:id="134"/>
      <w:r>
        <w:rPr>
          <w:b w:val="0"/>
          <w:bCs w:val="0"/>
        </w:rPr>
      </w:r>
      <w:r>
        <w:rPr/>
        <w:t>一、公司治理的基本状况</w:t>
      </w:r>
      <w:r>
        <w:rPr>
          <w:b w:val="0"/>
          <w:bCs w:val="0"/>
        </w:rPr>
      </w:r>
    </w:p>
    <w:p>
      <w:pPr>
        <w:pStyle w:val="BodyText"/>
        <w:spacing w:line="408" w:lineRule="auto" w:before="177"/>
        <w:ind w:right="1131" w:firstLine="424"/>
        <w:jc w:val="both"/>
      </w:pPr>
      <w:r>
        <w:rPr>
          <w:spacing w:val="-1"/>
        </w:rPr>
        <w:t>报告期内，公司严格按照《公司法》、《证券法》、《上市公司信息披露管理办法》、《深圳证券交</w:t>
      </w:r>
      <w:r>
        <w:rPr/>
        <w:t> </w:t>
      </w:r>
      <w:r>
        <w:rPr>
          <w:spacing w:val="-1"/>
        </w:rPr>
        <w:t>易所创业板股票上市规则》、《深圳证券交易所创业板上市公司规范运作指引》等有关法律、法规、业务</w:t>
      </w:r>
      <w:r>
        <w:rPr>
          <w:spacing w:val="-83"/>
        </w:rPr>
        <w:t> </w:t>
      </w:r>
      <w:r>
        <w:rPr>
          <w:spacing w:val="-83"/>
        </w:rPr>
      </w:r>
      <w:r>
        <w:rPr>
          <w:spacing w:val="-1"/>
        </w:rPr>
        <w:t>规则的有关规定，结合公司实际情况，进一步完善公司规范运作管理制度，加强内部控制制度建设，不断</w:t>
      </w:r>
      <w:r>
        <w:rPr>
          <w:spacing w:val="-86"/>
        </w:rPr>
        <w:t> </w:t>
      </w:r>
      <w:r>
        <w:rPr>
          <w:spacing w:val="-86"/>
        </w:rPr>
      </w:r>
      <w:r>
        <w:rPr/>
        <w:t>规范公司运作，提高公司治理水平。</w:t>
      </w:r>
    </w:p>
    <w:p>
      <w:pPr>
        <w:pStyle w:val="BodyText"/>
        <w:spacing w:line="408" w:lineRule="auto"/>
        <w:ind w:left="578" w:right="1132"/>
        <w:jc w:val="left"/>
      </w:pPr>
      <w:r>
        <w:rPr>
          <w:rFonts w:ascii="宋体" w:hAnsi="宋体" w:cs="宋体" w:eastAsia="宋体" w:hint="default"/>
        </w:rPr>
        <w:t>1</w:t>
      </w:r>
      <w:r>
        <w:rPr/>
        <w:t>、关于股东与股东大会 </w:t>
      </w:r>
      <w:r>
        <w:rPr>
          <w:spacing w:val="-1"/>
        </w:rPr>
        <w:t>公司股东按照《公司章程》、《上市公司股东大会规则》的规定按其所持股份享有平等地位，并承担</w:t>
      </w:r>
    </w:p>
    <w:p>
      <w:pPr>
        <w:pStyle w:val="BodyText"/>
        <w:spacing w:line="408" w:lineRule="auto"/>
        <w:ind w:right="1132"/>
        <w:jc w:val="both"/>
      </w:pPr>
      <w:r>
        <w:rPr>
          <w:spacing w:val="-1"/>
        </w:rPr>
        <w:t>相应义务。公司治理结构能够保证所有股东，特别是中小股东享有平等地位，确保股东合法行使权益，保</w:t>
      </w:r>
      <w:r>
        <w:rPr>
          <w:spacing w:val="-83"/>
        </w:rPr>
        <w:t> </w:t>
      </w:r>
      <w:r>
        <w:rPr>
          <w:spacing w:val="-83"/>
        </w:rPr>
      </w:r>
      <w:r>
        <w:rPr/>
        <w:t>证了股东对公司重大事项的知情权、参与权、表决权。</w:t>
      </w:r>
    </w:p>
    <w:p>
      <w:pPr>
        <w:pStyle w:val="BodyText"/>
        <w:spacing w:line="408" w:lineRule="auto"/>
        <w:ind w:right="1132" w:firstLine="424"/>
        <w:jc w:val="both"/>
      </w:pPr>
      <w:r>
        <w:rPr>
          <w:spacing w:val="-1"/>
        </w:rPr>
        <w:t>报告期内的股东大会均由董事会召集召开，并聘请律师进行现场见证，根据相关法律、行政法规、部</w:t>
      </w:r>
      <w:r>
        <w:rPr/>
        <w:t> </w:t>
      </w:r>
      <w:r>
        <w:rPr>
          <w:spacing w:val="-1"/>
        </w:rPr>
        <w:t>门规章、规范性文件及公司章程等规定应由股东大会表决的事项均按照相应的权限审批后交由股东大会审</w:t>
      </w:r>
      <w:r>
        <w:rPr>
          <w:spacing w:val="-81"/>
        </w:rPr>
        <w:t> </w:t>
      </w:r>
      <w:r>
        <w:rPr>
          <w:spacing w:val="-81"/>
        </w:rPr>
      </w:r>
      <w:r>
        <w:rPr/>
        <w:t>议，不存在越权审批或先实施后审议的情况。</w:t>
      </w:r>
    </w:p>
    <w:p>
      <w:pPr>
        <w:pStyle w:val="BodyText"/>
        <w:spacing w:line="408" w:lineRule="auto"/>
        <w:ind w:left="578" w:right="1132"/>
        <w:jc w:val="left"/>
      </w:pPr>
      <w:r>
        <w:rPr>
          <w:rFonts w:ascii="宋体" w:hAnsi="宋体" w:cs="宋体" w:eastAsia="宋体" w:hint="default"/>
        </w:rPr>
        <w:t>2</w:t>
      </w:r>
      <w:r>
        <w:rPr/>
        <w:t>、关于董事和董事会 </w:t>
      </w:r>
      <w:r>
        <w:rPr>
          <w:spacing w:val="-1"/>
        </w:rPr>
        <w:t>公司严格按照《公司法》、《公司章程》规定的选聘程序选举董事，公司董事会人数和人员构成符合</w:t>
      </w:r>
    </w:p>
    <w:p>
      <w:pPr>
        <w:pStyle w:val="BodyText"/>
        <w:spacing w:line="408" w:lineRule="auto"/>
        <w:ind w:right="1131"/>
        <w:jc w:val="both"/>
      </w:pPr>
      <w:r>
        <w:rPr>
          <w:spacing w:val="-1"/>
        </w:rPr>
        <w:t>法律、法规的要求，各位董事能够以认真负责的态度出席董事会和股东大会，从公司和全体股东的利益出</w:t>
      </w:r>
      <w:r>
        <w:rPr>
          <w:spacing w:val="-83"/>
        </w:rPr>
        <w:t> </w:t>
      </w:r>
      <w:r>
        <w:rPr>
          <w:spacing w:val="-83"/>
        </w:rPr>
      </w:r>
      <w:r>
        <w:rPr>
          <w:spacing w:val="-1"/>
        </w:rPr>
        <w:t>发，忠实履行职责，积极参加有关培训，学习有关法律法规，促进董事会规范运作和科学决策。董事会会</w:t>
      </w:r>
      <w:r>
        <w:rPr>
          <w:spacing w:val="-83"/>
        </w:rPr>
        <w:t> </w:t>
      </w:r>
      <w:r>
        <w:rPr>
          <w:spacing w:val="-83"/>
        </w:rPr>
      </w:r>
      <w:r>
        <w:rPr/>
        <w:t>议程序符合规定，会议记录完整、真实，会议相关信息披露及时、准确、充分。</w:t>
      </w:r>
    </w:p>
    <w:p>
      <w:pPr>
        <w:pStyle w:val="BodyText"/>
        <w:spacing w:line="408" w:lineRule="auto"/>
        <w:ind w:left="578" w:right="1132"/>
        <w:jc w:val="left"/>
      </w:pPr>
      <w:r>
        <w:rPr>
          <w:rFonts w:ascii="宋体" w:hAnsi="宋体" w:cs="宋体" w:eastAsia="宋体" w:hint="default"/>
        </w:rPr>
        <w:t>3</w:t>
      </w:r>
      <w:r>
        <w:rPr/>
        <w:t>、关于监事和监事会 </w:t>
      </w:r>
      <w:r>
        <w:rPr>
          <w:spacing w:val="-1"/>
        </w:rPr>
        <w:t>公司严格按照《公司法》、《公司章程》规定的选聘程序选举监事，公司监事会人数和人员构成符合</w:t>
      </w:r>
    </w:p>
    <w:p>
      <w:pPr>
        <w:pStyle w:val="BodyText"/>
        <w:spacing w:line="408" w:lineRule="auto"/>
        <w:ind w:right="1131"/>
        <w:jc w:val="both"/>
      </w:pPr>
      <w:r>
        <w:rPr>
          <w:spacing w:val="-1"/>
        </w:rPr>
        <w:t>法律、法规的要求。各位监事能够认真学习有关法律法规、积极参加相关业务培训、认真履行职责，本着</w:t>
      </w:r>
      <w:r>
        <w:rPr>
          <w:spacing w:val="-83"/>
        </w:rPr>
        <w:t> </w:t>
      </w:r>
      <w:r>
        <w:rPr>
          <w:spacing w:val="-83"/>
        </w:rPr>
      </w:r>
      <w:r>
        <w:rPr>
          <w:spacing w:val="-1"/>
        </w:rPr>
        <w:t>对全体股东尤其是中小股东负责的精神，对公司重大事项、关联交易、财务状况以及董事和其他高级管理</w:t>
      </w:r>
      <w:r>
        <w:rPr>
          <w:spacing w:val="-83"/>
        </w:rPr>
        <w:t> </w:t>
      </w:r>
      <w:r>
        <w:rPr>
          <w:spacing w:val="-83"/>
        </w:rPr>
      </w:r>
      <w:r>
        <w:rPr/>
        <w:t>人员履行职责的合法、合规性进行监督并发表独立意见，维护公司及股东的合法权益。</w:t>
      </w:r>
    </w:p>
    <w:p>
      <w:pPr>
        <w:pStyle w:val="BodyText"/>
        <w:spacing w:line="408" w:lineRule="auto"/>
        <w:ind w:left="578" w:right="1132"/>
        <w:jc w:val="left"/>
      </w:pPr>
      <w:r>
        <w:rPr>
          <w:rFonts w:ascii="宋体" w:hAnsi="宋体" w:cs="宋体" w:eastAsia="宋体" w:hint="default"/>
        </w:rPr>
        <w:t>4</w:t>
      </w:r>
      <w:r>
        <w:rPr/>
        <w:t>、关于绩效评价与激励约束机制 </w:t>
      </w:r>
      <w:r>
        <w:rPr>
          <w:spacing w:val="-1"/>
        </w:rPr>
        <w:t>公司建立并逐步完善公正、透明的董事、监事、高级管理人员的绩效评价标准与激励约束机制；高级</w:t>
      </w:r>
    </w:p>
    <w:p>
      <w:pPr>
        <w:pStyle w:val="BodyText"/>
        <w:spacing w:line="408" w:lineRule="auto"/>
        <w:ind w:left="578" w:right="5293" w:hanging="425"/>
        <w:jc w:val="left"/>
      </w:pPr>
      <w:r>
        <w:rPr/>
        <w:t>管理人员的聘任公开、透明，符合相关法律、法规的规定。 </w:t>
      </w:r>
      <w:r>
        <w:rPr>
          <w:rFonts w:ascii="宋体" w:hAnsi="宋体" w:cs="宋体" w:eastAsia="宋体" w:hint="default"/>
        </w:rPr>
        <w:t>5</w:t>
      </w:r>
      <w:r>
        <w:rPr/>
        <w:t>、关于相关利益者</w:t>
      </w:r>
    </w:p>
    <w:p>
      <w:pPr>
        <w:pStyle w:val="BodyText"/>
        <w:spacing w:line="240" w:lineRule="auto"/>
        <w:ind w:left="578" w:right="0"/>
        <w:jc w:val="left"/>
      </w:pPr>
      <w:r>
        <w:rPr>
          <w:spacing w:val="-3"/>
        </w:rPr>
        <w:t>公司能够充分尊重和维护相关利益者的合法权益，积极与相关利益者合作，加强与各方的沟通和交流，</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8" w:right="1132" w:hanging="425"/>
        <w:jc w:val="left"/>
      </w:pPr>
      <w:r>
        <w:rPr/>
        <w:t>实现社会、股东、公司、员工等各方利益的协调平衡，推动公司持续、稳定、健康发展。 </w:t>
      </w:r>
      <w:r>
        <w:rPr>
          <w:rFonts w:ascii="宋体" w:hAnsi="宋体" w:cs="宋体" w:eastAsia="宋体" w:hint="default"/>
        </w:rPr>
        <w:t>6</w:t>
      </w:r>
      <w:r>
        <w:rPr/>
        <w:t>、关于信息披露与透明度 </w:t>
      </w:r>
      <w:r>
        <w:rPr>
          <w:spacing w:val="-1"/>
        </w:rPr>
        <w:t>公司严格按照有关法律法规和《公司信息披露管理制度》的规定，加强信息披露事务管理，履行信息</w:t>
      </w:r>
    </w:p>
    <w:p>
      <w:pPr>
        <w:pStyle w:val="BodyText"/>
        <w:spacing w:line="408" w:lineRule="auto"/>
        <w:ind w:right="1133"/>
        <w:jc w:val="both"/>
      </w:pPr>
      <w:r>
        <w:rPr>
          <w:spacing w:val="-1"/>
        </w:rPr>
        <w:t>披露义务，并指定《证券时报》、《中国证券报》和中国证监会指定的创业板信息披露网站（巨潮资讯网</w:t>
      </w:r>
      <w:r>
        <w:rPr>
          <w:spacing w:val="-85"/>
        </w:rPr>
        <w:t> </w:t>
      </w:r>
      <w:r>
        <w:rPr>
          <w:spacing w:val="-85"/>
        </w:rPr>
      </w:r>
      <w:r>
        <w:rPr>
          <w:rFonts w:ascii="宋体" w:hAnsi="宋体" w:cs="宋体" w:eastAsia="宋体" w:hint="default"/>
          <w:color w:val="6C6C6C"/>
          <w:spacing w:val="-85"/>
        </w:rPr>
      </w:r>
      <w:hyperlink r:id="rId11">
        <w:r>
          <w:rPr>
            <w:rFonts w:ascii="宋体" w:hAnsi="宋体" w:cs="宋体" w:eastAsia="宋体" w:hint="default"/>
            <w:color w:val="6C6C6C"/>
            <w:u w:val="single" w:color="6C6C6C"/>
          </w:rPr>
          <w:t>www.cninfo.com.cn</w:t>
        </w:r>
        <w:r>
          <w:rPr>
            <w:rFonts w:ascii="宋体" w:hAnsi="宋体" w:cs="宋体" w:eastAsia="宋体" w:hint="default"/>
            <w:color w:val="6C6C6C"/>
          </w:rPr>
        </w:r>
      </w:hyperlink>
      <w:r>
        <w:rPr/>
        <w:t>）为公司信息披露报纸和网站，真实、准确、及时、完整的披露信息，确保所有投资</w:t>
      </w:r>
      <w:r>
        <w:rPr>
          <w:spacing w:val="-36"/>
        </w:rPr>
        <w:t> </w:t>
      </w:r>
      <w:r>
        <w:rPr>
          <w:spacing w:val="-36"/>
        </w:rPr>
      </w:r>
      <w:r>
        <w:rPr/>
        <w:t>者公平获取公司信息。</w:t>
      </w:r>
    </w:p>
    <w:p>
      <w:pPr>
        <w:spacing w:line="240" w:lineRule="auto" w:before="6"/>
        <w:rPr>
          <w:rFonts w:ascii="宋体" w:hAnsi="宋体" w:cs="宋体" w:eastAsia="宋体" w:hint="default"/>
          <w:sz w:val="15"/>
          <w:szCs w:val="15"/>
        </w:rPr>
      </w:pPr>
    </w:p>
    <w:p>
      <w:pPr>
        <w:pStyle w:val="BodyText"/>
        <w:spacing w:line="240" w:lineRule="auto" w:before="0"/>
        <w:ind w:right="1122"/>
        <w:jc w:val="left"/>
      </w:pPr>
      <w:r>
        <w:rPr/>
        <w:t>公司治理的实际状况与中国证监会发布的有关上市公司治理的规范性文件是否存在重大差异</w:t>
      </w:r>
    </w:p>
    <w:p>
      <w:pPr>
        <w:spacing w:line="240" w:lineRule="auto" w:before="10"/>
        <w:rPr>
          <w:rFonts w:ascii="宋体" w:hAnsi="宋体" w:cs="宋体" w:eastAsia="宋体" w:hint="default"/>
          <w:sz w:val="14"/>
          <w:szCs w:val="14"/>
        </w:rPr>
      </w:pPr>
    </w:p>
    <w:p>
      <w:pPr>
        <w:pStyle w:val="BodyText"/>
        <w:spacing w:line="408" w:lineRule="auto" w:before="0"/>
        <w:ind w:right="2352"/>
        <w:jc w:val="left"/>
      </w:pPr>
      <w:r>
        <w:rPr/>
        <w:t>□ 是 √ 否 公司治理的实际状况与中国证监会发布的有关上市公司治理的规范性文件不存在重大差异。</w:t>
      </w:r>
    </w:p>
    <w:p>
      <w:pPr>
        <w:pStyle w:val="Heading2"/>
        <w:spacing w:line="240" w:lineRule="auto" w:before="179"/>
        <w:ind w:right="1122"/>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pStyle w:val="BodyText"/>
        <w:spacing w:line="408" w:lineRule="auto" w:before="177"/>
        <w:ind w:right="1130" w:firstLine="441"/>
        <w:jc w:val="both"/>
      </w:pPr>
      <w:r>
        <w:rPr>
          <w:spacing w:val="-2"/>
        </w:rPr>
        <w:t>报告期内，公司严格按照《公司法》、《证券法》、《公司章程》及证券监管部门的有关规定正确处</w:t>
      </w:r>
      <w:r>
        <w:rPr/>
        <w:t> </w:t>
      </w:r>
      <w:r>
        <w:rPr>
          <w:spacing w:val="-1"/>
        </w:rPr>
        <w:t>理与控股股东的关系。公司控股股东根据法律法规的要求，依法行使其权利并承担相应义务，没有超越股</w:t>
      </w:r>
      <w:r>
        <w:rPr>
          <w:spacing w:val="-83"/>
        </w:rPr>
        <w:t> </w:t>
      </w:r>
      <w:r>
        <w:rPr>
          <w:spacing w:val="-83"/>
        </w:rPr>
      </w:r>
      <w:r>
        <w:rPr>
          <w:spacing w:val="-1"/>
        </w:rPr>
        <w:t>东大会直接或间接地干预公司的决策和经营活动。公司拥有独立完整的业务和自主经营能力，在业务、人</w:t>
      </w:r>
      <w:r>
        <w:rPr>
          <w:spacing w:val="-82"/>
        </w:rPr>
        <w:t> </w:t>
      </w:r>
      <w:r>
        <w:rPr>
          <w:spacing w:val="-82"/>
        </w:rPr>
      </w:r>
      <w:r>
        <w:rPr/>
        <w:t>员、资产、机构、财务上独立于控股股东，公司董事会、监事会和内部机构独立运作。</w:t>
      </w:r>
    </w:p>
    <w:p>
      <w:pPr>
        <w:pStyle w:val="Heading2"/>
        <w:spacing w:line="240" w:lineRule="auto" w:before="179"/>
        <w:ind w:right="1122"/>
        <w:jc w:val="left"/>
        <w:rPr>
          <w:b w:val="0"/>
          <w:bCs w:val="0"/>
        </w:rPr>
      </w:pPr>
      <w:bookmarkStart w:name="三、同业竞争情况" w:id="136"/>
      <w:bookmarkEnd w:id="136"/>
      <w:r>
        <w:rPr>
          <w:b w:val="0"/>
          <w:bCs w:val="0"/>
        </w:rPr>
      </w:r>
      <w:r>
        <w:rPr/>
        <w:t>三、同业竞争情况</w:t>
      </w:r>
      <w:r>
        <w:rPr>
          <w:b w:val="0"/>
          <w:bCs w:val="0"/>
        </w:rPr>
      </w:r>
    </w:p>
    <w:p>
      <w:pPr>
        <w:pStyle w:val="BodyText"/>
        <w:spacing w:line="240" w:lineRule="auto" w:before="177"/>
        <w:ind w:right="1122"/>
        <w:jc w:val="left"/>
      </w:pPr>
      <w:r>
        <w:rPr/>
        <w:t>□ 适用 √</w:t>
      </w:r>
      <w:r>
        <w:rPr>
          <w:spacing w:val="-1"/>
        </w:rPr>
        <w:t> </w:t>
      </w:r>
      <w:r>
        <w:rPr/>
        <w:t>不适用</w:t>
      </w:r>
    </w:p>
    <w:p>
      <w:pPr>
        <w:spacing w:line="240" w:lineRule="auto" w:before="12"/>
        <w:rPr>
          <w:rFonts w:ascii="宋体" w:hAnsi="宋体" w:cs="宋体" w:eastAsia="宋体" w:hint="default"/>
          <w:sz w:val="24"/>
          <w:szCs w:val="24"/>
        </w:rPr>
      </w:pPr>
    </w:p>
    <w:p>
      <w:pPr>
        <w:pStyle w:val="Heading2"/>
        <w:spacing w:line="240" w:lineRule="auto" w:before="0"/>
        <w:ind w:right="1122"/>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pStyle w:val="Heading4"/>
        <w:spacing w:line="240" w:lineRule="auto" w:before="177"/>
        <w:ind w:right="1122"/>
        <w:jc w:val="left"/>
        <w:rPr>
          <w:b w:val="0"/>
          <w:bCs w:val="0"/>
        </w:rPr>
      </w:pPr>
      <w:bookmarkStart w:name="1、本报告期股东大会情况" w:id="138"/>
      <w:bookmarkEnd w:id="138"/>
      <w:r>
        <w:rPr>
          <w:b w:val="0"/>
          <w:bCs w:val="0"/>
        </w:rPr>
      </w:r>
      <w:r>
        <w:rPr>
          <w:rFonts w:ascii="宋体" w:hAnsi="宋体" w:cs="宋体" w:eastAsia="宋体" w:hint="default"/>
        </w:rPr>
        <w:t>1</w:t>
      </w:r>
      <w:r>
        <w:rPr/>
        <w:t>、本报告期股东大会情况</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1597"/>
        <w:gridCol w:w="1594"/>
        <w:gridCol w:w="1347"/>
        <w:gridCol w:w="1702"/>
        <w:gridCol w:w="1560"/>
        <w:gridCol w:w="1768"/>
      </w:tblGrid>
      <w:tr>
        <w:trPr>
          <w:trHeight w:val="412" w:hRule="exact"/>
        </w:trPr>
        <w:tc>
          <w:tcPr>
            <w:tcW w:w="15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34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76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422" w:right="51" w:hanging="382"/>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2" w:right="13"/>
              <w:jc w:val="left"/>
              <w:rPr>
                <w:rFonts w:ascii="宋体" w:hAnsi="宋体" w:cs="宋体" w:eastAsia="宋体" w:hint="default"/>
                <w:sz w:val="18"/>
                <w:szCs w:val="18"/>
              </w:rPr>
            </w:pPr>
            <w:hyperlink r:id="rId17">
              <w:r>
                <w:rPr>
                  <w:rFonts w:ascii="宋体"/>
                  <w:sz w:val="18"/>
                </w:rPr>
                <w:t>http://www.cninfo.c</w:t>
              </w:r>
            </w:hyperlink>
            <w:r>
              <w:rPr>
                <w:rFonts w:ascii="宋体"/>
                <w:sz w:val="18"/>
              </w:rPr>
              <w:t> om.cn</w:t>
            </w:r>
          </w:p>
        </w:tc>
      </w:tr>
      <w:tr>
        <w:trPr>
          <w:trHeight w:val="714" w:hRule="exact"/>
        </w:trPr>
        <w:tc>
          <w:tcPr>
            <w:tcW w:w="15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2" w:right="13"/>
              <w:jc w:val="left"/>
              <w:rPr>
                <w:rFonts w:ascii="宋体" w:hAnsi="宋体" w:cs="宋体" w:eastAsia="宋体" w:hint="default"/>
                <w:sz w:val="18"/>
                <w:szCs w:val="18"/>
              </w:rPr>
            </w:pPr>
            <w:hyperlink r:id="rId17">
              <w:r>
                <w:rPr>
                  <w:rFonts w:ascii="宋体"/>
                  <w:sz w:val="18"/>
                </w:rPr>
                <w:t>http://www.cninfo.c</w:t>
              </w:r>
            </w:hyperlink>
            <w:r>
              <w:rPr>
                <w:rFonts w:ascii="宋体"/>
                <w:sz w:val="18"/>
              </w:rPr>
              <w:t> om.cn</w:t>
            </w:r>
          </w:p>
        </w:tc>
      </w:tr>
      <w:tr>
        <w:trPr>
          <w:trHeight w:val="724" w:hRule="exact"/>
        </w:trPr>
        <w:tc>
          <w:tcPr>
            <w:tcW w:w="1597"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1"/>
              <w:ind w:left="422" w:right="51" w:hanging="382"/>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50.57%</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68"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1"/>
              <w:ind w:left="22" w:right="13"/>
              <w:jc w:val="left"/>
              <w:rPr>
                <w:rFonts w:ascii="宋体" w:hAnsi="宋体" w:cs="宋体" w:eastAsia="宋体" w:hint="default"/>
                <w:sz w:val="18"/>
                <w:szCs w:val="18"/>
              </w:rPr>
            </w:pPr>
            <w:hyperlink r:id="rId17">
              <w:r>
                <w:rPr>
                  <w:rFonts w:ascii="宋体"/>
                  <w:sz w:val="18"/>
                </w:rPr>
                <w:t>http://www.cninfo.c</w:t>
              </w:r>
            </w:hyperlink>
            <w:r>
              <w:rPr>
                <w:rFonts w:ascii="宋体"/>
                <w:sz w:val="18"/>
              </w:rPr>
              <w:t> om.cn</w:t>
            </w:r>
          </w:p>
        </w:tc>
      </w:tr>
    </w:tbl>
    <w:p>
      <w:pPr>
        <w:pStyle w:val="Heading4"/>
        <w:spacing w:line="240" w:lineRule="auto" w:before="63"/>
        <w:ind w:right="1122"/>
        <w:jc w:val="left"/>
        <w:rPr>
          <w:b w:val="0"/>
          <w:bCs w:val="0"/>
        </w:rPr>
      </w:pPr>
      <w:bookmarkStart w:name="2、表决权恢复的优先股股东请求召开临时股东大会" w:id="139"/>
      <w:bookmarkEnd w:id="139"/>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7"/>
        <w:rPr>
          <w:rFonts w:ascii="宋体" w:hAnsi="宋体" w:cs="宋体" w:eastAsia="宋体" w:hint="default"/>
          <w:sz w:val="25"/>
          <w:szCs w:val="25"/>
        </w:rPr>
      </w:pPr>
    </w:p>
    <w:p>
      <w:pPr>
        <w:pStyle w:val="Heading2"/>
        <w:spacing w:line="240" w:lineRule="auto"/>
        <w:ind w:right="1122"/>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pStyle w:val="Heading4"/>
        <w:spacing w:line="240" w:lineRule="auto" w:before="177"/>
        <w:ind w:right="1122"/>
        <w:jc w:val="left"/>
        <w:rPr>
          <w:b w:val="0"/>
          <w:bCs w:val="0"/>
        </w:rPr>
      </w:pPr>
      <w:bookmarkStart w:name="1、独立董事出席董事会及股东大会的情况" w:id="141"/>
      <w:bookmarkEnd w:id="141"/>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1428"/>
        <w:gridCol w:w="1164"/>
        <w:gridCol w:w="1164"/>
        <w:gridCol w:w="1163"/>
        <w:gridCol w:w="1164"/>
        <w:gridCol w:w="1163"/>
        <w:gridCol w:w="1163"/>
        <w:gridCol w:w="1162"/>
      </w:tblGrid>
      <w:tr>
        <w:trPr>
          <w:trHeight w:val="412" w:hRule="exact"/>
        </w:trPr>
        <w:tc>
          <w:tcPr>
            <w:tcW w:w="9571" w:type="dxa"/>
            <w:gridSpan w:val="8"/>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9"/>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60" w:lineRule="auto"/>
              <w:ind w:left="125" w:right="126" w:firstLine="90"/>
              <w:jc w:val="left"/>
              <w:rPr>
                <w:rFonts w:ascii="宋体" w:hAnsi="宋体" w:cs="宋体" w:eastAsia="宋体" w:hint="default"/>
                <w:sz w:val="18"/>
                <w:szCs w:val="18"/>
              </w:rPr>
            </w:pPr>
            <w:r>
              <w:rPr>
                <w:rFonts w:ascii="宋体" w:hAnsi="宋体" w:cs="宋体" w:eastAsia="宋体" w:hint="default"/>
                <w:sz w:val="18"/>
                <w:szCs w:val="18"/>
              </w:rPr>
              <w:t>现场出席 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60" w:lineRule="auto"/>
              <w:ind w:left="395" w:right="125"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2"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24"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茅  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w:t>
            </w:r>
          </w:p>
        </w:tc>
      </w:tr>
      <w:tr>
        <w:trPr>
          <w:trHeight w:val="402" w:hRule="exact"/>
        </w:trPr>
        <w:tc>
          <w:tcPr>
            <w:tcW w:w="14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周友梅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w:t>
            </w:r>
          </w:p>
        </w:tc>
      </w:tr>
      <w:tr>
        <w:trPr>
          <w:trHeight w:val="412" w:hRule="exact"/>
        </w:trPr>
        <w:tc>
          <w:tcPr>
            <w:tcW w:w="142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刘向明</w:t>
            </w:r>
          </w:p>
        </w:tc>
        <w:tc>
          <w:tcPr>
            <w:tcW w:w="11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9</w:t>
            </w:r>
          </w:p>
        </w:tc>
        <w:tc>
          <w:tcPr>
            <w:tcW w:w="11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6</w:t>
            </w:r>
          </w:p>
        </w:tc>
        <w:tc>
          <w:tcPr>
            <w:tcW w:w="11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3</w:t>
            </w:r>
          </w:p>
        </w:tc>
        <w:tc>
          <w:tcPr>
            <w:tcW w:w="11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w:t>
            </w:r>
          </w:p>
        </w:tc>
      </w:tr>
    </w:tbl>
    <w:p>
      <w:pPr>
        <w:pStyle w:val="BodyText"/>
        <w:spacing w:line="240" w:lineRule="auto" w:before="63"/>
        <w:ind w:right="1122"/>
        <w:jc w:val="left"/>
      </w:pPr>
      <w:r>
        <w:rPr/>
        <w:t>连续两次未亲自出席董事会的说明</w:t>
      </w:r>
    </w:p>
    <w:p>
      <w:pPr>
        <w:spacing w:line="240" w:lineRule="auto" w:before="10"/>
        <w:rPr>
          <w:rFonts w:ascii="宋体" w:hAnsi="宋体" w:cs="宋体" w:eastAsia="宋体" w:hint="default"/>
          <w:sz w:val="14"/>
          <w:szCs w:val="14"/>
        </w:rPr>
      </w:pPr>
    </w:p>
    <w:p>
      <w:pPr>
        <w:spacing w:line="408" w:lineRule="auto" w:before="0"/>
        <w:ind w:left="154" w:right="664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独立董事对公司有关事项提出异议的情况" w:id="142"/>
      <w:bookmarkEnd w:id="142"/>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独立董事对公司有关事项是否提出异议</w:t>
      </w:r>
    </w:p>
    <w:p>
      <w:pPr>
        <w:spacing w:line="408" w:lineRule="auto" w:before="46"/>
        <w:ind w:left="154" w:right="6342" w:firstLine="0"/>
        <w:jc w:val="left"/>
        <w:rPr>
          <w:rFonts w:ascii="宋体" w:hAnsi="宋体" w:cs="宋体" w:eastAsia="宋体" w:hint="default"/>
          <w:sz w:val="21"/>
          <w:szCs w:val="21"/>
        </w:rPr>
      </w:pPr>
      <w:r>
        <w:rPr>
          <w:rFonts w:ascii="宋体" w:hAnsi="宋体" w:cs="宋体" w:eastAsia="宋体" w:hint="default"/>
          <w:sz w:val="21"/>
          <w:szCs w:val="21"/>
        </w:rPr>
        <w:t>□ 是 √ 否 报告期内独立董事对公司有关事项未提出异议。 </w:t>
      </w:r>
      <w:bookmarkStart w:name="3、独立董事履行职责的其他说明" w:id="143"/>
      <w:bookmarkEnd w:id="143"/>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w w:val="99"/>
          <w:sz w:val="21"/>
          <w:szCs w:val="21"/>
        </w:rPr>
        <w:t> </w:t>
      </w:r>
      <w:r>
        <w:rPr>
          <w:rFonts w:ascii="宋体" w:hAnsi="宋体" w:cs="宋体" w:eastAsia="宋体" w:hint="default"/>
          <w:sz w:val="21"/>
          <w:szCs w:val="21"/>
        </w:rPr>
        <w:t>独立董事对公司有关建议是否被采纳</w:t>
      </w:r>
    </w:p>
    <w:p>
      <w:pPr>
        <w:pStyle w:val="BodyText"/>
        <w:spacing w:line="408" w:lineRule="auto"/>
        <w:ind w:right="6132"/>
        <w:jc w:val="left"/>
      </w:pPr>
      <w:r>
        <w:rPr/>
        <w:t>√ 是 □ 否 独立董事对公司有关建议被采纳或未被采纳的说明</w:t>
      </w:r>
    </w:p>
    <w:p>
      <w:pPr>
        <w:pStyle w:val="BodyText"/>
        <w:spacing w:line="405" w:lineRule="auto"/>
        <w:ind w:right="1027" w:firstLine="420"/>
        <w:jc w:val="left"/>
        <w:rPr>
          <w:rFonts w:ascii="宋体" w:hAnsi="宋体" w:cs="宋体" w:eastAsia="宋体" w:hint="default"/>
          <w:sz w:val="24"/>
          <w:szCs w:val="24"/>
        </w:rPr>
      </w:pPr>
      <w:r>
        <w:rPr>
          <w:spacing w:val="-10"/>
        </w:rPr>
        <w:t>报告期内，公司独立董事严格按照《独立董事工作制度》、《独立董事年报工作制度》等有关法律法规，</w:t>
      </w:r>
      <w:r>
        <w:rPr/>
        <w:t> 认真履行职责，本着诚信勤勉义务，利用各自专业上的优势对公司收购资产、聘任董事、高管、续聘会计 师事务所等重要事项作出独立、客观、公正的判断，发表了独立意见，并根据公司实际情况，科学审慎决 策，给公司的经营管理、规范运作提出了合理的建议并均被得以采纳；为公司未来的健康发展出谋划策，</w:t>
      </w:r>
      <w:r>
        <w:rPr>
          <w:spacing w:val="-35"/>
        </w:rPr>
        <w:t> </w:t>
      </w:r>
      <w:r>
        <w:rPr>
          <w:spacing w:val="-35"/>
        </w:rPr>
      </w:r>
      <w:r>
        <w:rPr/>
        <w:t>切实维护了公司和股东尤其是社会公众股东的利益。 </w:t>
      </w:r>
      <w:bookmarkStart w:name="六、董事会下设专门委员会在报告期内履行职责情况" w:id="144"/>
      <w:bookmarkEnd w:id="144"/>
      <w:r>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sz w:val="24"/>
          <w:szCs w:val="24"/>
        </w:rPr>
      </w:r>
    </w:p>
    <w:p>
      <w:pPr>
        <w:pStyle w:val="BodyText"/>
        <w:spacing w:line="408" w:lineRule="auto" w:before="11"/>
        <w:ind w:left="574" w:right="2562"/>
        <w:jc w:val="left"/>
      </w:pPr>
      <w:r>
        <w:rPr/>
        <w:t>公司董事会下设审计委员、战略委员会及提名、薪酬与考核委员会三个专门委员会。 </w:t>
      </w:r>
      <w:r>
        <w:rPr>
          <w:rFonts w:ascii="宋体" w:hAnsi="宋体" w:cs="宋体" w:eastAsia="宋体" w:hint="default"/>
        </w:rPr>
        <w:t>1</w:t>
      </w:r>
      <w:r>
        <w:rPr/>
        <w:t>、审计委员会</w:t>
      </w:r>
    </w:p>
    <w:p>
      <w:pPr>
        <w:pStyle w:val="BodyText"/>
        <w:spacing w:line="408" w:lineRule="auto"/>
        <w:ind w:right="1122" w:firstLine="420"/>
        <w:jc w:val="left"/>
      </w:pPr>
      <w:r>
        <w:rPr>
          <w:spacing w:val="-1"/>
        </w:rPr>
        <w:t>报告期内，公司董事会审计委员会严格按照《董事会审计委员会工作细则》的相关要求开展工作，审</w:t>
      </w:r>
      <w:r>
        <w:rPr/>
        <w:t> 计委员会对公司定期报告等进行了审议。</w:t>
      </w:r>
    </w:p>
    <w:p>
      <w:pPr>
        <w:pStyle w:val="BodyText"/>
        <w:spacing w:line="408" w:lineRule="auto"/>
        <w:ind w:right="1122" w:firstLine="420"/>
        <w:jc w:val="left"/>
      </w:pPr>
      <w:r>
        <w:rPr>
          <w:spacing w:val="-1"/>
        </w:rPr>
        <w:t>在年报审计工作中，审计委员会与审计机构协商确定年度财务报告审计工作时间安排，对公司财务报</w:t>
      </w:r>
      <w:r>
        <w:rPr/>
        <w:t> </w:t>
      </w:r>
      <w:r>
        <w:rPr>
          <w:spacing w:val="-1"/>
        </w:rPr>
        <w:t>表进行审阅并形成书面意见；督促审计工作进展，保持与审计会计师的联系和沟通，就审计过程中发现的</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22"/>
        <w:jc w:val="left"/>
      </w:pPr>
      <w:r>
        <w:rPr>
          <w:spacing w:val="-1"/>
        </w:rPr>
        <w:t>问题及时交换意见，确保审计的独立性和审计工作的如期完成。同时，对审计机构的年报审计工作进行总</w:t>
      </w:r>
      <w:r>
        <w:rPr>
          <w:spacing w:val="-83"/>
        </w:rPr>
        <w:t> </w:t>
      </w:r>
      <w:r>
        <w:rPr>
          <w:spacing w:val="-83"/>
        </w:rPr>
      </w:r>
      <w:r>
        <w:rPr/>
        <w:t>结和评价，建议续聘并形成决议提交董事会。</w:t>
      </w:r>
    </w:p>
    <w:p>
      <w:pPr>
        <w:pStyle w:val="BodyText"/>
        <w:spacing w:line="408" w:lineRule="auto"/>
        <w:ind w:left="574" w:right="1122"/>
        <w:jc w:val="left"/>
      </w:pPr>
      <w:r>
        <w:rPr>
          <w:rFonts w:ascii="宋体" w:hAnsi="宋体" w:cs="宋体" w:eastAsia="宋体" w:hint="default"/>
        </w:rPr>
        <w:t>2</w:t>
      </w:r>
      <w:r>
        <w:rPr/>
        <w:t>、战略委员会 </w:t>
      </w:r>
      <w:r>
        <w:rPr>
          <w:spacing w:val="-1"/>
        </w:rPr>
        <w:t>报告期内，公司董事会战略委员会严格按照《董事会战略委员会实施细则》的相关要求开展工作，对</w:t>
      </w:r>
    </w:p>
    <w:p>
      <w:pPr>
        <w:pStyle w:val="BodyText"/>
        <w:spacing w:line="408" w:lineRule="auto"/>
        <w:ind w:left="574" w:right="4662" w:hanging="420"/>
        <w:jc w:val="left"/>
      </w:pPr>
      <w:r>
        <w:rPr/>
        <w:t>公司长期发展战略规划进行研究，并从专业角度提出建议和意见。 </w:t>
      </w:r>
      <w:r>
        <w:rPr>
          <w:rFonts w:ascii="宋体" w:hAnsi="宋体" w:cs="宋体" w:eastAsia="宋体" w:hint="default"/>
        </w:rPr>
        <w:t>3</w:t>
      </w:r>
      <w:r>
        <w:rPr/>
        <w:t>、提名薪酬与考核委员会</w:t>
      </w:r>
    </w:p>
    <w:p>
      <w:pPr>
        <w:pStyle w:val="BodyText"/>
        <w:spacing w:line="408" w:lineRule="auto"/>
        <w:ind w:right="1027" w:firstLine="420"/>
        <w:jc w:val="left"/>
      </w:pPr>
      <w:r>
        <w:rPr/>
        <w:t>报告期内，公司董事会提名薪酬与考核委员会严格按照《董事会提名、薪酬与考核委员会工作细则》 等相关规定，对公司的绩效考核程序、标准等进行审查和研究并提出建议，监督公司薪酬及绩效考核的执 行。</w:t>
      </w:r>
    </w:p>
    <w:p>
      <w:pPr>
        <w:pStyle w:val="Heading2"/>
        <w:spacing w:line="240" w:lineRule="auto" w:before="23"/>
        <w:ind w:right="1122"/>
        <w:jc w:val="left"/>
        <w:rPr>
          <w:b w:val="0"/>
          <w:bCs w:val="0"/>
        </w:rPr>
      </w:pPr>
      <w:bookmarkStart w:name="七、监事会工作情况" w:id="145"/>
      <w:bookmarkEnd w:id="145"/>
      <w:r>
        <w:rPr>
          <w:b w:val="0"/>
          <w:bCs w:val="0"/>
        </w:rPr>
      </w:r>
      <w:r>
        <w:rPr/>
        <w:t>七、监事会工作情况</w:t>
      </w:r>
      <w:r>
        <w:rPr>
          <w:b w:val="0"/>
          <w:bCs w:val="0"/>
        </w:rPr>
      </w:r>
    </w:p>
    <w:p>
      <w:pPr>
        <w:pStyle w:val="BodyText"/>
        <w:spacing w:line="240" w:lineRule="auto" w:before="177"/>
        <w:ind w:right="1122"/>
        <w:jc w:val="left"/>
      </w:pPr>
      <w:r>
        <w:rPr/>
        <w:t>监事会在报告期内的监督活动中发现公司是否存在风险</w:t>
      </w:r>
    </w:p>
    <w:p>
      <w:pPr>
        <w:spacing w:line="240" w:lineRule="auto" w:before="10"/>
        <w:rPr>
          <w:rFonts w:ascii="宋体" w:hAnsi="宋体" w:cs="宋体" w:eastAsia="宋体" w:hint="default"/>
          <w:sz w:val="14"/>
          <w:szCs w:val="14"/>
        </w:rPr>
      </w:pPr>
    </w:p>
    <w:p>
      <w:pPr>
        <w:spacing w:line="398" w:lineRule="auto" w:before="0"/>
        <w:ind w:left="154" w:right="6762" w:firstLine="0"/>
        <w:jc w:val="left"/>
        <w:rPr>
          <w:rFonts w:ascii="宋体" w:hAnsi="宋体" w:cs="宋体" w:eastAsia="宋体" w:hint="default"/>
          <w:sz w:val="24"/>
          <w:szCs w:val="24"/>
        </w:rPr>
      </w:pPr>
      <w:r>
        <w:rPr>
          <w:rFonts w:ascii="宋体" w:hAnsi="宋体" w:cs="宋体" w:eastAsia="宋体" w:hint="default"/>
          <w:sz w:val="21"/>
          <w:szCs w:val="21"/>
        </w:rPr>
        <w:t>□ 是 √ 否 公司监事会对报告期内的监督事项无异议。 </w:t>
      </w:r>
      <w:bookmarkStart w:name="八、高级管理人员的考评及激励情况" w:id="146"/>
      <w:bookmarkEnd w:id="146"/>
      <w:r>
        <w:rPr>
          <w:rFonts w:ascii="宋体" w:hAnsi="宋体" w:cs="宋体" w:eastAsia="宋体" w:hint="default"/>
          <w:sz w:val="21"/>
          <w:szCs w:val="21"/>
        </w:rPr>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BodyText"/>
        <w:spacing w:line="408" w:lineRule="auto" w:before="18"/>
        <w:ind w:right="1131" w:firstLine="420"/>
        <w:jc w:val="both"/>
      </w:pPr>
      <w:r>
        <w:rPr>
          <w:spacing w:val="-1"/>
        </w:rPr>
        <w:t>按照《高级管理人员薪酬管理制度》的规定，公司高级管理人员的薪酬与考核以公司的经济效益为出</w:t>
      </w:r>
      <w:r>
        <w:rPr/>
        <w:t> </w:t>
      </w:r>
      <w:r>
        <w:rPr>
          <w:spacing w:val="-1"/>
        </w:rPr>
        <w:t>发点，根据公司年度经营计划和分管工作的工作目标，进行综合考核，公司提名、薪酬与考核委员会负责</w:t>
      </w:r>
      <w:r>
        <w:rPr>
          <w:spacing w:val="-86"/>
        </w:rPr>
        <w:t> </w:t>
      </w:r>
      <w:r>
        <w:rPr>
          <w:spacing w:val="-86"/>
        </w:rPr>
      </w:r>
      <w:r>
        <w:rPr>
          <w:spacing w:val="-1"/>
        </w:rPr>
        <w:t>对高级管理人员的工作能力、履职情况、责任目标完成情况进行考评，制定薪酬方案。报告期内，公司高</w:t>
      </w:r>
      <w:r>
        <w:rPr>
          <w:spacing w:val="-83"/>
        </w:rPr>
        <w:t> </w:t>
      </w:r>
      <w:r>
        <w:rPr>
          <w:spacing w:val="-83"/>
        </w:rPr>
      </w:r>
      <w:r>
        <w:rPr>
          <w:spacing w:val="-1"/>
        </w:rPr>
        <w:t>级管理人员能够严格按照《公司法》、《公司章程》及相关法律法规认真履行职责，积极落实公司股东大</w:t>
      </w:r>
      <w:r>
        <w:rPr>
          <w:spacing w:val="-83"/>
        </w:rPr>
        <w:t> </w:t>
      </w:r>
      <w:r>
        <w:rPr>
          <w:spacing w:val="-83"/>
        </w:rPr>
      </w:r>
      <w:r>
        <w:rPr>
          <w:spacing w:val="-1"/>
        </w:rPr>
        <w:t>会和董事会相关决议，认真履行了工作职责。公司各项考评及激励机制执行情况良好，起到了应有的激励</w:t>
      </w:r>
      <w:r>
        <w:rPr>
          <w:spacing w:val="-83"/>
        </w:rPr>
        <w:t> </w:t>
      </w:r>
      <w:r>
        <w:rPr>
          <w:spacing w:val="-83"/>
        </w:rPr>
      </w:r>
      <w:r>
        <w:rPr/>
        <w:t>和约束作用。</w:t>
      </w:r>
    </w:p>
    <w:p>
      <w:pPr>
        <w:pStyle w:val="Heading2"/>
        <w:spacing w:line="240" w:lineRule="auto" w:before="23"/>
        <w:ind w:right="1122"/>
        <w:jc w:val="left"/>
        <w:rPr>
          <w:b w:val="0"/>
          <w:bCs w:val="0"/>
        </w:rPr>
      </w:pPr>
      <w:bookmarkStart w:name="九、内部控制评价报告" w:id="147"/>
      <w:bookmarkEnd w:id="147"/>
      <w:r>
        <w:rPr>
          <w:b w:val="0"/>
          <w:bCs w:val="0"/>
        </w:rPr>
      </w:r>
      <w:r>
        <w:rPr/>
        <w:t>九、内部控制评价报告</w:t>
      </w:r>
      <w:r>
        <w:rPr>
          <w:b w:val="0"/>
          <w:bCs w:val="0"/>
        </w:rPr>
      </w:r>
    </w:p>
    <w:p>
      <w:pPr>
        <w:pStyle w:val="Heading4"/>
        <w:spacing w:line="240" w:lineRule="auto" w:before="177"/>
        <w:ind w:right="1122"/>
        <w:jc w:val="left"/>
        <w:rPr>
          <w:b w:val="0"/>
          <w:bCs w:val="0"/>
        </w:rPr>
      </w:pPr>
      <w:bookmarkStart w:name="1、报告期内发现的内部控制重大缺陷的具体情况" w:id="148"/>
      <w:bookmarkEnd w:id="148"/>
      <w:r>
        <w:rPr>
          <w:b w:val="0"/>
          <w:bCs w:val="0"/>
        </w:rPr>
      </w:r>
      <w:r>
        <w:rPr>
          <w:rFonts w:ascii="宋体" w:hAnsi="宋体" w:cs="宋体" w:eastAsia="宋体" w:hint="default"/>
        </w:rPr>
        <w:t>1</w:t>
      </w:r>
      <w:r>
        <w:rPr/>
        <w:t>、报告期内发现的内部控制重大缺陷的具体情况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749" w:firstLine="0"/>
        <w:jc w:val="left"/>
        <w:rPr>
          <w:rFonts w:ascii="宋体" w:hAnsi="宋体" w:cs="宋体" w:eastAsia="宋体" w:hint="default"/>
          <w:sz w:val="21"/>
          <w:szCs w:val="21"/>
        </w:rPr>
      </w:pPr>
      <w:r>
        <w:rPr>
          <w:rFonts w:ascii="宋体" w:hAnsi="宋体" w:cs="宋体" w:eastAsia="宋体" w:hint="default"/>
          <w:sz w:val="21"/>
          <w:szCs w:val="21"/>
        </w:rPr>
        <w:t>□ 是 √ 否 </w:t>
      </w:r>
      <w:bookmarkStart w:name="2、内控自我评价报告" w:id="149"/>
      <w:bookmarkEnd w:id="149"/>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tbl>
      <w:tblPr>
        <w:tblW w:w="0" w:type="auto"/>
        <w:jc w:val="left"/>
        <w:tblInd w:w="145" w:type="dxa"/>
        <w:tblLayout w:type="fixed"/>
        <w:tblCellMar>
          <w:top w:w="0" w:type="dxa"/>
          <w:left w:w="0" w:type="dxa"/>
          <w:bottom w:w="0" w:type="dxa"/>
          <w:right w:w="0" w:type="dxa"/>
        </w:tblCellMar>
        <w:tblLook w:val="01E0"/>
      </w:tblPr>
      <w:tblGrid>
        <w:gridCol w:w="3178"/>
        <w:gridCol w:w="6384"/>
      </w:tblGrid>
      <w:tr>
        <w:trPr>
          <w:trHeight w:val="415" w:hRule="exact"/>
        </w:trPr>
        <w:tc>
          <w:tcPr>
            <w:tcW w:w="317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6"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4" w:type="dxa"/>
            <w:tcBorders>
              <w:top w:val="single" w:sz="12" w:space="0" w:color="000000"/>
              <w:left w:val="single" w:sz="9" w:space="0" w:color="D2D2D2"/>
              <w:bottom w:val="single" w:sz="6" w:space="0" w:color="000000"/>
              <w:right w:val="single" w:sz="12" w:space="0" w:color="000000"/>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7" w:hRule="exact"/>
        </w:trPr>
        <w:tc>
          <w:tcPr>
            <w:tcW w:w="31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6"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4"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34"/>
              <w:ind w:left="27" w:right="0"/>
              <w:jc w:val="left"/>
              <w:rPr>
                <w:rFonts w:ascii="宋体" w:hAnsi="宋体" w:cs="宋体" w:eastAsia="宋体" w:hint="default"/>
                <w:sz w:val="18"/>
                <w:szCs w:val="18"/>
              </w:rPr>
            </w:pP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《光一科技：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年度内部控制自我评价报告》</w:t>
            </w:r>
          </w:p>
        </w:tc>
      </w:tr>
      <w:tr>
        <w:trPr>
          <w:trHeight w:val="719" w:hRule="exact"/>
        </w:trPr>
        <w:tc>
          <w:tcPr>
            <w:tcW w:w="31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34"/>
              <w:ind w:left="6" w:right="87"/>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4"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100.00%</w:t>
            </w:r>
          </w:p>
        </w:tc>
      </w:tr>
      <w:tr>
        <w:trPr>
          <w:trHeight w:val="719" w:hRule="exact"/>
        </w:trPr>
        <w:tc>
          <w:tcPr>
            <w:tcW w:w="31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34"/>
              <w:ind w:left="6" w:right="87"/>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4"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100.00%</w:t>
            </w:r>
          </w:p>
        </w:tc>
      </w:tr>
      <w:tr>
        <w:trPr>
          <w:trHeight w:val="414" w:hRule="exact"/>
        </w:trPr>
        <w:tc>
          <w:tcPr>
            <w:tcW w:w="9562" w:type="dxa"/>
            <w:gridSpan w:val="2"/>
            <w:tcBorders>
              <w:top w:val="single" w:sz="6"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35"/>
              <w:ind w:right="4"/>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877" w:footer="1000" w:top="1100" w:bottom="1180" w:left="980" w:right="0"/>
        </w:sectPr>
      </w:pPr>
    </w:p>
    <w:p>
      <w:pPr>
        <w:spacing w:line="240" w:lineRule="auto" w:before="4"/>
        <w:rPr>
          <w:rFonts w:ascii="宋体" w:hAnsi="宋体" w:cs="宋体" w:eastAsia="宋体" w:hint="default"/>
          <w:b/>
          <w:bCs/>
          <w:sz w:val="27"/>
          <w:szCs w:val="27"/>
        </w:rPr>
      </w:pPr>
    </w:p>
    <w:p>
      <w:pPr>
        <w:tabs>
          <w:tab w:pos="4793" w:val="left" w:leader="none"/>
          <w:tab w:pos="7890" w:val="left" w:leader="none"/>
        </w:tabs>
        <w:spacing w:before="44"/>
        <w:ind w:left="1570" w:right="1122" w:firstLine="0"/>
        <w:jc w:val="left"/>
        <w:rPr>
          <w:rFonts w:ascii="宋体" w:hAnsi="宋体" w:cs="宋体" w:eastAsia="宋体" w:hint="default"/>
          <w:sz w:val="18"/>
          <w:szCs w:val="18"/>
        </w:rPr>
      </w:pPr>
      <w:r>
        <w:rPr/>
        <w:pict>
          <v:group style="position:absolute;margin-left:55.919998pt;margin-top:-2.618254pt;width:479.95pt;height:645.5pt;mso-position-horizontal-relative:page;mso-position-vertical-relative:paragraph;z-index:-903784" coordorigin="1118,-52" coordsize="9599,12910">
            <v:group style="position:absolute;left:1155;top:-7;width:2;height:393" coordorigin="1155,-7" coordsize="2,393">
              <v:shape style="position:absolute;left:1155;top:-7;width:2;height:393" coordorigin="1155,-7" coordsize="0,393" path="m1155,-7l1155,385e" filled="false" stroked="true" strokeweight=".66pt" strokecolor="#d2d2d2">
                <v:path arrowok="t"/>
              </v:shape>
            </v:group>
            <v:group style="position:absolute;left:4311;top:-7;width:2;height:393" coordorigin="4311,-7" coordsize="2,393">
              <v:shape style="position:absolute;left:4311;top:-7;width:2;height:393" coordorigin="4311,-7" coordsize="0,393" path="m4311,-7l4311,385e" filled="false" stroked="true" strokeweight="1.08pt" strokecolor="#d2d2d2">
                <v:path arrowok="t"/>
              </v:shape>
            </v:group>
            <v:group style="position:absolute;left:1162;top:-7;width:3139;height:393" coordorigin="1162,-7" coordsize="3139,393">
              <v:shape style="position:absolute;left:1162;top:-7;width:3139;height:393" coordorigin="1162,-7" coordsize="3139,393" path="m1162,385l4300,385,4300,-7,1162,-7,1162,385xe" filled="true" fillcolor="#d2d2d2" stroked="false">
                <v:path arrowok="t"/>
                <v:fill type="solid"/>
              </v:shape>
            </v:group>
            <v:group style="position:absolute;left:4346;top:-7;width:2;height:393" coordorigin="4346,-7" coordsize="2,393">
              <v:shape style="position:absolute;left:4346;top:-7;width:2;height:393" coordorigin="4346,-7" coordsize="0,393" path="m4346,-7l4346,385e" filled="false" stroked="true" strokeweight="1.02pt" strokecolor="#d2d2d2">
                <v:path arrowok="t"/>
              </v:shape>
            </v:group>
            <v:group style="position:absolute;left:7921;top:-7;width:2;height:393" coordorigin="7921,-7" coordsize="2,393">
              <v:shape style="position:absolute;left:7921;top:-7;width:2;height:393" coordorigin="7921,-7" coordsize="0,393" path="m7921,-7l7921,385e" filled="false" stroked="true" strokeweight="1.02pt" strokecolor="#d2d2d2">
                <v:path arrowok="t"/>
              </v:shape>
            </v:group>
            <v:group style="position:absolute;left:4356;top:-7;width:3555;height:393" coordorigin="4356,-7" coordsize="3555,393">
              <v:shape style="position:absolute;left:4356;top:-7;width:3555;height:393" coordorigin="4356,-7" coordsize="3555,393" path="m4356,385l7911,385,7911,-7,4356,-7,4356,385xe" filled="true" fillcolor="#d2d2d2" stroked="false">
                <v:path arrowok="t"/>
                <v:fill type="solid"/>
              </v:shape>
            </v:group>
            <v:group style="position:absolute;left:7956;top:-7;width:2;height:393" coordorigin="7956,-7" coordsize="2,393">
              <v:shape style="position:absolute;left:7956;top:-7;width:2;height:393" coordorigin="7956,-7" coordsize="0,393" path="m7956,-7l7956,385e" filled="false" stroked="true" strokeweight="1.02pt" strokecolor="#d2d2d2">
                <v:path arrowok="t"/>
              </v:shape>
            </v:group>
            <v:group style="position:absolute;left:10682;top:-7;width:2;height:393" coordorigin="10682,-7" coordsize="2,393">
              <v:shape style="position:absolute;left:10682;top:-7;width:2;height:393" coordorigin="10682,-7" coordsize="0,393" path="m10682,-7l10682,385e" filled="false" stroked="true" strokeweight=".65997pt" strokecolor="#d2d2d2">
                <v:path arrowok="t"/>
              </v:shape>
            </v:group>
            <v:group style="position:absolute;left:7966;top:-7;width:2709;height:393" coordorigin="7966,-7" coordsize="2709,393">
              <v:shape style="position:absolute;left:7966;top:-7;width:2709;height:393" coordorigin="7966,-7" coordsize="2709,393" path="m7966,385l10675,385,10675,-7,7966,-7,7966,385xe" filled="true" fillcolor="#d2d2d2" stroked="false">
                <v:path arrowok="t"/>
                <v:fill type="solid"/>
              </v:shape>
            </v:group>
            <v:group style="position:absolute;left:1148;top:-22;width:3174;height:2" coordorigin="1148,-22" coordsize="3174,2">
              <v:shape style="position:absolute;left:1148;top:-22;width:3174;height:2" coordorigin="1148,-22" coordsize="3174,0" path="m1148,-22l4322,-22e" filled="false" stroked="true" strokeweight="1.5pt" strokecolor="#000000">
                <v:path arrowok="t"/>
              </v:shape>
            </v:group>
            <v:group style="position:absolute;left:4322;top:-22;width:30;height:2" coordorigin="4322,-22" coordsize="30,2">
              <v:shape style="position:absolute;left:4322;top:-22;width:30;height:2" coordorigin="4322,-22" coordsize="30,0" path="m4322,-22l4352,-22e" filled="false" stroked="true" strokeweight="1.5pt" strokecolor="#000000">
                <v:path arrowok="t"/>
              </v:shape>
            </v:group>
            <v:group style="position:absolute;left:4352;top:-22;width:3580;height:2" coordorigin="4352,-22" coordsize="3580,2">
              <v:shape style="position:absolute;left:4352;top:-22;width:3580;height:2" coordorigin="4352,-22" coordsize="3580,0" path="m4352,-22l7932,-22e" filled="false" stroked="true" strokeweight="1.5pt" strokecolor="#000000">
                <v:path arrowok="t"/>
              </v:shape>
            </v:group>
            <v:group style="position:absolute;left:7932;top:-22;width:30;height:2" coordorigin="7932,-22" coordsize="30,2">
              <v:shape style="position:absolute;left:7932;top:-22;width:30;height:2" coordorigin="7932,-22" coordsize="30,0" path="m7932,-22l7962,-22e" filled="false" stroked="true" strokeweight="1.5pt" strokecolor="#000000">
                <v:path arrowok="t"/>
              </v:shape>
            </v:group>
            <v:group style="position:absolute;left:7962;top:-37;width:2726;height:30" coordorigin="7962,-37" coordsize="2726,30">
              <v:shape style="position:absolute;left:7962;top:-37;width:2726;height:30" coordorigin="7962,-37" coordsize="2726,30" path="m7962,-7l10687,-7,10687,-37,7962,-37,7962,-7xe" filled="true" fillcolor="#000000" stroked="false">
                <v:path arrowok="t"/>
                <v:fill type="solid"/>
              </v:shape>
            </v:group>
            <v:group style="position:absolute;left:1148;top:399;width:3174;height:2809" coordorigin="1148,399" coordsize="3174,2809">
              <v:shape style="position:absolute;left:1148;top:399;width:3174;height:2809" coordorigin="1148,399" coordsize="3174,2809" path="m1148,3208l4322,3208,4322,399,1148,399,1148,3208xe" filled="true" fillcolor="#d2d2d2" stroked="false">
                <v:path arrowok="t"/>
                <v:fill type="solid"/>
              </v:shape>
            </v:group>
            <v:group style="position:absolute;left:1155;top:3208;width:2;height:393" coordorigin="1155,3208" coordsize="2,393">
              <v:shape style="position:absolute;left:1155;top:3208;width:2;height:393" coordorigin="1155,3208" coordsize="0,393" path="m1155,3208l1155,3600e" filled="false" stroked="true" strokeweight=".66pt" strokecolor="#d2d2d2">
                <v:path arrowok="t"/>
              </v:shape>
            </v:group>
            <v:group style="position:absolute;left:4311;top:3208;width:2;height:393" coordorigin="4311,3208" coordsize="2,393">
              <v:shape style="position:absolute;left:4311;top:3208;width:2;height:393" coordorigin="4311,3208" coordsize="0,393" path="m4311,3208l4311,3600e" filled="false" stroked="true" strokeweight="1.08pt" strokecolor="#d2d2d2">
                <v:path arrowok="t"/>
              </v:shape>
            </v:group>
            <v:group style="position:absolute;left:1148;top:3600;width:3174;height:2808" coordorigin="1148,3600" coordsize="3174,2808">
              <v:shape style="position:absolute;left:1148;top:3600;width:3174;height:2808" coordorigin="1148,3600" coordsize="3174,2808" path="m1148,6408l4322,6408,4322,3600,1148,3600,1148,6408xe" filled="true" fillcolor="#d2d2d2" stroked="false">
                <v:path arrowok="t"/>
                <v:fill type="solid"/>
              </v:shape>
            </v:group>
            <v:group style="position:absolute;left:1162;top:3208;width:3139;height:393" coordorigin="1162,3208" coordsize="3139,393">
              <v:shape style="position:absolute;left:1162;top:3208;width:3139;height:393" coordorigin="1162,3208" coordsize="3139,393" path="m1162,3600l4300,3600,4300,3208,1162,3208,1162,3600xe" filled="true" fillcolor="#d2d2d2" stroked="false">
                <v:path arrowok="t"/>
                <v:fill type="solid"/>
              </v:shape>
            </v:group>
            <v:group style="position:absolute;left:7946;top:399;width:2743;height:780" coordorigin="7946,399" coordsize="2743,780">
              <v:shape style="position:absolute;left:7946;top:399;width:2743;height:780" coordorigin="7946,399" coordsize="2743,780" path="m7946,1179l10688,1179,10688,399,7946,399,7946,1179xe" filled="true" fillcolor="#ffffff" stroked="false">
                <v:path arrowok="t"/>
                <v:fill type="solid"/>
              </v:shape>
            </v:group>
            <v:group style="position:absolute;left:7956;top:1179;width:2;height:4449" coordorigin="7956,1179" coordsize="2,4449">
              <v:shape style="position:absolute;left:7956;top:1179;width:2;height:4449" coordorigin="7956,1179" coordsize="0,4449" path="m7956,1179l7956,5628e" filled="false" stroked="true" strokeweight="1.02pt" strokecolor="#ffffff">
                <v:path arrowok="t"/>
              </v:shape>
            </v:group>
            <v:group style="position:absolute;left:7966;top:1179;width:2709;height:352" coordorigin="7966,1179" coordsize="2709,352">
              <v:shape style="position:absolute;left:7966;top:1179;width:2709;height:352" coordorigin="7966,1179" coordsize="2709,352" path="m7966,1531l10675,1531,10675,1179,7966,1179,7966,1531xe" filled="true" fillcolor="#ffffff" stroked="false">
                <v:path arrowok="t"/>
                <v:fill type="solid"/>
              </v:shape>
            </v:group>
            <v:group style="position:absolute;left:7966;top:1531;width:2709;height:312" coordorigin="7966,1531" coordsize="2709,312">
              <v:shape style="position:absolute;left:7966;top:1531;width:2709;height:312" coordorigin="7966,1531" coordsize="2709,312" path="m7966,1843l10675,1843,10675,1531,7966,1531,7966,1843xe" filled="true" fillcolor="#ffffff" stroked="false">
                <v:path arrowok="t"/>
                <v:fill type="solid"/>
              </v:shape>
            </v:group>
            <v:group style="position:absolute;left:7966;top:1843;width:2709;height:312" coordorigin="7966,1843" coordsize="2709,312">
              <v:shape style="position:absolute;left:7966;top:1843;width:2709;height:312" coordorigin="7966,1843" coordsize="2709,312" path="m7966,2155l10675,2155,10675,1843,7966,1843,7966,2155xe" filled="true" fillcolor="#ffffff" stroked="false">
                <v:path arrowok="t"/>
                <v:fill type="solid"/>
              </v:shape>
            </v:group>
            <v:group style="position:absolute;left:7966;top:3403;width:2709;height:312" coordorigin="7966,3403" coordsize="2709,312">
              <v:shape style="position:absolute;left:7966;top:3403;width:2709;height:312" coordorigin="7966,3403" coordsize="2709,312" path="m7966,3715l10675,3715,10675,3403,7966,3403,7966,3715xe" filled="true" fillcolor="#ffffff" stroked="false">
                <v:path arrowok="t"/>
                <v:fill type="solid"/>
              </v:shape>
            </v:group>
            <v:group style="position:absolute;left:7966;top:3715;width:2709;height:312" coordorigin="7966,3715" coordsize="2709,312">
              <v:shape style="position:absolute;left:7966;top:3715;width:2709;height:312" coordorigin="7966,3715" coordsize="2709,312" path="m7966,4027l10675,4027,10675,3715,7966,3715,7966,4027xe" filled="true" fillcolor="#ffffff" stroked="false">
                <v:path arrowok="t"/>
                <v:fill type="solid"/>
              </v:shape>
            </v:group>
            <v:group style="position:absolute;left:1148;top:392;width:3174;height:2" coordorigin="1148,392" coordsize="3174,2">
              <v:shape style="position:absolute;left:1148;top:392;width:3174;height:2" coordorigin="1148,392" coordsize="3174,0" path="m1148,392l4322,392e" filled="false" stroked="true" strokeweight=".72pt" strokecolor="#000000">
                <v:path arrowok="t"/>
              </v:shape>
            </v:group>
            <v:group style="position:absolute;left:1148;top:400;width:3174;height:2" coordorigin="1148,400" coordsize="3174,2">
              <v:shape style="position:absolute;left:1148;top:400;width:3174;height:2" coordorigin="1148,400" coordsize="3174,0" path="m1148,400l4322,400e" filled="false" stroked="true" strokeweight=".060005pt" strokecolor="#d2d2d2">
                <v:path arrowok="t"/>
              </v:shape>
            </v:group>
            <v:group style="position:absolute;left:4336;top:392;width:3596;height:2" coordorigin="4336,392" coordsize="3596,2">
              <v:shape style="position:absolute;left:4336;top:392;width:3596;height:2" coordorigin="4336,392" coordsize="3596,0" path="m4336,392l7932,392e" filled="false" stroked="true" strokeweight=".72pt" strokecolor="#000000">
                <v:path arrowok="t"/>
              </v:shape>
            </v:group>
            <v:group style="position:absolute;left:7946;top:392;width:2742;height:2" coordorigin="7946,392" coordsize="2742,2">
              <v:shape style="position:absolute;left:7946;top:392;width:2742;height:2" coordorigin="7946,392" coordsize="2742,0" path="m7946,392l10687,392e" filled="false" stroked="true" strokeweight=".72pt" strokecolor="#000000">
                <v:path arrowok="t"/>
              </v:shape>
            </v:group>
            <v:group style="position:absolute;left:1148;top:6423;width:3174;height:2185" coordorigin="1148,6423" coordsize="3174,2185">
              <v:shape style="position:absolute;left:1148;top:6423;width:3174;height:2185" coordorigin="1148,6423" coordsize="3174,2185" path="m1148,8607l4322,8607,4322,6423,1148,6423,1148,8607xe" filled="true" fillcolor="#d2d2d2" stroked="false">
                <v:path arrowok="t"/>
                <v:fill type="solid"/>
              </v:shape>
            </v:group>
            <v:group style="position:absolute;left:1155;top:8607;width:2;height:393" coordorigin="1155,8607" coordsize="2,393">
              <v:shape style="position:absolute;left:1155;top:8607;width:2;height:393" coordorigin="1155,8607" coordsize="0,393" path="m1155,8607l1155,8999e" filled="false" stroked="true" strokeweight=".66pt" strokecolor="#d2d2d2">
                <v:path arrowok="t"/>
              </v:shape>
            </v:group>
            <v:group style="position:absolute;left:4311;top:8607;width:2;height:393" coordorigin="4311,8607" coordsize="2,393">
              <v:shape style="position:absolute;left:4311;top:8607;width:2;height:393" coordorigin="4311,8607" coordsize="0,393" path="m4311,8607l4311,8999e" filled="false" stroked="true" strokeweight="1.08pt" strokecolor="#d2d2d2">
                <v:path arrowok="t"/>
              </v:shape>
            </v:group>
            <v:group style="position:absolute;left:1148;top:8999;width:3174;height:2184" coordorigin="1148,8999" coordsize="3174,2184">
              <v:shape style="position:absolute;left:1148;top:8999;width:3174;height:2184" coordorigin="1148,8999" coordsize="3174,2184" path="m1148,11183l4322,11183,4322,8999,1148,8999,1148,11183xe" filled="true" fillcolor="#d2d2d2" stroked="false">
                <v:path arrowok="t"/>
                <v:fill type="solid"/>
              </v:shape>
            </v:group>
            <v:group style="position:absolute;left:1162;top:8607;width:3139;height:393" coordorigin="1162,8607" coordsize="3139,393">
              <v:shape style="position:absolute;left:1162;top:8607;width:3139;height:393" coordorigin="1162,8607" coordsize="3139,393" path="m1162,8999l4300,8999,4300,8607,1162,8607,1162,8999xe" filled="true" fillcolor="#d2d2d2" stroked="false">
                <v:path arrowok="t"/>
                <v:fill type="solid"/>
              </v:shape>
            </v:group>
            <v:group style="position:absolute;left:1148;top:6415;width:3174;height:2" coordorigin="1148,6415" coordsize="3174,2">
              <v:shape style="position:absolute;left:1148;top:6415;width:3174;height:2" coordorigin="1148,6415" coordsize="3174,0" path="m1148,6415l4322,6415e" filled="false" stroked="true" strokeweight=".72pt" strokecolor="#000000">
                <v:path arrowok="t"/>
              </v:shape>
            </v:group>
            <v:group style="position:absolute;left:1148;top:6423;width:3174;height:2" coordorigin="1148,6423" coordsize="3174,2">
              <v:shape style="position:absolute;left:1148;top:6423;width:3174;height:2" coordorigin="1148,6423" coordsize="3174,0" path="m1148,6423l4322,6423e" filled="false" stroked="true" strokeweight=".059998pt" strokecolor="#d2d2d2">
                <v:path arrowok="t"/>
              </v:shape>
            </v:group>
            <v:group style="position:absolute;left:4336;top:6415;width:3596;height:2" coordorigin="4336,6415" coordsize="3596,2">
              <v:shape style="position:absolute;left:4336;top:6415;width:3596;height:2" coordorigin="4336,6415" coordsize="3596,0" path="m4336,6415l7932,6415e" filled="false" stroked="true" strokeweight=".72pt" strokecolor="#000000">
                <v:path arrowok="t"/>
              </v:shape>
            </v:group>
            <v:group style="position:absolute;left:7946;top:6415;width:2742;height:2" coordorigin="7946,6415" coordsize="2742,2">
              <v:shape style="position:absolute;left:7946;top:6415;width:2742;height:2" coordorigin="7946,6415" coordsize="2742,0" path="m7946,6415l10687,6415e" filled="false" stroked="true" strokeweight=".72pt" strokecolor="#000000">
                <v:path arrowok="t"/>
              </v:shape>
            </v:group>
            <v:group style="position:absolute;left:7939;top:-7;width:2;height:11206" coordorigin="7939,-7" coordsize="2,11206">
              <v:shape style="position:absolute;left:7939;top:-7;width:2;height:11206" coordorigin="7939,-7" coordsize="0,11206" path="m7939,-7l7939,11198e" filled="false" stroked="true" strokeweight=".72pt" strokecolor="#000000">
                <v:path arrowok="t"/>
              </v:shape>
            </v:group>
            <v:group style="position:absolute;left:1155;top:11198;width:2;height:393" coordorigin="1155,11198" coordsize="2,393">
              <v:shape style="position:absolute;left:1155;top:11198;width:2;height:393" coordorigin="1155,11198" coordsize="0,393" path="m1155,11198l1155,11590e" filled="false" stroked="true" strokeweight=".66pt" strokecolor="#d2d2d2">
                <v:path arrowok="t"/>
              </v:shape>
            </v:group>
            <v:group style="position:absolute;left:4311;top:11198;width:2;height:393" coordorigin="4311,11198" coordsize="2,393">
              <v:shape style="position:absolute;left:4311;top:11198;width:2;height:393" coordorigin="4311,11198" coordsize="0,393" path="m4311,11198l4311,11590e" filled="false" stroked="true" strokeweight="1.08pt" strokecolor="#d2d2d2">
                <v:path arrowok="t"/>
              </v:shape>
            </v:group>
            <v:group style="position:absolute;left:1162;top:11198;width:3139;height:393" coordorigin="1162,11198" coordsize="3139,393">
              <v:shape style="position:absolute;left:1162;top:11198;width:3139;height:393" coordorigin="1162,11198" coordsize="3139,393" path="m1162,11590l4300,11590,4300,11198,1162,11198,1162,11590xe" filled="true" fillcolor="#d2d2d2" stroked="false">
                <v:path arrowok="t"/>
                <v:fill type="solid"/>
              </v:shape>
            </v:group>
            <v:group style="position:absolute;left:1148;top:11191;width:3174;height:2" coordorigin="1148,11191" coordsize="3174,2">
              <v:shape style="position:absolute;left:1148;top:11191;width:3174;height:2" coordorigin="1148,11191" coordsize="3174,0" path="m1148,11191l4322,11191e" filled="false" stroked="true" strokeweight=".72003pt" strokecolor="#000000">
                <v:path arrowok="t"/>
              </v:shape>
            </v:group>
            <v:group style="position:absolute;left:1148;top:11198;width:3174;height:2" coordorigin="1148,11198" coordsize="3174,2">
              <v:shape style="position:absolute;left:1148;top:11198;width:3174;height:2" coordorigin="1148,11198" coordsize="3174,0" path="m1148,11198l4322,11198e" filled="false" stroked="true" strokeweight=".059998pt" strokecolor="#d2d2d2">
                <v:path arrowok="t"/>
              </v:shape>
            </v:group>
            <v:group style="position:absolute;left:4336;top:11191;width:3596;height:2" coordorigin="4336,11191" coordsize="3596,2">
              <v:shape style="position:absolute;left:4336;top:11191;width:3596;height:2" coordorigin="4336,11191" coordsize="3596,0" path="m4336,11191l7932,11191e" filled="false" stroked="true" strokeweight=".72003pt" strokecolor="#000000">
                <v:path arrowok="t"/>
              </v:shape>
            </v:group>
            <v:group style="position:absolute;left:7946;top:11191;width:2742;height:2" coordorigin="7946,11191" coordsize="2742,2">
              <v:shape style="position:absolute;left:7946;top:11191;width:2742;height:2" coordorigin="7946,11191" coordsize="2742,0" path="m7946,11191l10687,11191e" filled="false" stroked="true" strokeweight=".72003pt" strokecolor="#000000">
                <v:path arrowok="t"/>
              </v:shape>
            </v:group>
            <v:group style="position:absolute;left:1155;top:11606;width:2;height:392" coordorigin="1155,11606" coordsize="2,392">
              <v:shape style="position:absolute;left:1155;top:11606;width:2;height:392" coordorigin="1155,11606" coordsize="0,392" path="m1155,11606l1155,11997e" filled="false" stroked="true" strokeweight=".66pt" strokecolor="#d2d2d2">
                <v:path arrowok="t"/>
              </v:shape>
            </v:group>
            <v:group style="position:absolute;left:4311;top:11606;width:2;height:392" coordorigin="4311,11606" coordsize="2,392">
              <v:shape style="position:absolute;left:4311;top:11606;width:2;height:392" coordorigin="4311,11606" coordsize="0,392" path="m4311,11606l4311,11997e" filled="false" stroked="true" strokeweight="1.08pt" strokecolor="#d2d2d2">
                <v:path arrowok="t"/>
              </v:shape>
            </v:group>
            <v:group style="position:absolute;left:1162;top:11606;width:3139;height:392" coordorigin="1162,11606" coordsize="3139,392">
              <v:shape style="position:absolute;left:1162;top:11606;width:3139;height:392" coordorigin="1162,11606" coordsize="3139,392" path="m1162,11997l4300,11997,4300,11606,1162,11606,1162,11997xe" filled="true" fillcolor="#d2d2d2" stroked="false">
                <v:path arrowok="t"/>
                <v:fill type="solid"/>
              </v:shape>
            </v:group>
            <v:group style="position:absolute;left:1148;top:11597;width:3174;height:2" coordorigin="1148,11597" coordsize="3174,2">
              <v:shape style="position:absolute;left:1148;top:11597;width:3174;height:2" coordorigin="1148,11597" coordsize="3174,0" path="m1148,11597l4322,11597e" filled="false" stroked="true" strokeweight=".71997pt" strokecolor="#000000">
                <v:path arrowok="t"/>
              </v:shape>
            </v:group>
            <v:group style="position:absolute;left:1148;top:11605;width:3174;height:2" coordorigin="1148,11605" coordsize="3174,2">
              <v:shape style="position:absolute;left:1148;top:11605;width:3174;height:2" coordorigin="1148,11605" coordsize="3174,0" path="m1148,11605l4322,11605e" filled="false" stroked="true" strokeweight=".059998pt" strokecolor="#d2d2d2">
                <v:path arrowok="t"/>
              </v:shape>
            </v:group>
            <v:group style="position:absolute;left:4336;top:11597;width:6352;height:2" coordorigin="4336,11597" coordsize="6352,2">
              <v:shape style="position:absolute;left:4336;top:11597;width:6352;height:2" coordorigin="4336,11597" coordsize="6352,0" path="m4336,11597l10687,11597e" filled="false" stroked="true" strokeweight=".71997pt" strokecolor="#000000">
                <v:path arrowok="t"/>
              </v:shape>
            </v:group>
            <v:group style="position:absolute;left:1155;top:12013;width:2;height:392" coordorigin="1155,12013" coordsize="2,392">
              <v:shape style="position:absolute;left:1155;top:12013;width:2;height:392" coordorigin="1155,12013" coordsize="0,392" path="m1155,12013l1155,12404e" filled="false" stroked="true" strokeweight=".66pt" strokecolor="#d2d2d2">
                <v:path arrowok="t"/>
              </v:shape>
            </v:group>
            <v:group style="position:absolute;left:4311;top:12013;width:2;height:392" coordorigin="4311,12013" coordsize="2,392">
              <v:shape style="position:absolute;left:4311;top:12013;width:2;height:392" coordorigin="4311,12013" coordsize="0,392" path="m4311,12013l4311,12404e" filled="false" stroked="true" strokeweight="1.08pt" strokecolor="#d2d2d2">
                <v:path arrowok="t"/>
              </v:shape>
            </v:group>
            <v:group style="position:absolute;left:1162;top:12013;width:3139;height:392" coordorigin="1162,12013" coordsize="3139,392">
              <v:shape style="position:absolute;left:1162;top:12013;width:3139;height:392" coordorigin="1162,12013" coordsize="3139,392" path="m1162,12404l4300,12404,4300,12013,1162,12013,1162,12404xe" filled="true" fillcolor="#d2d2d2" stroked="false">
                <v:path arrowok="t"/>
                <v:fill type="solid"/>
              </v:shape>
            </v:group>
            <v:group style="position:absolute;left:1148;top:12004;width:3174;height:2" coordorigin="1148,12004" coordsize="3174,2">
              <v:shape style="position:absolute;left:1148;top:12004;width:3174;height:2" coordorigin="1148,12004" coordsize="3174,0" path="m1148,12004l4322,12004e" filled="false" stroked="true" strokeweight=".72003pt" strokecolor="#000000">
                <v:path arrowok="t"/>
              </v:shape>
            </v:group>
            <v:group style="position:absolute;left:1148;top:12012;width:3174;height:2" coordorigin="1148,12012" coordsize="3174,2">
              <v:shape style="position:absolute;left:1148;top:12012;width:3174;height:2" coordorigin="1148,12012" coordsize="3174,0" path="m1148,12012l4322,12012e" filled="false" stroked="true" strokeweight=".059998pt" strokecolor="#d2d2d2">
                <v:path arrowok="t"/>
              </v:shape>
            </v:group>
            <v:group style="position:absolute;left:4336;top:12004;width:6352;height:2" coordorigin="4336,12004" coordsize="6352,2">
              <v:shape style="position:absolute;left:4336;top:12004;width:6352;height:2" coordorigin="4336,12004" coordsize="6352,0" path="m4336,12004l10687,12004e" filled="false" stroked="true" strokeweight=".72003pt" strokecolor="#000000">
                <v:path arrowok="t"/>
              </v:shape>
            </v:group>
            <v:group style="position:absolute;left:1155;top:12419;width:2;height:393" coordorigin="1155,12419" coordsize="2,393">
              <v:shape style="position:absolute;left:1155;top:12419;width:2;height:393" coordorigin="1155,12419" coordsize="0,393" path="m1155,12419l1155,12812e" filled="false" stroked="true" strokeweight=".66pt" strokecolor="#d2d2d2">
                <v:path arrowok="t"/>
              </v:shape>
            </v:group>
            <v:group style="position:absolute;left:4311;top:12419;width:2;height:393" coordorigin="4311,12419" coordsize="2,393">
              <v:shape style="position:absolute;left:4311;top:12419;width:2;height:393" coordorigin="4311,12419" coordsize="0,393" path="m4311,12419l4311,12812e" filled="false" stroked="true" strokeweight="1.08pt" strokecolor="#d2d2d2">
                <v:path arrowok="t"/>
              </v:shape>
            </v:group>
            <v:group style="position:absolute;left:1162;top:12419;width:3139;height:393" coordorigin="1162,12419" coordsize="3139,393">
              <v:shape style="position:absolute;left:1162;top:12419;width:3139;height:393" coordorigin="1162,12419" coordsize="3139,393" path="m1162,12812l4300,12812,4300,12419,1162,12419,1162,12812xe" filled="true" fillcolor="#d2d2d2" stroked="false">
                <v:path arrowok="t"/>
                <v:fill type="solid"/>
              </v:shape>
            </v:group>
            <v:group style="position:absolute;left:1148;top:12411;width:3174;height:2" coordorigin="1148,12411" coordsize="3174,2">
              <v:shape style="position:absolute;left:1148;top:12411;width:3174;height:2" coordorigin="1148,12411" coordsize="3174,0" path="m1148,12411l4322,12411e" filled="false" stroked="true" strokeweight=".71997pt" strokecolor="#000000">
                <v:path arrowok="t"/>
              </v:shape>
            </v:group>
            <v:group style="position:absolute;left:1148;top:12419;width:3174;height:2" coordorigin="1148,12419" coordsize="3174,2">
              <v:shape style="position:absolute;left:1148;top:12419;width:3174;height:2" coordorigin="1148,12419" coordsize="3174,0" path="m1148,12419l4322,12419e" filled="false" stroked="true" strokeweight=".059998pt" strokecolor="#d2d2d2">
                <v:path arrowok="t"/>
              </v:shape>
            </v:group>
            <v:group style="position:absolute;left:4336;top:12411;width:6352;height:2" coordorigin="4336,12411" coordsize="6352,2">
              <v:shape style="position:absolute;left:4336;top:12411;width:6352;height:2" coordorigin="4336,12411" coordsize="6352,0" path="m4336,12411l10687,12411e" filled="false" stroked="true" strokeweight=".71997pt" strokecolor="#000000">
                <v:path arrowok="t"/>
              </v:shape>
            </v:group>
            <v:group style="position:absolute;left:1133;top:-37;width:2;height:12880" coordorigin="1133,-37" coordsize="2,12880">
              <v:shape style="position:absolute;left:1133;top:-37;width:2;height:12880" coordorigin="1133,-37" coordsize="0,12880" path="m1133,-37l1133,12842e" filled="false" stroked="true" strokeweight="1.5pt" strokecolor="#000000">
                <v:path arrowok="t"/>
              </v:shape>
            </v:group>
            <v:group style="position:absolute;left:1148;top:12827;width:3174;height:2" coordorigin="1148,12827" coordsize="3174,2">
              <v:shape style="position:absolute;left:1148;top:12827;width:3174;height:2" coordorigin="1148,12827" coordsize="3174,0" path="m1148,12827l4322,12827e" filled="false" stroked="true" strokeweight="1.5pt" strokecolor="#000000">
                <v:path arrowok="t"/>
              </v:shape>
            </v:group>
            <v:group style="position:absolute;left:4329;top:-7;width:2;height:12820" coordorigin="4329,-7" coordsize="2,12820">
              <v:shape style="position:absolute;left:4329;top:-7;width:2;height:12820" coordorigin="4329,-7" coordsize="0,12820" path="m4329,-7l4329,12812e" filled="false" stroked="true" strokeweight=".71999pt" strokecolor="#000000">
                <v:path arrowok="t"/>
              </v:shape>
            </v:group>
            <v:group style="position:absolute;left:4322;top:12827;width:30;height:2" coordorigin="4322,12827" coordsize="30,2">
              <v:shape style="position:absolute;left:4322;top:12827;width:30;height:2" coordorigin="4322,12827" coordsize="30,0" path="m4322,12827l4352,12827e" filled="false" stroked="true" strokeweight="1.5pt" strokecolor="#000000">
                <v:path arrowok="t"/>
              </v:shape>
            </v:group>
            <v:group style="position:absolute;left:4352;top:12827;width:6336;height:2" coordorigin="4352,12827" coordsize="6336,2">
              <v:shape style="position:absolute;left:4352;top:12827;width:6336;height:2" coordorigin="4352,12827" coordsize="6336,0" path="m4352,12827l10687,12827e" filled="false" stroked="true" strokeweight="1.5pt" strokecolor="#000000">
                <v:path arrowok="t"/>
              </v:shape>
            </v:group>
            <v:group style="position:absolute;left:10702;top:-37;width:2;height:12880" coordorigin="10702,-37" coordsize="2,12880">
              <v:shape style="position:absolute;left:10702;top:-37;width:2;height:12880" coordorigin="10702,-37" coordsize="0,12880" path="m10702,-37l10702,12842e" filled="false" stroked="true" strokeweight="1.5pt" strokecolor="#000000">
                <v:path arrowok="t"/>
              </v:shape>
            </v:group>
            <w10:wrap type="none"/>
          </v:group>
        </w:pict>
      </w:r>
      <w:r>
        <w:rPr>
          <w:rFonts w:ascii="宋体" w:hAnsi="宋体" w:cs="宋体" w:eastAsia="宋体" w:hint="default"/>
          <w:sz w:val="18"/>
          <w:szCs w:val="18"/>
        </w:rPr>
        <w:t>类别</w:t>
        <w:tab/>
        <w:t>财务报告</w:t>
        <w:tab/>
        <w:t>非财务报告</w:t>
      </w:r>
    </w:p>
    <w:p>
      <w:pPr>
        <w:spacing w:line="240" w:lineRule="auto" w:before="9"/>
        <w:rPr>
          <w:rFonts w:ascii="宋体" w:hAnsi="宋体" w:cs="宋体" w:eastAsia="宋体" w:hint="default"/>
          <w:sz w:val="9"/>
          <w:szCs w:val="9"/>
        </w:rPr>
      </w:pPr>
    </w:p>
    <w:p>
      <w:pPr>
        <w:spacing w:line="316" w:lineRule="auto" w:before="44"/>
        <w:ind w:left="3376" w:right="1122" w:firstLine="0"/>
        <w:jc w:val="left"/>
        <w:rPr>
          <w:rFonts w:ascii="宋体" w:hAnsi="宋体" w:cs="宋体" w:eastAsia="宋体" w:hint="default"/>
          <w:sz w:val="18"/>
          <w:szCs w:val="18"/>
        </w:rPr>
      </w:pPr>
      <w:r>
        <w:rPr>
          <w:rFonts w:ascii="宋体" w:hAnsi="宋体" w:cs="宋体" w:eastAsia="宋体" w:hint="default"/>
          <w:spacing w:val="-3"/>
          <w:sz w:val="18"/>
          <w:szCs w:val="18"/>
        </w:rPr>
        <w:t>①重大缺陷：单独缺陷或连同其他缺陷，导致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不能及时防止或发现并纠正财务报告中的重</w:t>
      </w:r>
    </w:p>
    <w:p>
      <w:pPr>
        <w:spacing w:line="197" w:lineRule="exact" w:before="19"/>
        <w:ind w:left="3376" w:right="1122" w:firstLine="0"/>
        <w:jc w:val="left"/>
        <w:rPr>
          <w:rFonts w:ascii="宋体" w:hAnsi="宋体" w:cs="宋体" w:eastAsia="宋体" w:hint="default"/>
          <w:sz w:val="18"/>
          <w:szCs w:val="18"/>
        </w:rPr>
      </w:pPr>
      <w:r>
        <w:rPr>
          <w:rFonts w:ascii="宋体" w:hAnsi="宋体" w:cs="宋体" w:eastAsia="宋体" w:hint="default"/>
          <w:sz w:val="18"/>
          <w:szCs w:val="18"/>
        </w:rPr>
        <w:t>大错报。出现下列情形的，认定为重大缺陷：</w:t>
      </w:r>
    </w:p>
    <w:p>
      <w:pPr>
        <w:spacing w:line="171" w:lineRule="exact" w:before="0"/>
        <w:ind w:left="6986" w:right="1122" w:firstLine="0"/>
        <w:jc w:val="left"/>
        <w:rPr>
          <w:rFonts w:ascii="宋体" w:hAnsi="宋体" w:cs="宋体" w:eastAsia="宋体" w:hint="default"/>
          <w:sz w:val="18"/>
          <w:szCs w:val="18"/>
        </w:rPr>
      </w:pPr>
      <w:r>
        <w:rPr>
          <w:rFonts w:ascii="宋体" w:hAnsi="宋体" w:cs="宋体" w:eastAsia="宋体" w:hint="default"/>
          <w:sz w:val="18"/>
          <w:szCs w:val="18"/>
        </w:rPr>
        <w:t>具备以下特征之一的缺陷，视影响</w:t>
      </w:r>
    </w:p>
    <w:p>
      <w:pPr>
        <w:spacing w:after="0" w:line="171" w:lineRule="exact"/>
        <w:jc w:val="left"/>
        <w:rPr>
          <w:rFonts w:ascii="宋体" w:hAnsi="宋体" w:cs="宋体" w:eastAsia="宋体" w:hint="default"/>
          <w:sz w:val="18"/>
          <w:szCs w:val="18"/>
        </w:rPr>
        <w:sectPr>
          <w:pgSz w:w="11910" w:h="16840"/>
          <w:pgMar w:header="877" w:footer="1000" w:top="1100" w:bottom="1180" w:left="980" w:right="0"/>
        </w:sectPr>
      </w:pPr>
    </w:p>
    <w:p>
      <w:pPr>
        <w:spacing w:line="180" w:lineRule="exact" w:before="0"/>
        <w:ind w:left="3376" w:right="-13" w:firstLine="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a</w:t>
      </w:r>
      <w:r>
        <w:rPr>
          <w:rFonts w:ascii="宋体" w:hAnsi="宋体" w:cs="宋体" w:eastAsia="宋体" w:hint="default"/>
          <w:spacing w:val="5"/>
          <w:sz w:val="18"/>
          <w:szCs w:val="18"/>
        </w:rPr>
        <w:t>）</w:t>
      </w:r>
      <w:r>
        <w:rPr>
          <w:rFonts w:ascii="宋体" w:hAnsi="宋体" w:cs="宋体" w:eastAsia="宋体" w:hint="default"/>
          <w:spacing w:val="7"/>
          <w:sz w:val="18"/>
          <w:szCs w:val="18"/>
        </w:rPr>
        <w:t>财</w:t>
      </w:r>
      <w:r>
        <w:rPr>
          <w:rFonts w:ascii="宋体" w:hAnsi="宋体" w:cs="宋体" w:eastAsia="宋体" w:hint="default"/>
          <w:spacing w:val="5"/>
          <w:sz w:val="18"/>
          <w:szCs w:val="18"/>
        </w:rPr>
        <w:t>务</w:t>
      </w:r>
      <w:r>
        <w:rPr>
          <w:rFonts w:ascii="宋体" w:hAnsi="宋体" w:cs="宋体" w:eastAsia="宋体" w:hint="default"/>
          <w:spacing w:val="7"/>
          <w:sz w:val="18"/>
          <w:szCs w:val="18"/>
        </w:rPr>
        <w:t>报</w:t>
      </w:r>
      <w:r>
        <w:rPr>
          <w:rFonts w:ascii="宋体" w:hAnsi="宋体" w:cs="宋体" w:eastAsia="宋体" w:hint="default"/>
          <w:spacing w:val="5"/>
          <w:sz w:val="18"/>
          <w:szCs w:val="18"/>
        </w:rPr>
        <w:t>告</w:t>
      </w:r>
      <w:r>
        <w:rPr>
          <w:rFonts w:ascii="宋体" w:hAnsi="宋体" w:cs="宋体" w:eastAsia="宋体" w:hint="default"/>
          <w:spacing w:val="7"/>
          <w:sz w:val="18"/>
          <w:szCs w:val="18"/>
        </w:rPr>
        <w:t>的任</w:t>
      </w:r>
      <w:r>
        <w:rPr>
          <w:rFonts w:ascii="宋体" w:hAnsi="宋体" w:cs="宋体" w:eastAsia="宋体" w:hint="default"/>
          <w:spacing w:val="5"/>
          <w:sz w:val="18"/>
          <w:szCs w:val="18"/>
        </w:rPr>
        <w:t>何</w:t>
      </w:r>
      <w:r>
        <w:rPr>
          <w:rFonts w:ascii="宋体" w:hAnsi="宋体" w:cs="宋体" w:eastAsia="宋体" w:hint="default"/>
          <w:spacing w:val="7"/>
          <w:sz w:val="18"/>
          <w:szCs w:val="18"/>
        </w:rPr>
        <w:t>舞</w:t>
      </w:r>
      <w:r>
        <w:rPr>
          <w:rFonts w:ascii="宋体" w:hAnsi="宋体" w:cs="宋体" w:eastAsia="宋体" w:hint="default"/>
          <w:spacing w:val="5"/>
          <w:sz w:val="18"/>
          <w:szCs w:val="18"/>
        </w:rPr>
        <w:t>弊</w:t>
      </w:r>
      <w:r>
        <w:rPr>
          <w:rFonts w:ascii="宋体" w:hAnsi="宋体" w:cs="宋体" w:eastAsia="宋体" w:hint="default"/>
          <w:spacing w:val="-83"/>
          <w:sz w:val="18"/>
          <w:szCs w:val="18"/>
        </w:rPr>
        <w:t>；</w:t>
      </w:r>
      <w:r>
        <w:rPr>
          <w:rFonts w:ascii="宋体" w:hAnsi="宋体" w:cs="宋体" w:eastAsia="宋体" w:hint="default"/>
          <w:spacing w:val="8"/>
          <w:sz w:val="18"/>
          <w:szCs w:val="18"/>
        </w:rPr>
        <w:t>（</w:t>
      </w:r>
      <w:r>
        <w:rPr>
          <w:rFonts w:ascii="宋体" w:hAnsi="宋体" w:cs="宋体" w:eastAsia="宋体" w:hint="default"/>
          <w:spacing w:val="7"/>
          <w:sz w:val="18"/>
          <w:szCs w:val="18"/>
        </w:rPr>
        <w:t>b</w:t>
      </w:r>
      <w:r>
        <w:rPr>
          <w:rFonts w:ascii="宋体" w:hAnsi="宋体" w:cs="宋体" w:eastAsia="宋体" w:hint="default"/>
          <w:spacing w:val="7"/>
          <w:sz w:val="18"/>
          <w:szCs w:val="18"/>
        </w:rPr>
        <w:t>）</w:t>
      </w:r>
      <w:r>
        <w:rPr>
          <w:rFonts w:ascii="宋体" w:hAnsi="宋体" w:cs="宋体" w:eastAsia="宋体" w:hint="default"/>
          <w:spacing w:val="5"/>
          <w:sz w:val="18"/>
          <w:szCs w:val="18"/>
        </w:rPr>
        <w:t>对</w:t>
      </w:r>
      <w:r>
        <w:rPr>
          <w:rFonts w:ascii="宋体" w:hAnsi="宋体" w:cs="宋体" w:eastAsia="宋体" w:hint="default"/>
          <w:spacing w:val="7"/>
          <w:sz w:val="18"/>
          <w:szCs w:val="18"/>
        </w:rPr>
        <w:t>已</w:t>
      </w:r>
      <w:r>
        <w:rPr>
          <w:rFonts w:ascii="宋体" w:hAnsi="宋体" w:cs="宋体" w:eastAsia="宋体" w:hint="default"/>
          <w:spacing w:val="5"/>
          <w:sz w:val="18"/>
          <w:szCs w:val="18"/>
        </w:rPr>
        <w:t>公</w:t>
      </w:r>
      <w:r>
        <w:rPr>
          <w:rFonts w:ascii="宋体" w:hAnsi="宋体" w:cs="宋体" w:eastAsia="宋体" w:hint="default"/>
          <w:spacing w:val="8"/>
          <w:sz w:val="18"/>
          <w:szCs w:val="18"/>
        </w:rPr>
        <w:t>布</w:t>
      </w:r>
      <w:r>
        <w:rPr>
          <w:rFonts w:ascii="宋体" w:hAnsi="宋体" w:cs="宋体" w:eastAsia="宋体" w:hint="default"/>
          <w:sz w:val="18"/>
          <w:szCs w:val="18"/>
        </w:rPr>
        <w:t>/</w:t>
      </w:r>
    </w:p>
    <w:p>
      <w:pPr>
        <w:spacing w:line="212" w:lineRule="exact" w:before="100"/>
        <w:ind w:left="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程度可认定为重要缺陷或重大缺</w:t>
      </w:r>
    </w:p>
    <w:p>
      <w:pPr>
        <w:spacing w:after="0" w:line="212" w:lineRule="exact"/>
        <w:jc w:val="left"/>
        <w:rPr>
          <w:rFonts w:ascii="宋体" w:hAnsi="宋体" w:cs="宋体" w:eastAsia="宋体" w:hint="default"/>
          <w:sz w:val="18"/>
          <w:szCs w:val="18"/>
        </w:rPr>
        <w:sectPr>
          <w:type w:val="continuous"/>
          <w:pgSz w:w="11910" w:h="16840"/>
          <w:pgMar w:top="1580" w:bottom="700" w:left="980" w:right="0"/>
          <w:cols w:num="2" w:equalWidth="0">
            <w:col w:w="6932" w:space="40"/>
            <w:col w:w="3958"/>
          </w:cols>
        </w:sectPr>
      </w:pPr>
    </w:p>
    <w:p>
      <w:pPr>
        <w:spacing w:line="140" w:lineRule="exact" w:before="0"/>
        <w:ind w:left="3376" w:right="1122" w:firstLine="0"/>
        <w:jc w:val="left"/>
        <w:rPr>
          <w:rFonts w:ascii="宋体" w:hAnsi="宋体" w:cs="宋体" w:eastAsia="宋体" w:hint="default"/>
          <w:sz w:val="18"/>
          <w:szCs w:val="18"/>
        </w:rPr>
      </w:pPr>
      <w:r>
        <w:rPr>
          <w:rFonts w:ascii="宋体" w:hAnsi="宋体" w:cs="宋体" w:eastAsia="宋体" w:hint="default"/>
          <w:sz w:val="18"/>
          <w:szCs w:val="18"/>
        </w:rPr>
        <w:t>披露的财务报告进行重报，以更正重大错误；</w:t>
      </w:r>
    </w:p>
    <w:p>
      <w:pPr>
        <w:spacing w:line="172" w:lineRule="exact" w:before="0"/>
        <w:ind w:left="6986" w:right="1122" w:firstLine="0"/>
        <w:jc w:val="left"/>
        <w:rPr>
          <w:rFonts w:ascii="宋体" w:hAnsi="宋体" w:cs="宋体" w:eastAsia="宋体" w:hint="default"/>
          <w:sz w:val="18"/>
          <w:szCs w:val="18"/>
        </w:rPr>
      </w:pPr>
      <w:r>
        <w:rPr>
          <w:rFonts w:ascii="宋体" w:hAnsi="宋体" w:cs="宋体" w:eastAsia="宋体" w:hint="default"/>
          <w:sz w:val="18"/>
          <w:szCs w:val="18"/>
        </w:rPr>
        <w:t>陷。 （</w:t>
      </w:r>
      <w:r>
        <w:rPr>
          <w:rFonts w:ascii="宋体" w:hAnsi="宋体" w:cs="宋体" w:eastAsia="宋体" w:hint="default"/>
          <w:sz w:val="18"/>
          <w:szCs w:val="18"/>
        </w:rPr>
        <w:t>a</w:t>
      </w:r>
      <w:r>
        <w:rPr>
          <w:rFonts w:ascii="宋体" w:hAnsi="宋体" w:cs="宋体" w:eastAsia="宋体" w:hint="default"/>
          <w:sz w:val="18"/>
          <w:szCs w:val="18"/>
        </w:rPr>
        <w:t>）违反法律法规，导致被</w:t>
      </w:r>
    </w:p>
    <w:p>
      <w:pPr>
        <w:spacing w:after="0" w:line="172" w:lineRule="exact"/>
        <w:jc w:val="left"/>
        <w:rPr>
          <w:rFonts w:ascii="宋体" w:hAnsi="宋体" w:cs="宋体" w:eastAsia="宋体" w:hint="default"/>
          <w:sz w:val="18"/>
          <w:szCs w:val="18"/>
        </w:rPr>
        <w:sectPr>
          <w:type w:val="continuous"/>
          <w:pgSz w:w="11910" w:h="16840"/>
          <w:pgMar w:top="1580" w:bottom="70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9"/>
          <w:szCs w:val="19"/>
        </w:rPr>
      </w:pPr>
    </w:p>
    <w:p>
      <w:pPr>
        <w:spacing w:before="0"/>
        <w:ind w:left="1390" w:right="-20" w:firstLine="0"/>
        <w:jc w:val="left"/>
        <w:rPr>
          <w:rFonts w:ascii="宋体" w:hAnsi="宋体" w:cs="宋体" w:eastAsia="宋体" w:hint="default"/>
          <w:sz w:val="18"/>
          <w:szCs w:val="18"/>
        </w:rPr>
      </w:pPr>
      <w:r>
        <w:rPr>
          <w:rFonts w:ascii="宋体" w:hAnsi="宋体" w:cs="宋体" w:eastAsia="宋体" w:hint="default"/>
          <w:sz w:val="18"/>
          <w:szCs w:val="18"/>
        </w:rPr>
        <w:t>定性标准</w:t>
      </w:r>
    </w:p>
    <w:p>
      <w:pPr>
        <w:spacing w:line="180" w:lineRule="exact" w:before="0"/>
        <w:ind w:left="1225"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w:t>
      </w:r>
      <w:r>
        <w:rPr>
          <w:rFonts w:ascii="宋体" w:hAnsi="宋体" w:cs="宋体" w:eastAsia="宋体" w:hint="default"/>
          <w:sz w:val="18"/>
          <w:szCs w:val="18"/>
        </w:rPr>
        <w:t>c</w:t>
      </w:r>
      <w:r>
        <w:rPr>
          <w:rFonts w:ascii="宋体" w:hAnsi="宋体" w:cs="宋体" w:eastAsia="宋体" w:hint="default"/>
          <w:sz w:val="18"/>
          <w:szCs w:val="18"/>
        </w:rPr>
        <w:t>）注册会计师审计中发现重大错报，需进</w:t>
      </w:r>
    </w:p>
    <w:p>
      <w:pPr>
        <w:spacing w:line="316" w:lineRule="auto" w:before="76"/>
        <w:ind w:left="1225" w:right="0" w:firstLine="0"/>
        <w:jc w:val="both"/>
        <w:rPr>
          <w:rFonts w:ascii="宋体" w:hAnsi="宋体" w:cs="宋体" w:eastAsia="宋体" w:hint="default"/>
          <w:sz w:val="18"/>
          <w:szCs w:val="18"/>
        </w:rPr>
      </w:pPr>
      <w:r>
        <w:rPr>
          <w:rFonts w:ascii="宋体" w:hAnsi="宋体" w:cs="宋体" w:eastAsia="宋体" w:hint="default"/>
          <w:spacing w:val="-7"/>
          <w:sz w:val="18"/>
          <w:szCs w:val="18"/>
        </w:rPr>
        <w:t>行调整；（</w:t>
      </w:r>
      <w:r>
        <w:rPr>
          <w:rFonts w:ascii="宋体" w:hAnsi="宋体" w:cs="宋体" w:eastAsia="宋体" w:hint="default"/>
          <w:spacing w:val="-7"/>
          <w:sz w:val="18"/>
          <w:szCs w:val="18"/>
        </w:rPr>
        <w:t>d</w:t>
      </w:r>
      <w:r>
        <w:rPr>
          <w:rFonts w:ascii="宋体" w:hAnsi="宋体" w:cs="宋体" w:eastAsia="宋体" w:hint="default"/>
          <w:spacing w:val="-7"/>
          <w:sz w:val="18"/>
          <w:szCs w:val="18"/>
        </w:rPr>
        <w:t>）内部审计对财务报告的监督无效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等。②重要缺陷：单独缺陷或连同其他缺陷， </w:t>
      </w:r>
      <w:r>
        <w:rPr>
          <w:rFonts w:ascii="宋体" w:hAnsi="宋体" w:cs="宋体" w:eastAsia="宋体" w:hint="default"/>
          <w:spacing w:val="6"/>
          <w:sz w:val="18"/>
          <w:szCs w:val="18"/>
        </w:rPr>
        <w:t>导致不能及时防止或发现并纠正财务报告中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虽不构成重大错报但仍应引起管理层重视的</w:t>
      </w:r>
    </w:p>
    <w:p>
      <w:pPr>
        <w:spacing w:line="310" w:lineRule="atLeast" w:before="26"/>
        <w:ind w:left="-31" w:right="1237" w:firstLine="0"/>
        <w:jc w:val="both"/>
        <w:rPr>
          <w:rFonts w:ascii="宋体" w:hAnsi="宋体" w:cs="宋体" w:eastAsia="宋体" w:hint="default"/>
          <w:sz w:val="18"/>
          <w:szCs w:val="18"/>
        </w:rPr>
      </w:pPr>
      <w:r>
        <w:rPr/>
        <w:br w:type="column"/>
      </w:r>
      <w:r>
        <w:rPr>
          <w:rFonts w:ascii="宋体" w:hAnsi="宋体" w:cs="宋体" w:eastAsia="宋体" w:hint="default"/>
          <w:sz w:val="18"/>
          <w:szCs w:val="18"/>
        </w:rPr>
        <w:t>行政法律部门、监管机构判罚或处 罚； （</w:t>
      </w:r>
      <w:r>
        <w:rPr>
          <w:rFonts w:ascii="宋体" w:hAnsi="宋体" w:cs="宋体" w:eastAsia="宋体" w:hint="default"/>
          <w:sz w:val="18"/>
          <w:szCs w:val="18"/>
        </w:rPr>
        <w:t>b</w:t>
      </w:r>
      <w:r>
        <w:rPr>
          <w:rFonts w:ascii="宋体" w:hAnsi="宋体" w:cs="宋体" w:eastAsia="宋体" w:hint="default"/>
          <w:sz w:val="18"/>
          <w:szCs w:val="18"/>
        </w:rPr>
        <w:t>）被媒体曝光负面新闻， 且未能及时消除影响，导致公司生 产经营、企业形象受损； （</w:t>
      </w:r>
      <w:r>
        <w:rPr>
          <w:rFonts w:ascii="宋体" w:hAnsi="宋体" w:cs="宋体" w:eastAsia="宋体" w:hint="default"/>
          <w:sz w:val="18"/>
          <w:szCs w:val="18"/>
        </w:rPr>
        <w:t>c</w:t>
      </w:r>
      <w:r>
        <w:rPr>
          <w:rFonts w:ascii="宋体" w:hAnsi="宋体" w:cs="宋体" w:eastAsia="宋体" w:hint="default"/>
          <w:sz w:val="18"/>
          <w:szCs w:val="18"/>
        </w:rPr>
        <w:t>）出 现安全生产、环境保护和质量方面</w:t>
      </w:r>
    </w:p>
    <w:p>
      <w:pPr>
        <w:spacing w:after="0" w:line="310" w:lineRule="atLeast"/>
        <w:jc w:val="both"/>
        <w:rPr>
          <w:rFonts w:ascii="宋体" w:hAnsi="宋体" w:cs="宋体" w:eastAsia="宋体" w:hint="default"/>
          <w:sz w:val="18"/>
          <w:szCs w:val="18"/>
        </w:rPr>
        <w:sectPr>
          <w:type w:val="continuous"/>
          <w:pgSz w:w="11910" w:h="16840"/>
          <w:pgMar w:top="1580" w:bottom="700" w:left="980" w:right="0"/>
          <w:cols w:num="3" w:equalWidth="0">
            <w:col w:w="2111" w:space="40"/>
            <w:col w:w="4827" w:space="40"/>
            <w:col w:w="3912"/>
          </w:cols>
        </w:sectPr>
      </w:pPr>
    </w:p>
    <w:p>
      <w:pPr>
        <w:spacing w:line="116" w:lineRule="exact" w:before="0"/>
        <w:ind w:left="3376" w:right="1122" w:firstLine="0"/>
        <w:jc w:val="left"/>
        <w:rPr>
          <w:rFonts w:ascii="宋体" w:hAnsi="宋体" w:cs="宋体" w:eastAsia="宋体" w:hint="default"/>
          <w:sz w:val="18"/>
          <w:szCs w:val="18"/>
        </w:rPr>
      </w:pPr>
      <w:r>
        <w:rPr>
          <w:rFonts w:ascii="宋体" w:hAnsi="宋体" w:cs="宋体" w:eastAsia="宋体" w:hint="default"/>
          <w:sz w:val="18"/>
          <w:szCs w:val="18"/>
        </w:rPr>
        <w:t>错报</w:t>
      </w:r>
      <w:r>
        <w:rPr>
          <w:rFonts w:ascii="宋体" w:hAnsi="宋体" w:cs="宋体" w:eastAsia="宋体" w:hint="default"/>
          <w:spacing w:val="-159"/>
          <w:sz w:val="18"/>
          <w:szCs w:val="18"/>
        </w:rPr>
        <w:t>：</w:t>
      </w:r>
      <w:r>
        <w:rPr>
          <w:rFonts w:ascii="宋体" w:hAnsi="宋体" w:cs="宋体" w:eastAsia="宋体" w:hint="default"/>
          <w:sz w:val="18"/>
          <w:szCs w:val="18"/>
        </w:rPr>
        <w:t>（</w:t>
      </w:r>
      <w:r>
        <w:rPr>
          <w:rFonts w:ascii="宋体" w:hAnsi="宋体" w:cs="宋体" w:eastAsia="宋体" w:hint="default"/>
          <w:sz w:val="18"/>
          <w:szCs w:val="18"/>
        </w:rPr>
        <w:t>a</w:t>
      </w:r>
      <w:r>
        <w:rPr>
          <w:rFonts w:ascii="宋体" w:hAnsi="宋体" w:cs="宋体" w:eastAsia="宋体" w:hint="default"/>
          <w:spacing w:val="-69"/>
          <w:sz w:val="18"/>
          <w:szCs w:val="18"/>
        </w:rPr>
        <w:t>）</w:t>
      </w:r>
      <w:r>
        <w:rPr>
          <w:rFonts w:ascii="宋体" w:hAnsi="宋体" w:cs="宋体" w:eastAsia="宋体" w:hint="default"/>
          <w:sz w:val="18"/>
          <w:szCs w:val="18"/>
        </w:rPr>
        <w:t>财</w:t>
      </w:r>
      <w:r>
        <w:rPr>
          <w:rFonts w:ascii="宋体" w:hAnsi="宋体" w:cs="宋体" w:eastAsia="宋体" w:hint="default"/>
          <w:spacing w:val="1"/>
          <w:sz w:val="18"/>
          <w:szCs w:val="18"/>
        </w:rPr>
        <w:t>务</w:t>
      </w:r>
      <w:r>
        <w:rPr>
          <w:rFonts w:ascii="宋体" w:hAnsi="宋体" w:cs="宋体" w:eastAsia="宋体" w:hint="default"/>
          <w:sz w:val="18"/>
          <w:szCs w:val="18"/>
        </w:rPr>
        <w:t>报告内控缺陷整改情况不理想；</w:t>
      </w:r>
    </w:p>
    <w:p>
      <w:pPr>
        <w:spacing w:line="172" w:lineRule="exact" w:before="0"/>
        <w:ind w:left="6986" w:right="0" w:firstLine="0"/>
        <w:jc w:val="left"/>
        <w:rPr>
          <w:rFonts w:ascii="宋体" w:hAnsi="宋体" w:cs="宋体" w:eastAsia="宋体" w:hint="default"/>
          <w:sz w:val="18"/>
          <w:szCs w:val="18"/>
        </w:rPr>
      </w:pPr>
      <w:r>
        <w:rPr>
          <w:rFonts w:ascii="宋体" w:hAnsi="宋体" w:cs="宋体" w:eastAsia="宋体" w:hint="default"/>
          <w:spacing w:val="-3"/>
          <w:sz w:val="18"/>
          <w:szCs w:val="18"/>
        </w:rPr>
        <w:t>的重大事故，导致严重后果；</w:t>
      </w:r>
      <w:r>
        <w:rPr>
          <w:rFonts w:ascii="宋体" w:hAnsi="宋体" w:cs="宋体" w:eastAsia="宋体" w:hint="default"/>
          <w:spacing w:val="-44"/>
          <w:sz w:val="18"/>
          <w:szCs w:val="18"/>
        </w:rPr>
        <w:t> </w:t>
      </w:r>
      <w:r>
        <w:rPr>
          <w:rFonts w:ascii="宋体" w:hAnsi="宋体" w:cs="宋体" w:eastAsia="宋体" w:hint="default"/>
          <w:sz w:val="18"/>
          <w:szCs w:val="18"/>
        </w:rPr>
        <w:t>（</w:t>
      </w:r>
      <w:r>
        <w:rPr>
          <w:rFonts w:ascii="宋体" w:hAnsi="宋体" w:cs="宋体" w:eastAsia="宋体" w:hint="default"/>
          <w:sz w:val="18"/>
          <w:szCs w:val="18"/>
        </w:rPr>
        <w:t>d</w:t>
      </w:r>
      <w:r>
        <w:rPr>
          <w:rFonts w:ascii="宋体" w:hAnsi="宋体" w:cs="宋体" w:eastAsia="宋体" w:hint="default"/>
          <w:sz w:val="18"/>
          <w:szCs w:val="18"/>
        </w:rPr>
        <w:t>）</w:t>
      </w:r>
    </w:p>
    <w:p>
      <w:pPr>
        <w:spacing w:after="0" w:line="172" w:lineRule="exact"/>
        <w:jc w:val="left"/>
        <w:rPr>
          <w:rFonts w:ascii="宋体" w:hAnsi="宋体" w:cs="宋体" w:eastAsia="宋体" w:hint="default"/>
          <w:sz w:val="18"/>
          <w:szCs w:val="18"/>
        </w:rPr>
        <w:sectPr>
          <w:type w:val="continuous"/>
          <w:pgSz w:w="11910" w:h="16840"/>
          <w:pgMar w:top="1580" w:bottom="700" w:left="980" w:right="0"/>
        </w:sectPr>
      </w:pPr>
    </w:p>
    <w:p>
      <w:pPr>
        <w:spacing w:line="180" w:lineRule="exact" w:before="0"/>
        <w:ind w:left="3376"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b</w:t>
      </w:r>
      <w:r>
        <w:rPr>
          <w:rFonts w:ascii="宋体" w:hAnsi="宋体" w:cs="宋体" w:eastAsia="宋体" w:hint="default"/>
          <w:sz w:val="18"/>
          <w:szCs w:val="18"/>
        </w:rPr>
        <w:t>）集团内就同一交易、事项的会计政策不</w:t>
      </w:r>
    </w:p>
    <w:p>
      <w:pPr>
        <w:spacing w:line="319" w:lineRule="auto" w:before="76"/>
        <w:ind w:left="3376" w:right="0" w:firstLine="0"/>
        <w:jc w:val="both"/>
        <w:rPr>
          <w:rFonts w:ascii="宋体" w:hAnsi="宋体" w:cs="宋体" w:eastAsia="宋体" w:hint="default"/>
          <w:sz w:val="18"/>
          <w:szCs w:val="18"/>
        </w:rPr>
      </w:pPr>
      <w:r>
        <w:rPr>
          <w:rFonts w:ascii="宋体" w:hAnsi="宋体" w:cs="宋体" w:eastAsia="宋体" w:hint="default"/>
          <w:spacing w:val="-7"/>
          <w:sz w:val="18"/>
          <w:szCs w:val="18"/>
        </w:rPr>
        <w:t>统一；（</w:t>
      </w:r>
      <w:r>
        <w:rPr>
          <w:rFonts w:ascii="宋体" w:hAnsi="宋体" w:cs="宋体" w:eastAsia="宋体" w:hint="default"/>
          <w:spacing w:val="-7"/>
          <w:sz w:val="18"/>
          <w:szCs w:val="18"/>
        </w:rPr>
        <w:t>c</w:t>
      </w:r>
      <w:r>
        <w:rPr>
          <w:rFonts w:ascii="宋体" w:hAnsi="宋体" w:cs="宋体" w:eastAsia="宋体" w:hint="default"/>
          <w:spacing w:val="-7"/>
          <w:sz w:val="18"/>
          <w:szCs w:val="18"/>
        </w:rPr>
        <w:t>）会计政策的制定未结合公司实际情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况，直接照搬准则（上市公司），实际操作存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在较大的人为因素；（</w:t>
      </w:r>
      <w:r>
        <w:rPr>
          <w:rFonts w:ascii="宋体" w:hAnsi="宋体" w:cs="宋体" w:eastAsia="宋体" w:hint="default"/>
          <w:spacing w:val="-7"/>
          <w:sz w:val="18"/>
          <w:szCs w:val="18"/>
        </w:rPr>
        <w:t>d</w:t>
      </w:r>
      <w:r>
        <w:rPr>
          <w:rFonts w:ascii="宋体" w:hAnsi="宋体" w:cs="宋体" w:eastAsia="宋体" w:hint="default"/>
          <w:spacing w:val="-7"/>
          <w:sz w:val="18"/>
          <w:szCs w:val="18"/>
        </w:rPr>
        <w:t>）对非常规、特殊和复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杂交易未给予足够重视，影响实际的会计处理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工作；（</w:t>
      </w:r>
      <w:r>
        <w:rPr>
          <w:rFonts w:ascii="宋体" w:hAnsi="宋体" w:cs="宋体" w:eastAsia="宋体" w:hint="default"/>
          <w:spacing w:val="-3"/>
          <w:sz w:val="18"/>
          <w:szCs w:val="18"/>
        </w:rPr>
        <w:t>e</w:t>
      </w:r>
      <w:r>
        <w:rPr>
          <w:rFonts w:ascii="宋体" w:hAnsi="宋体" w:cs="宋体" w:eastAsia="宋体" w:hint="default"/>
          <w:spacing w:val="-3"/>
          <w:sz w:val="18"/>
          <w:szCs w:val="18"/>
        </w:rPr>
        <w:t>）期末财务报告的编制不规范。</w:t>
      </w:r>
      <w:r>
        <w:rPr>
          <w:rFonts w:ascii="宋体" w:hAnsi="宋体" w:cs="宋体" w:eastAsia="宋体" w:hint="default"/>
          <w:spacing w:val="7"/>
          <w:sz w:val="18"/>
          <w:szCs w:val="18"/>
        </w:rPr>
        <w:t> </w:t>
      </w:r>
      <w:r>
        <w:rPr>
          <w:rFonts w:ascii="宋体" w:hAnsi="宋体" w:cs="宋体" w:eastAsia="宋体" w:hint="default"/>
          <w:sz w:val="18"/>
          <w:szCs w:val="18"/>
        </w:rPr>
        <w:t>③</w:t>
      </w:r>
      <w:r>
        <w:rPr>
          <w:rFonts w:ascii="宋体" w:hAnsi="宋体" w:cs="宋体" w:eastAsia="宋体" w:hint="default"/>
          <w:sz w:val="18"/>
          <w:szCs w:val="18"/>
        </w:rPr>
        <w:t> </w:t>
      </w:r>
      <w:r>
        <w:rPr>
          <w:rFonts w:ascii="宋体" w:hAnsi="宋体" w:cs="宋体" w:eastAsia="宋体" w:hint="default"/>
          <w:spacing w:val="-3"/>
          <w:sz w:val="18"/>
          <w:szCs w:val="18"/>
        </w:rPr>
        <w:t>一般缺陷：不构成重大缺陷或重要缺陷的其他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内部控制缺陷。</w:t>
      </w:r>
    </w:p>
    <w:p>
      <w:pPr>
        <w:spacing w:line="319" w:lineRule="auto" w:before="100"/>
        <w:ind w:left="15" w:right="1237" w:firstLine="0"/>
        <w:jc w:val="both"/>
        <w:rPr>
          <w:rFonts w:ascii="宋体" w:hAnsi="宋体" w:cs="宋体" w:eastAsia="宋体" w:hint="default"/>
          <w:sz w:val="18"/>
          <w:szCs w:val="18"/>
        </w:rPr>
      </w:pPr>
      <w:r>
        <w:rPr/>
        <w:br w:type="column"/>
      </w:r>
      <w:r>
        <w:rPr>
          <w:rFonts w:ascii="宋体" w:hAnsi="宋体" w:cs="宋体" w:eastAsia="宋体" w:hint="default"/>
          <w:sz w:val="18"/>
          <w:szCs w:val="18"/>
        </w:rPr>
        <w:t>高风险业务未有相关制度规范，重 要业务缺乏制度控制； （</w:t>
      </w:r>
      <w:r>
        <w:rPr>
          <w:rFonts w:ascii="宋体" w:hAnsi="宋体" w:cs="宋体" w:eastAsia="宋体" w:hint="default"/>
          <w:sz w:val="18"/>
          <w:szCs w:val="18"/>
        </w:rPr>
        <w:t>e</w:t>
      </w:r>
      <w:r>
        <w:rPr>
          <w:rFonts w:ascii="宋体" w:hAnsi="宋体" w:cs="宋体" w:eastAsia="宋体" w:hint="default"/>
          <w:sz w:val="18"/>
          <w:szCs w:val="18"/>
        </w:rPr>
        <w:t>）对已 经发现并报告给管理层的重大或重 要内部控制缺陷在经过合理的时间 后，并未加以改正。</w:t>
      </w:r>
    </w:p>
    <w:p>
      <w:pPr>
        <w:spacing w:after="0" w:line="319" w:lineRule="auto"/>
        <w:jc w:val="both"/>
        <w:rPr>
          <w:rFonts w:ascii="宋体" w:hAnsi="宋体" w:cs="宋体" w:eastAsia="宋体" w:hint="default"/>
          <w:sz w:val="18"/>
          <w:szCs w:val="18"/>
        </w:rPr>
        <w:sectPr>
          <w:type w:val="continuous"/>
          <w:pgSz w:w="11910" w:h="16840"/>
          <w:pgMar w:top="1580" w:bottom="700" w:left="980" w:right="0"/>
          <w:cols w:num="2" w:equalWidth="0">
            <w:col w:w="6932" w:space="40"/>
            <w:col w:w="395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1390" w:right="-20" w:firstLine="0"/>
        <w:jc w:val="left"/>
        <w:rPr>
          <w:rFonts w:ascii="宋体" w:hAnsi="宋体" w:cs="宋体" w:eastAsia="宋体" w:hint="default"/>
          <w:sz w:val="18"/>
          <w:szCs w:val="18"/>
        </w:rPr>
      </w:pPr>
      <w:r>
        <w:rPr>
          <w:rFonts w:ascii="宋体" w:hAnsi="宋体" w:cs="宋体" w:eastAsia="宋体" w:hint="default"/>
          <w:sz w:val="18"/>
          <w:szCs w:val="18"/>
        </w:rPr>
        <w:t>定量标准</w:t>
      </w:r>
    </w:p>
    <w:p>
      <w:pPr>
        <w:spacing w:line="316" w:lineRule="auto" w:before="112"/>
        <w:ind w:left="1225" w:right="0" w:firstLine="0"/>
        <w:jc w:val="both"/>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以利润总额和总资产孰低的原则确定重要性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水平。①内部控制缺陷可能导致或导致的损失</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与利润表相关的，以利润总额作为指标衡量。 </w:t>
      </w:r>
      <w:r>
        <w:rPr>
          <w:rFonts w:ascii="宋体" w:hAnsi="宋体" w:cs="宋体" w:eastAsia="宋体" w:hint="default"/>
          <w:spacing w:val="6"/>
          <w:sz w:val="18"/>
          <w:szCs w:val="18"/>
        </w:rPr>
        <w:t>如果该缺陷单独或连同其他缺陷可能导致的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财务报告错报金额小于利润总额的 </w:t>
      </w:r>
      <w:r>
        <w:rPr>
          <w:rFonts w:ascii="宋体" w:hAnsi="宋体" w:cs="宋体" w:eastAsia="宋体" w:hint="default"/>
          <w:sz w:val="18"/>
          <w:szCs w:val="18"/>
        </w:rPr>
        <w:t>1%</w:t>
      </w:r>
      <w:r>
        <w:rPr>
          <w:rFonts w:ascii="宋体" w:hAnsi="宋体" w:cs="宋体" w:eastAsia="宋体" w:hint="default"/>
          <w:sz w:val="18"/>
          <w:szCs w:val="18"/>
        </w:rPr>
        <w:t>，认定</w:t>
      </w:r>
      <w:r>
        <w:rPr>
          <w:rFonts w:ascii="宋体" w:hAnsi="宋体" w:cs="宋体" w:eastAsia="宋体" w:hint="default"/>
          <w:spacing w:val="-53"/>
          <w:sz w:val="18"/>
          <w:szCs w:val="18"/>
        </w:rPr>
        <w:t> </w:t>
      </w:r>
      <w:r>
        <w:rPr>
          <w:rFonts w:ascii="宋体" w:hAnsi="宋体" w:cs="宋体" w:eastAsia="宋体" w:hint="default"/>
          <w:sz w:val="18"/>
          <w:szCs w:val="18"/>
        </w:rPr>
        <w:t>为一般缺陷；如果超过利润总额 </w:t>
      </w:r>
      <w:r>
        <w:rPr>
          <w:rFonts w:ascii="宋体" w:hAnsi="宋体" w:cs="宋体" w:eastAsia="宋体" w:hint="default"/>
          <w:sz w:val="18"/>
          <w:szCs w:val="18"/>
        </w:rPr>
        <w:t>1%</w:t>
      </w:r>
      <w:r>
        <w:rPr>
          <w:rFonts w:ascii="宋体" w:hAnsi="宋体" w:cs="宋体" w:eastAsia="宋体" w:hint="default"/>
          <w:sz w:val="18"/>
          <w:szCs w:val="18"/>
        </w:rPr>
        <w:t>、不足</w:t>
      </w:r>
      <w:r>
        <w:rPr>
          <w:rFonts w:ascii="宋体" w:hAnsi="宋体" w:cs="宋体" w:eastAsia="宋体" w:hint="default"/>
          <w:spacing w:val="-46"/>
          <w:sz w:val="18"/>
          <w:szCs w:val="18"/>
        </w:rPr>
        <w:t> </w:t>
      </w:r>
      <w:r>
        <w:rPr>
          <w:rFonts w:ascii="宋体" w:hAnsi="宋体" w:cs="宋体" w:eastAsia="宋体" w:hint="default"/>
          <w:sz w:val="18"/>
          <w:szCs w:val="18"/>
        </w:rPr>
        <w:t>5%</w:t>
      </w:r>
    </w:p>
    <w:p>
      <w:pPr>
        <w:spacing w:line="319" w:lineRule="auto" w:before="19"/>
        <w:ind w:left="1225" w:right="41" w:firstLine="0"/>
        <w:jc w:val="both"/>
        <w:rPr>
          <w:rFonts w:ascii="宋体" w:hAnsi="宋体" w:cs="宋体" w:eastAsia="宋体" w:hint="default"/>
          <w:sz w:val="18"/>
          <w:szCs w:val="18"/>
        </w:rPr>
      </w:pPr>
      <w:r>
        <w:rPr>
          <w:rFonts w:ascii="宋体" w:hAnsi="宋体" w:cs="宋体" w:eastAsia="宋体" w:hint="default"/>
          <w:spacing w:val="-3"/>
          <w:sz w:val="18"/>
          <w:szCs w:val="18"/>
        </w:rPr>
        <w:t>（超过、不足均含本数），认定为重要缺陷；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如果大于利润总额</w:t>
      </w:r>
      <w:r>
        <w:rPr>
          <w:rFonts w:ascii="宋体" w:hAnsi="宋体" w:cs="宋体" w:eastAsia="宋体" w:hint="default"/>
          <w:spacing w:val="31"/>
          <w:sz w:val="18"/>
          <w:szCs w:val="18"/>
        </w:rPr>
        <w:t> </w:t>
      </w:r>
      <w:r>
        <w:rPr>
          <w:rFonts w:ascii="宋体" w:hAnsi="宋体" w:cs="宋体" w:eastAsia="宋体" w:hint="default"/>
          <w:sz w:val="18"/>
          <w:szCs w:val="18"/>
        </w:rPr>
        <w:t>5%</w:t>
      </w:r>
      <w:r>
        <w:rPr>
          <w:rFonts w:ascii="宋体" w:hAnsi="宋体" w:cs="宋体" w:eastAsia="宋体" w:hint="default"/>
          <w:sz w:val="18"/>
          <w:szCs w:val="18"/>
        </w:rPr>
        <w:t>，认定为重大缺陷。②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内部控制缺陷可能导致或导致的损失与资产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管理相关的，以总资产作为指标衡量。如果该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缺陷单独或连同其他缺陷可能导致的财务报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告错报金额小于总资产的</w:t>
      </w:r>
      <w:r>
        <w:rPr>
          <w:rFonts w:ascii="宋体" w:hAnsi="宋体" w:cs="宋体" w:eastAsia="宋体" w:hint="default"/>
          <w:spacing w:val="36"/>
          <w:sz w:val="18"/>
          <w:szCs w:val="18"/>
        </w:rPr>
        <w:t> </w:t>
      </w:r>
      <w:r>
        <w:rPr>
          <w:rFonts w:ascii="宋体" w:hAnsi="宋体" w:cs="宋体" w:eastAsia="宋体" w:hint="default"/>
          <w:sz w:val="18"/>
          <w:szCs w:val="18"/>
        </w:rPr>
        <w:t>0.5%</w:t>
      </w:r>
      <w:r>
        <w:rPr>
          <w:rFonts w:ascii="宋体" w:hAnsi="宋体" w:cs="宋体" w:eastAsia="宋体" w:hint="default"/>
          <w:sz w:val="18"/>
          <w:szCs w:val="18"/>
        </w:rPr>
        <w:t>，认定为一般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缺陷；如果超过资产总额 </w:t>
      </w:r>
      <w:r>
        <w:rPr>
          <w:rFonts w:ascii="宋体" w:hAnsi="宋体" w:cs="宋体" w:eastAsia="宋体" w:hint="default"/>
          <w:sz w:val="18"/>
          <w:szCs w:val="18"/>
        </w:rPr>
        <w:t>0.5%</w:t>
      </w:r>
      <w:r>
        <w:rPr>
          <w:rFonts w:ascii="宋体" w:hAnsi="宋体" w:cs="宋体" w:eastAsia="宋体" w:hint="default"/>
          <w:sz w:val="18"/>
          <w:szCs w:val="18"/>
        </w:rPr>
        <w:t>、不足</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（超 </w:t>
      </w:r>
      <w:r>
        <w:rPr>
          <w:rFonts w:ascii="宋体" w:hAnsi="宋体" w:cs="宋体" w:eastAsia="宋体" w:hint="default"/>
          <w:spacing w:val="-3"/>
          <w:sz w:val="18"/>
          <w:szCs w:val="18"/>
        </w:rPr>
        <w:t>过、不足均含本数），认定为重要缺陷；如果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大于总资产</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，认定为重大缺陷。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spacing w:line="319" w:lineRule="auto" w:before="0"/>
        <w:ind w:left="-31" w:right="1221" w:firstLine="0"/>
        <w:jc w:val="left"/>
        <w:rPr>
          <w:rFonts w:ascii="宋体" w:hAnsi="宋体" w:cs="宋体" w:eastAsia="宋体" w:hint="default"/>
          <w:sz w:val="18"/>
          <w:szCs w:val="18"/>
        </w:rPr>
      </w:pPr>
      <w:r>
        <w:rPr>
          <w:rFonts w:ascii="宋体" w:hAnsi="宋体" w:cs="宋体" w:eastAsia="宋体" w:hint="default"/>
          <w:sz w:val="18"/>
          <w:szCs w:val="18"/>
        </w:rPr>
        <w:t>参照财务报告内部控制缺陷的定量 评价标准执行。</w:t>
      </w:r>
    </w:p>
    <w:p>
      <w:pPr>
        <w:spacing w:after="0" w:line="319" w:lineRule="auto"/>
        <w:jc w:val="left"/>
        <w:rPr>
          <w:rFonts w:ascii="宋体" w:hAnsi="宋体" w:cs="宋体" w:eastAsia="宋体" w:hint="default"/>
          <w:sz w:val="18"/>
          <w:szCs w:val="18"/>
        </w:rPr>
        <w:sectPr>
          <w:type w:val="continuous"/>
          <w:pgSz w:w="11910" w:h="16840"/>
          <w:pgMar w:top="1580" w:bottom="700" w:left="980" w:right="0"/>
          <w:cols w:num="3" w:equalWidth="0">
            <w:col w:w="2111" w:space="40"/>
            <w:col w:w="4827" w:space="40"/>
            <w:col w:w="3912"/>
          </w:cols>
        </w:sectPr>
      </w:pPr>
    </w:p>
    <w:p>
      <w:pPr>
        <w:tabs>
          <w:tab w:pos="9605" w:val="left" w:leader="none"/>
        </w:tabs>
        <w:spacing w:before="110"/>
        <w:ind w:left="181" w:right="1122" w:firstLine="0"/>
        <w:jc w:val="left"/>
        <w:rPr>
          <w:rFonts w:ascii="宋体" w:hAnsi="宋体" w:cs="宋体" w:eastAsia="宋体" w:hint="default"/>
          <w:sz w:val="18"/>
          <w:szCs w:val="18"/>
        </w:rPr>
      </w:pPr>
      <w:r>
        <w:rPr>
          <w:rFonts w:ascii="宋体" w:hAnsi="宋体" w:cs="宋体" w:eastAsia="宋体" w:hint="default"/>
          <w:sz w:val="18"/>
          <w:szCs w:val="18"/>
        </w:rPr>
        <w:t>财务报告重大缺陷数量（个）</w:t>
      </w:r>
      <w:r>
        <w:rPr>
          <w:rFonts w:ascii="宋体" w:hAnsi="宋体" w:cs="宋体" w:eastAsia="宋体" w:hint="default"/>
          <w:sz w:val="18"/>
          <w:szCs w:val="18"/>
        </w:rPr>
        <w:tab/>
        <w:t>0</w:t>
      </w:r>
    </w:p>
    <w:p>
      <w:pPr>
        <w:spacing w:line="240" w:lineRule="auto" w:before="10"/>
        <w:rPr>
          <w:rFonts w:ascii="宋体" w:hAnsi="宋体" w:cs="宋体" w:eastAsia="宋体" w:hint="default"/>
          <w:sz w:val="9"/>
          <w:szCs w:val="9"/>
        </w:rPr>
      </w:pPr>
    </w:p>
    <w:p>
      <w:pPr>
        <w:tabs>
          <w:tab w:pos="9605" w:val="left" w:leader="none"/>
        </w:tabs>
        <w:spacing w:before="44"/>
        <w:ind w:left="181" w:right="1122" w:firstLine="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r>
        <w:rPr>
          <w:rFonts w:ascii="宋体" w:hAnsi="宋体" w:cs="宋体" w:eastAsia="宋体" w:hint="default"/>
          <w:sz w:val="18"/>
          <w:szCs w:val="18"/>
        </w:rPr>
        <w:tab/>
        <w:t>0</w:t>
      </w:r>
    </w:p>
    <w:p>
      <w:pPr>
        <w:spacing w:line="240" w:lineRule="auto" w:before="9"/>
        <w:rPr>
          <w:rFonts w:ascii="宋体" w:hAnsi="宋体" w:cs="宋体" w:eastAsia="宋体" w:hint="default"/>
          <w:sz w:val="9"/>
          <w:szCs w:val="9"/>
        </w:rPr>
      </w:pPr>
    </w:p>
    <w:p>
      <w:pPr>
        <w:tabs>
          <w:tab w:pos="9605" w:val="left" w:leader="none"/>
        </w:tabs>
        <w:spacing w:before="44"/>
        <w:ind w:left="181" w:right="1122" w:firstLine="0"/>
        <w:jc w:val="left"/>
        <w:rPr>
          <w:rFonts w:ascii="宋体" w:hAnsi="宋体" w:cs="宋体" w:eastAsia="宋体" w:hint="default"/>
          <w:sz w:val="18"/>
          <w:szCs w:val="18"/>
        </w:rPr>
      </w:pPr>
      <w:r>
        <w:rPr>
          <w:rFonts w:ascii="宋体" w:hAnsi="宋体" w:cs="宋体" w:eastAsia="宋体" w:hint="default"/>
          <w:sz w:val="18"/>
          <w:szCs w:val="18"/>
        </w:rPr>
        <w:t>财务报告重要缺陷数量（个）</w:t>
      </w:r>
      <w:r>
        <w:rPr>
          <w:rFonts w:ascii="宋体" w:hAnsi="宋体" w:cs="宋体" w:eastAsia="宋体" w:hint="default"/>
          <w:sz w:val="18"/>
          <w:szCs w:val="18"/>
        </w:rPr>
        <w:tab/>
        <w:t>0</w:t>
      </w:r>
    </w:p>
    <w:p>
      <w:pPr>
        <w:spacing w:line="240" w:lineRule="auto" w:before="9"/>
        <w:rPr>
          <w:rFonts w:ascii="宋体" w:hAnsi="宋体" w:cs="宋体" w:eastAsia="宋体" w:hint="default"/>
          <w:sz w:val="9"/>
          <w:szCs w:val="9"/>
        </w:rPr>
      </w:pPr>
    </w:p>
    <w:p>
      <w:pPr>
        <w:tabs>
          <w:tab w:pos="9605" w:val="left" w:leader="none"/>
        </w:tabs>
        <w:spacing w:before="44"/>
        <w:ind w:left="181" w:right="1122" w:firstLine="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r>
        <w:rPr>
          <w:rFonts w:ascii="宋体" w:hAnsi="宋体" w:cs="宋体" w:eastAsia="宋体" w:hint="default"/>
          <w:sz w:val="18"/>
          <w:szCs w:val="18"/>
        </w:rPr>
        <w:tab/>
        <w:t>0</w:t>
      </w:r>
    </w:p>
    <w:p>
      <w:pPr>
        <w:spacing w:line="240" w:lineRule="auto" w:before="5"/>
        <w:rPr>
          <w:rFonts w:ascii="宋体" w:hAnsi="宋体" w:cs="宋体" w:eastAsia="宋体" w:hint="default"/>
          <w:sz w:val="23"/>
          <w:szCs w:val="23"/>
        </w:rPr>
      </w:pPr>
    </w:p>
    <w:p>
      <w:pPr>
        <w:pStyle w:val="Heading2"/>
        <w:spacing w:line="240" w:lineRule="auto"/>
        <w:ind w:right="1122"/>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pStyle w:val="BodyText"/>
        <w:spacing w:line="240" w:lineRule="auto" w:before="177"/>
        <w:ind w:right="1122"/>
        <w:jc w:val="left"/>
      </w:pPr>
      <w:r>
        <w:rPr/>
        <w:t>□ 适用 √</w:t>
      </w:r>
      <w:r>
        <w:rPr>
          <w:spacing w:val="-1"/>
        </w:rPr>
        <w:t> </w:t>
      </w:r>
      <w:r>
        <w:rPr/>
        <w:t>不适用</w:t>
      </w:r>
    </w:p>
    <w:p>
      <w:pPr>
        <w:spacing w:after="0" w:line="240" w:lineRule="auto"/>
        <w:jc w:val="left"/>
        <w:sectPr>
          <w:type w:val="continuous"/>
          <w:pgSz w:w="11910" w:h="16840"/>
          <w:pgMar w:top="1580" w:bottom="7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1122"/>
        <w:jc w:val="left"/>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9"/>
        </w:rPr>
        <w:t> </w:t>
      </w:r>
      <w:r>
        <w:rPr/>
        <w:t>公司债券相关情况</w:t>
      </w:r>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right="1122"/>
        <w:jc w:val="left"/>
      </w:pPr>
      <w:r>
        <w:rPr>
          <w:spacing w:val="-1"/>
        </w:rPr>
        <w:t>公司是否存在公开发行并在证券交易所上市，且在年度报告批准报出日未到期或到期未能全额兑付的公司</w:t>
      </w:r>
      <w:r>
        <w:rPr>
          <w:spacing w:val="-81"/>
        </w:rPr>
        <w:t> </w:t>
      </w:r>
      <w:r>
        <w:rPr>
          <w:spacing w:val="-81"/>
        </w:rPr>
      </w:r>
      <w:r>
        <w:rPr/>
        <w:t>债券</w:t>
      </w:r>
    </w:p>
    <w:p>
      <w:pPr>
        <w:pStyle w:val="BodyText"/>
        <w:spacing w:line="240" w:lineRule="auto"/>
        <w:ind w:right="1122"/>
        <w:jc w:val="left"/>
      </w:pPr>
      <w:r>
        <w:rPr/>
        <w:t>□ 是 √ 否</w:t>
      </w:r>
    </w:p>
    <w:p>
      <w:pPr>
        <w:spacing w:after="0" w:line="240" w:lineRule="auto"/>
        <w:jc w:val="left"/>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608" w:right="1122"/>
        <w:jc w:val="left"/>
        <w:rPr>
          <w:b w:val="0"/>
          <w:bCs w:val="0"/>
        </w:rPr>
      </w:pPr>
      <w:bookmarkStart w:name="第十一节 财务报告" w:id="153"/>
      <w:bookmarkEnd w:id="153"/>
      <w:r>
        <w:rPr>
          <w:b w:val="0"/>
          <w:bCs w:val="0"/>
        </w:rPr>
      </w:r>
      <w:bookmarkStart w:name="_bookmark9"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22"/>
        <w:jc w:val="left"/>
        <w:rPr>
          <w:b w:val="0"/>
          <w:bCs w:val="0"/>
        </w:rPr>
      </w:pPr>
      <w:bookmarkStart w:name="一、审计报告" w:id="155"/>
      <w:bookmarkEnd w:id="155"/>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785"/>
        <w:gridCol w:w="4784"/>
      </w:tblGrid>
      <w:tr>
        <w:trPr>
          <w:trHeight w:val="412" w:hRule="exact"/>
        </w:trPr>
        <w:tc>
          <w:tcPr>
            <w:tcW w:w="478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47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众会字 </w:t>
            </w:r>
            <w:r>
              <w:rPr>
                <w:rFonts w:ascii="宋体" w:hAnsi="宋体" w:cs="宋体" w:eastAsia="宋体"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1559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12" w:hRule="exact"/>
        </w:trPr>
        <w:tc>
          <w:tcPr>
            <w:tcW w:w="478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文爱凤、陈芝莲</w:t>
            </w:r>
          </w:p>
        </w:tc>
      </w:tr>
    </w:tbl>
    <w:p>
      <w:pPr>
        <w:spacing w:line="240" w:lineRule="auto" w:before="1"/>
        <w:rPr>
          <w:rFonts w:ascii="宋体" w:hAnsi="宋体" w:cs="宋体" w:eastAsia="宋体" w:hint="default"/>
          <w:b/>
          <w:bCs/>
          <w:sz w:val="14"/>
          <w:szCs w:val="14"/>
        </w:rPr>
      </w:pPr>
    </w:p>
    <w:p>
      <w:pPr>
        <w:pStyle w:val="BodyText"/>
        <w:spacing w:line="240" w:lineRule="auto" w:before="35"/>
        <w:ind w:left="0" w:right="976"/>
        <w:jc w:val="center"/>
      </w:pPr>
      <w:r>
        <w:rPr/>
        <w:t>审计报告正文</w:t>
      </w:r>
    </w:p>
    <w:p>
      <w:pPr>
        <w:spacing w:line="240" w:lineRule="auto" w:before="1"/>
        <w:rPr>
          <w:rFonts w:ascii="宋体" w:hAnsi="宋体" w:cs="宋体" w:eastAsia="宋体" w:hint="default"/>
          <w:sz w:val="12"/>
          <w:szCs w:val="12"/>
        </w:rPr>
      </w:pPr>
    </w:p>
    <w:p>
      <w:pPr>
        <w:pStyle w:val="Heading4"/>
        <w:spacing w:line="408" w:lineRule="auto" w:before="35"/>
        <w:ind w:left="576" w:right="7591" w:hanging="423"/>
        <w:jc w:val="left"/>
        <w:rPr>
          <w:b w:val="0"/>
          <w:bCs w:val="0"/>
        </w:rPr>
      </w:pPr>
      <w:r>
        <w:rPr/>
        <w:t>光一科技股份有限公司全体股东：</w:t>
      </w:r>
      <w:r>
        <w:rPr>
          <w:w w:val="99"/>
        </w:rPr>
        <w:t> </w:t>
      </w:r>
      <w:r>
        <w:rPr>
          <w:rFonts w:ascii="宋体" w:hAnsi="宋体" w:cs="宋体" w:eastAsia="宋体" w:hint="default"/>
        </w:rPr>
        <w:t>(</w:t>
      </w:r>
      <w:r>
        <w:rPr/>
        <w:t>一</w:t>
      </w:r>
      <w:r>
        <w:rPr>
          <w:rFonts w:ascii="宋体" w:hAnsi="宋体" w:cs="宋体" w:eastAsia="宋体" w:hint="default"/>
        </w:rPr>
        <w:t>)</w:t>
      </w:r>
      <w:r>
        <w:rPr/>
        <w:t>审计意见</w:t>
      </w:r>
      <w:r>
        <w:rPr>
          <w:b w:val="0"/>
          <w:bCs w:val="0"/>
        </w:rPr>
      </w:r>
    </w:p>
    <w:p>
      <w:pPr>
        <w:pStyle w:val="BodyText"/>
        <w:spacing w:line="408" w:lineRule="auto"/>
        <w:ind w:right="1126" w:firstLine="420"/>
        <w:jc w:val="left"/>
      </w:pPr>
      <w:r>
        <w:rPr/>
        <w:t>我们审计了光一科技股份有限公司（以下简称光一科技）财务报表，包括</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71"/>
        </w:rPr>
        <w:t> </w:t>
      </w:r>
      <w:r>
        <w:rPr/>
        <w:t>日的资产负 债表，</w:t>
      </w:r>
      <w:r>
        <w:rPr>
          <w:rFonts w:ascii="宋体" w:hAnsi="宋体" w:cs="宋体" w:eastAsia="宋体" w:hint="default"/>
        </w:rPr>
        <w:t>2018</w:t>
      </w:r>
      <w:r>
        <w:rPr/>
        <w:t>年度的利润表、现金流量表、所有者权益变动表以及相关财务报表附注。</w:t>
      </w:r>
    </w:p>
    <w:p>
      <w:pPr>
        <w:pStyle w:val="BodyText"/>
        <w:spacing w:line="408" w:lineRule="auto"/>
        <w:ind w:right="1122" w:firstLine="420"/>
        <w:jc w:val="left"/>
      </w:pPr>
      <w:r>
        <w:rPr>
          <w:spacing w:val="-1"/>
        </w:rPr>
        <w:t>我们认为，后附的财务报表在所有重大方面按照企业会计准则的规定编制，公允反映了光一科技</w:t>
      </w:r>
      <w:r>
        <w:rPr>
          <w:rFonts w:ascii="宋体" w:hAnsi="宋体" w:cs="宋体" w:eastAsia="宋体" w:hint="default"/>
          <w:spacing w:val="-1"/>
        </w:rPr>
        <w:t>2018</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2018</w:t>
      </w:r>
      <w:r>
        <w:rPr/>
        <w:t>年度的经营成果和现金流量。</w:t>
      </w:r>
    </w:p>
    <w:p>
      <w:pPr>
        <w:spacing w:line="408" w:lineRule="auto" w:before="46"/>
        <w:ind w:left="574" w:right="1122"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pacing w:val="-1"/>
          <w:sz w:val="21"/>
          <w:szCs w:val="21"/>
        </w:rPr>
        <w:t>我们按照中国注册会计师审计准则的规定执行了审计工作。审计报告的“注册会计师对财务报表审计</w:t>
      </w:r>
    </w:p>
    <w:p>
      <w:pPr>
        <w:pStyle w:val="BodyText"/>
        <w:spacing w:line="408" w:lineRule="auto"/>
        <w:ind w:right="1131"/>
        <w:jc w:val="both"/>
      </w:pPr>
      <w:r>
        <w:rPr>
          <w:spacing w:val="-1"/>
        </w:rPr>
        <w:t>的责任”部分进一步阐述了我们在这些准则下的责任。按照中国注册会计师职业道德守则，我们独立于光</w:t>
      </w:r>
      <w:r>
        <w:rPr>
          <w:spacing w:val="-83"/>
        </w:rPr>
        <w:t> </w:t>
      </w:r>
      <w:r>
        <w:rPr>
          <w:spacing w:val="-83"/>
        </w:rPr>
      </w:r>
      <w:r>
        <w:rPr>
          <w:spacing w:val="-1"/>
        </w:rPr>
        <w:t>一科技，并履行了职业道德方面的其他责任。我们相信，我们获取的审计证据是充分、适当的，为发表审</w:t>
      </w:r>
      <w:r>
        <w:rPr>
          <w:spacing w:val="-83"/>
        </w:rPr>
        <w:t> </w:t>
      </w:r>
      <w:r>
        <w:rPr>
          <w:spacing w:val="-83"/>
        </w:rPr>
      </w:r>
      <w:r>
        <w:rPr/>
        <w:t>计意见提供了基础。</w:t>
      </w:r>
    </w:p>
    <w:p>
      <w:pPr>
        <w:pStyle w:val="BodyText"/>
        <w:spacing w:line="408" w:lineRule="auto"/>
        <w:ind w:left="574" w:right="1122"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w:t>
      </w:r>
    </w:p>
    <w:p>
      <w:pPr>
        <w:pStyle w:val="BodyText"/>
        <w:spacing w:line="408" w:lineRule="auto"/>
        <w:ind w:left="574" w:right="3192" w:hanging="420"/>
        <w:jc w:val="left"/>
      </w:pPr>
      <w:r>
        <w:rPr/>
        <w:t>财务报表整体进行审计并形成审计意见为背景，我们不对这些事项单独发表意见。 </w:t>
      </w:r>
      <w:r>
        <w:rPr>
          <w:rFonts w:ascii="宋体" w:hAnsi="宋体" w:cs="宋体" w:eastAsia="宋体" w:hint="default"/>
        </w:rPr>
        <w:t>1</w:t>
      </w:r>
      <w:r>
        <w:rPr/>
        <w:t>、结构化主体的合并</w:t>
      </w:r>
    </w:p>
    <w:p>
      <w:pPr>
        <w:pStyle w:val="BodyText"/>
        <w:spacing w:line="408" w:lineRule="auto"/>
        <w:ind w:left="574" w:right="1122"/>
        <w:jc w:val="left"/>
      </w:pPr>
      <w:r>
        <w:rPr/>
        <w:t>（</w:t>
      </w:r>
      <w:r>
        <w:rPr>
          <w:rFonts w:ascii="宋体" w:hAnsi="宋体" w:cs="宋体" w:eastAsia="宋体" w:hint="default"/>
        </w:rPr>
        <w:t>1</w:t>
      </w:r>
      <w:r>
        <w:rPr/>
        <w:t>）关键审计事项 </w:t>
      </w:r>
      <w:r>
        <w:rPr>
          <w:rFonts w:ascii="宋体" w:hAnsi="宋体" w:cs="宋体" w:eastAsia="宋体" w:hint="default"/>
          <w:spacing w:val="3"/>
        </w:rPr>
        <w:t>2018</w:t>
      </w:r>
      <w:r>
        <w:rPr>
          <w:spacing w:val="3"/>
        </w:rPr>
        <w:t>年公司通过子公司江苏光一贵仁股权投资基金管理有限公司与无锡金投领航产业升级并购投资</w:t>
      </w:r>
    </w:p>
    <w:p>
      <w:pPr>
        <w:pStyle w:val="BodyText"/>
        <w:spacing w:line="408" w:lineRule="auto"/>
        <w:ind w:right="1035"/>
        <w:jc w:val="both"/>
      </w:pPr>
      <w:r>
        <w:rPr/>
        <w:t>企业（有限合伙）共同发起设立了产业并购基金“南京领航光一科技产业投资合伙企业（有限合伙）”，</w:t>
      </w:r>
      <w:r>
        <w:rPr>
          <w:spacing w:val="-35"/>
        </w:rPr>
        <w:t> </w:t>
      </w:r>
      <w:r>
        <w:rPr>
          <w:spacing w:val="-35"/>
        </w:rPr>
      </w:r>
      <w:r>
        <w:rPr/>
        <w:t>其中无锡金投领航产业升级并购投资企业（有限合伙）做为优先级合伙人出资</w:t>
      </w:r>
      <w:r>
        <w:rPr>
          <w:rFonts w:ascii="宋体" w:hAnsi="宋体" w:cs="宋体" w:eastAsia="宋体" w:hint="default"/>
        </w:rPr>
        <w:t>2</w:t>
      </w:r>
      <w:r>
        <w:rPr/>
        <w:t>亿元人民币，并享有复利</w:t>
      </w:r>
    </w:p>
    <w:p>
      <w:pPr>
        <w:spacing w:after="0" w:line="408" w:lineRule="auto"/>
        <w:jc w:val="both"/>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rFonts w:ascii="宋体" w:hAnsi="宋体" w:cs="宋体" w:eastAsia="宋体" w:hint="default"/>
          <w:spacing w:val="-1"/>
        </w:rPr>
        <w:t>8%</w:t>
      </w:r>
      <w:r>
        <w:rPr>
          <w:spacing w:val="-1"/>
        </w:rPr>
        <w:t>的门槛收益率，光一科技并为此提供了差额补足及远期回购增信的措施，由于普通合伙人与优先级合伙</w:t>
      </w:r>
      <w:r>
        <w:rPr>
          <w:spacing w:val="-82"/>
        </w:rPr>
        <w:t> </w:t>
      </w:r>
      <w:r>
        <w:rPr>
          <w:spacing w:val="-82"/>
        </w:rPr>
      </w:r>
      <w:r>
        <w:rPr>
          <w:spacing w:val="-1"/>
        </w:rPr>
        <w:t>人在权利义务上有较大区别，对于确定合并范围的恰当性以及财务费用的完整性对财务报表重大影响，因</w:t>
      </w:r>
      <w:r>
        <w:rPr>
          <w:spacing w:val="-81"/>
        </w:rPr>
        <w:t> </w:t>
      </w:r>
      <w:r>
        <w:rPr>
          <w:spacing w:val="-81"/>
        </w:rPr>
      </w:r>
      <w:r>
        <w:rPr/>
        <w:t>此我们确定该事项为关键审计事项。</w:t>
      </w:r>
    </w:p>
    <w:p>
      <w:pPr>
        <w:pStyle w:val="BodyText"/>
        <w:spacing w:line="408" w:lineRule="auto"/>
        <w:ind w:left="574" w:right="4242"/>
        <w:jc w:val="left"/>
      </w:pPr>
      <w:r>
        <w:rPr/>
        <w:t>（</w:t>
      </w:r>
      <w:r>
        <w:rPr>
          <w:rFonts w:ascii="宋体" w:hAnsi="宋体" w:cs="宋体" w:eastAsia="宋体" w:hint="default"/>
        </w:rPr>
        <w:t>2</w:t>
      </w:r>
      <w:r>
        <w:rPr/>
        <w:t>）审计中的应对 我们针对收入确认相关的上述关键审计事项执行的主要程序包括：</w:t>
      </w:r>
    </w:p>
    <w:p>
      <w:pPr>
        <w:pStyle w:val="BodyText"/>
        <w:spacing w:line="240" w:lineRule="auto"/>
        <w:ind w:left="574" w:right="1122"/>
        <w:jc w:val="left"/>
      </w:pPr>
      <w:r>
        <w:rPr/>
        <w:t>①我们通过查阅检查合伙协议，检查是否存在结构化的安排；</w:t>
      </w:r>
    </w:p>
    <w:p>
      <w:pPr>
        <w:spacing w:line="240" w:lineRule="auto" w:before="10"/>
        <w:rPr>
          <w:rFonts w:ascii="宋体" w:hAnsi="宋体" w:cs="宋体" w:eastAsia="宋体" w:hint="default"/>
          <w:sz w:val="14"/>
          <w:szCs w:val="14"/>
        </w:rPr>
      </w:pPr>
    </w:p>
    <w:p>
      <w:pPr>
        <w:pStyle w:val="BodyText"/>
        <w:spacing w:line="408" w:lineRule="auto" w:before="0"/>
        <w:ind w:right="1122" w:firstLine="420"/>
        <w:jc w:val="left"/>
      </w:pPr>
      <w:r>
        <w:rPr>
          <w:spacing w:val="-1"/>
        </w:rPr>
        <w:t>②结合该基金的设立背景与意义对并购基金运作方式、议事规则进行分析判断、根据投资标的的选取</w:t>
      </w:r>
      <w:r>
        <w:rPr/>
        <w:t> 过程判断光一科技是否具备对该基金的控制权；</w:t>
      </w:r>
    </w:p>
    <w:p>
      <w:pPr>
        <w:pStyle w:val="BodyText"/>
        <w:spacing w:line="240" w:lineRule="auto"/>
        <w:ind w:left="574" w:right="1122"/>
        <w:jc w:val="left"/>
      </w:pPr>
      <w:r>
        <w:rPr/>
        <w:t>③了解并测试该事项所需经过各项审批权限，确认该事项是否经过恰当的内部控制审批流程；</w:t>
      </w:r>
    </w:p>
    <w:p>
      <w:pPr>
        <w:spacing w:line="240" w:lineRule="auto" w:before="10"/>
        <w:rPr>
          <w:rFonts w:ascii="宋体" w:hAnsi="宋体" w:cs="宋体" w:eastAsia="宋体" w:hint="default"/>
          <w:sz w:val="14"/>
          <w:szCs w:val="14"/>
        </w:rPr>
      </w:pPr>
    </w:p>
    <w:p>
      <w:pPr>
        <w:pStyle w:val="BodyText"/>
        <w:spacing w:line="408" w:lineRule="auto" w:before="0"/>
        <w:ind w:right="1122" w:firstLine="420"/>
        <w:jc w:val="left"/>
      </w:pPr>
      <w:r>
        <w:rPr>
          <w:spacing w:val="-1"/>
        </w:rPr>
        <w:t>④我们通过分析判断双方的报酬变动程度、如何通过参与被投资方的相关活动而享有可变回报、是否</w:t>
      </w:r>
      <w:r>
        <w:rPr/>
        <w:t> 有能力运用对被投资方的权力影响其回报金额、资本保全的程度判断双方各自承担的风险义务；</w:t>
      </w:r>
    </w:p>
    <w:p>
      <w:pPr>
        <w:pStyle w:val="BodyText"/>
        <w:spacing w:line="408" w:lineRule="auto"/>
        <w:ind w:right="1131" w:firstLine="420"/>
        <w:jc w:val="both"/>
      </w:pPr>
      <w:r>
        <w:rPr>
          <w:spacing w:val="-1"/>
        </w:rPr>
        <w:t>⑤对优先级合伙人实施走访程序进一步确认合伙协议的真实有效性，并对交易背景、目的以及意义进</w:t>
      </w:r>
      <w:r>
        <w:rPr/>
        <w:t> </w:t>
      </w:r>
      <w:r>
        <w:rPr>
          <w:spacing w:val="-1"/>
        </w:rPr>
        <w:t>行了验证，并对优先级合伙人享有的门槛收益金额计算方式予以确认，并判断光一科技的会计处理是否符</w:t>
      </w:r>
      <w:r>
        <w:rPr>
          <w:spacing w:val="-81"/>
        </w:rPr>
        <w:t> </w:t>
      </w:r>
      <w:r>
        <w:rPr>
          <w:spacing w:val="-81"/>
        </w:rPr>
      </w:r>
      <w:r>
        <w:rPr/>
        <w:t>合会计准则的规定。</w:t>
      </w:r>
    </w:p>
    <w:p>
      <w:pPr>
        <w:pStyle w:val="BodyText"/>
        <w:spacing w:line="240" w:lineRule="auto"/>
        <w:ind w:left="574" w:right="1122"/>
        <w:jc w:val="left"/>
      </w:pPr>
      <w:r>
        <w:rPr>
          <w:rFonts w:ascii="宋体" w:hAnsi="宋体" w:cs="宋体" w:eastAsia="宋体" w:hint="default"/>
        </w:rPr>
        <w:t>2</w:t>
      </w:r>
      <w:r>
        <w:rPr/>
        <w:t>、收入确认</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t>（</w:t>
      </w:r>
      <w:r>
        <w:rPr>
          <w:rFonts w:ascii="宋体" w:hAnsi="宋体" w:cs="宋体" w:eastAsia="宋体" w:hint="default"/>
        </w:rPr>
        <w:t>1</w:t>
      </w:r>
      <w:r>
        <w:rPr/>
        <w:t>）关键审计事项</w:t>
      </w:r>
    </w:p>
    <w:p>
      <w:pPr>
        <w:spacing w:line="240" w:lineRule="auto" w:before="10"/>
        <w:rPr>
          <w:rFonts w:ascii="宋体" w:hAnsi="宋体" w:cs="宋体" w:eastAsia="宋体" w:hint="default"/>
          <w:sz w:val="14"/>
          <w:szCs w:val="14"/>
        </w:rPr>
      </w:pPr>
    </w:p>
    <w:p>
      <w:pPr>
        <w:pStyle w:val="BodyText"/>
        <w:spacing w:line="408" w:lineRule="auto" w:before="0"/>
        <w:ind w:right="1023" w:firstLine="420"/>
        <w:jc w:val="left"/>
      </w:pPr>
      <w:r>
        <w:rPr/>
        <w:t>如财务报表附注</w:t>
      </w:r>
      <w:r>
        <w:rPr>
          <w:spacing w:val="69"/>
        </w:rPr>
        <w:t> </w:t>
      </w:r>
      <w:r>
        <w:rPr>
          <w:rFonts w:ascii="宋体" w:hAnsi="宋体" w:cs="宋体" w:eastAsia="宋体" w:hint="default"/>
        </w:rPr>
        <w:t>5.31</w:t>
      </w:r>
      <w:r>
        <w:rPr/>
        <w:t>所示，光一科技</w:t>
      </w:r>
      <w:r>
        <w:rPr>
          <w:rFonts w:ascii="宋体" w:hAnsi="宋体" w:cs="宋体" w:eastAsia="宋体" w:hint="default"/>
        </w:rPr>
        <w:t>2018</w:t>
      </w:r>
      <w:r>
        <w:rPr/>
        <w:t>年度实现营业收入</w:t>
      </w:r>
      <w:r>
        <w:rPr>
          <w:rFonts w:ascii="宋体" w:hAnsi="宋体" w:cs="宋体" w:eastAsia="宋体" w:hint="default"/>
        </w:rPr>
        <w:t>43,593.14</w:t>
      </w:r>
      <w:r>
        <w:rPr/>
        <w:t>万元，主要为低压集抄系统、 专变采集终端、电能计量表箱、高低压成套等电力相关产品销售收入。受近年来电力行业及全国各地供电 公司招标规模下降的影响，</w:t>
      </w:r>
      <w:r>
        <w:rPr>
          <w:rFonts w:ascii="宋体" w:hAnsi="宋体" w:cs="宋体" w:eastAsia="宋体" w:hint="default"/>
        </w:rPr>
        <w:t>2018</w:t>
      </w:r>
      <w:r>
        <w:rPr/>
        <w:t>年公司营业收入较</w:t>
      </w:r>
      <w:r>
        <w:rPr>
          <w:rFonts w:ascii="宋体" w:hAnsi="宋体" w:cs="宋体" w:eastAsia="宋体" w:hint="default"/>
        </w:rPr>
        <w:t>2017</w:t>
      </w:r>
      <w:r>
        <w:rPr/>
        <w:t>年度下降。如附注</w:t>
      </w:r>
      <w:r>
        <w:rPr>
          <w:rFonts w:ascii="宋体" w:hAnsi="宋体" w:cs="宋体" w:eastAsia="宋体" w:hint="default"/>
        </w:rPr>
        <w:t>3.25</w:t>
      </w:r>
      <w:r>
        <w:rPr/>
        <w:t>所述的会计政策，产品销售 收入一般在按合同生产、发货，并经客户验收时确认收入。由于收入是贵公司的关键业绩指标之一，从而 存在管理层为了达到特定目标或期望而操纵收入确认的固有风险，我们将贵公司收入确认识别为关键审计 事项。</w:t>
      </w:r>
    </w:p>
    <w:p>
      <w:pPr>
        <w:pStyle w:val="BodyText"/>
        <w:spacing w:line="408" w:lineRule="auto"/>
        <w:ind w:left="574" w:right="4242"/>
        <w:jc w:val="left"/>
      </w:pPr>
      <w:r>
        <w:rPr/>
        <w:t>（</w:t>
      </w:r>
      <w:r>
        <w:rPr>
          <w:rFonts w:ascii="宋体" w:hAnsi="宋体" w:cs="宋体" w:eastAsia="宋体" w:hint="default"/>
        </w:rPr>
        <w:t>2</w:t>
      </w:r>
      <w:r>
        <w:rPr/>
        <w:t>）审计中的应对 我们针对收入确认相关的上述关键审计事项执行的主要程序包括：</w:t>
      </w:r>
    </w:p>
    <w:p>
      <w:pPr>
        <w:pStyle w:val="BodyText"/>
        <w:spacing w:line="408" w:lineRule="auto"/>
        <w:ind w:right="1122" w:firstLine="420"/>
        <w:jc w:val="left"/>
      </w:pPr>
      <w:r>
        <w:rPr>
          <w:spacing w:val="-1"/>
        </w:rPr>
        <w:t>①我们通过审阅销售合同、对管理层进行访谈了解和评估管理层做出的收入确认政策是否符合企业会</w:t>
      </w:r>
      <w:r>
        <w:rPr/>
        <w:t> 计准则的规定；</w:t>
      </w:r>
    </w:p>
    <w:p>
      <w:pPr>
        <w:pStyle w:val="BodyText"/>
        <w:spacing w:line="408" w:lineRule="auto"/>
        <w:ind w:right="1122" w:firstLine="420"/>
        <w:jc w:val="left"/>
      </w:pPr>
      <w:r>
        <w:rPr>
          <w:spacing w:val="-1"/>
        </w:rPr>
        <w:t>②对本年记录的收入交易选取样本，核对销售合同、发票、验收单等，评价相关收入确认是否符合贵</w:t>
      </w:r>
      <w:r>
        <w:rPr/>
        <w:t> 公司收入确认的会计政策；</w:t>
      </w:r>
    </w:p>
    <w:p>
      <w:pPr>
        <w:pStyle w:val="BodyText"/>
        <w:spacing w:line="240" w:lineRule="auto"/>
        <w:ind w:left="574" w:right="1122"/>
        <w:jc w:val="left"/>
      </w:pPr>
      <w:r>
        <w:rPr/>
        <w:t>③了解并测试与收入确认相关的内部控制，确认其是否值得依赖；</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④就资产负债表日前后记录的收入交易，选取样本，核对验收单及其他支持性文件，以评价收入是否</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22"/>
        <w:jc w:val="left"/>
      </w:pPr>
      <w:r>
        <w:rPr/>
        <w:t>被记录于恰当的会计期间；</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t>⑤挑选重要客户执行函证程序以确认应收账款余额和销售收入金额。</w:t>
      </w:r>
    </w:p>
    <w:p>
      <w:pPr>
        <w:spacing w:line="240" w:lineRule="auto" w:before="10"/>
        <w:rPr>
          <w:rFonts w:ascii="宋体" w:hAnsi="宋体" w:cs="宋体" w:eastAsia="宋体" w:hint="default"/>
          <w:sz w:val="14"/>
          <w:szCs w:val="14"/>
        </w:rPr>
      </w:pPr>
    </w:p>
    <w:p>
      <w:pPr>
        <w:pStyle w:val="BodyText"/>
        <w:spacing w:line="408" w:lineRule="auto" w:before="0"/>
        <w:ind w:left="574" w:right="1122" w:firstLine="2"/>
        <w:jc w:val="left"/>
      </w:pPr>
      <w:r>
        <w:rPr>
          <w:rFonts w:ascii="宋体" w:hAnsi="宋体" w:cs="宋体" w:eastAsia="宋体" w:hint="default"/>
          <w:b/>
          <w:bCs/>
        </w:rPr>
        <w:t>（四）其他信息</w:t>
      </w:r>
      <w:r>
        <w:rPr>
          <w:rFonts w:ascii="宋体" w:hAnsi="宋体" w:cs="宋体" w:eastAsia="宋体" w:hint="default"/>
          <w:b/>
          <w:bCs/>
          <w:w w:val="99"/>
        </w:rPr>
        <w:t> </w:t>
      </w:r>
      <w:r>
        <w:rPr>
          <w:spacing w:val="-1"/>
        </w:rPr>
        <w:t>光一科技管理层（以下简称管理层）对其他信息负责。其他信息包括光一科技</w:t>
      </w:r>
      <w:r>
        <w:rPr>
          <w:rFonts w:ascii="宋体" w:hAnsi="宋体" w:cs="宋体" w:eastAsia="宋体" w:hint="default"/>
          <w:spacing w:val="-1"/>
        </w:rPr>
        <w:t>2018</w:t>
      </w:r>
      <w:r>
        <w:rPr>
          <w:spacing w:val="-1"/>
        </w:rPr>
        <w:t>年年度报告中涵盖</w:t>
      </w:r>
    </w:p>
    <w:p>
      <w:pPr>
        <w:pStyle w:val="BodyText"/>
        <w:spacing w:line="408" w:lineRule="auto"/>
        <w:ind w:left="574" w:right="1122" w:hanging="420"/>
        <w:jc w:val="left"/>
      </w:pPr>
      <w:r>
        <w:rPr/>
        <w:t>的信息，但不包括财务报表和我们的审计报告。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408" w:lineRule="auto"/>
        <w:ind w:left="574" w:right="1122" w:hanging="420"/>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pStyle w:val="BodyText"/>
        <w:spacing w:line="240" w:lineRule="auto"/>
        <w:ind w:right="1122"/>
        <w:jc w:val="left"/>
      </w:pPr>
      <w:r>
        <w:rPr/>
        <w:t>们无任何事项需要报告。</w:t>
      </w:r>
    </w:p>
    <w:p>
      <w:pPr>
        <w:spacing w:line="240" w:lineRule="auto" w:before="10"/>
        <w:rPr>
          <w:rFonts w:ascii="宋体" w:hAnsi="宋体" w:cs="宋体" w:eastAsia="宋体" w:hint="default"/>
          <w:sz w:val="14"/>
          <w:szCs w:val="14"/>
        </w:rPr>
      </w:pPr>
    </w:p>
    <w:p>
      <w:pPr>
        <w:spacing w:line="408" w:lineRule="auto" w:before="0"/>
        <w:ind w:left="574" w:right="1122"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6"/>
          <w:sz w:val="21"/>
          <w:szCs w:val="21"/>
        </w:rPr>
        <w:t>光一科技管理层（以下简称管理层）负责按照企业会计准则的规定编制财务报表，使其实现公允反映，</w:t>
      </w:r>
    </w:p>
    <w:p>
      <w:pPr>
        <w:pStyle w:val="BodyText"/>
        <w:spacing w:line="408" w:lineRule="auto"/>
        <w:ind w:left="574" w:right="1122" w:hanging="420"/>
        <w:jc w:val="left"/>
      </w:pPr>
      <w:r>
        <w:rPr/>
        <w:t>并设计、执行和维护必要的内部控制，以使财务报表不存在由于舞弊或错误导致的重大错报。 </w:t>
      </w:r>
      <w:r>
        <w:rPr>
          <w:spacing w:val="-1"/>
        </w:rPr>
        <w:t>在编制财务报表时，管理层负责评估光一科技的持续经营能力，披露与持续经营相关的事项，并运用</w:t>
      </w:r>
    </w:p>
    <w:p>
      <w:pPr>
        <w:pStyle w:val="BodyText"/>
        <w:spacing w:line="408" w:lineRule="auto"/>
        <w:ind w:left="574" w:right="3192" w:hanging="420"/>
        <w:jc w:val="left"/>
      </w:pPr>
      <w:r>
        <w:rPr/>
        <w:t>持续经营假设，除非管理层计划清算光一科技、终止运营或别无其他现实的选择。 治理层负责监督光一科技的财务报告过程。</w:t>
      </w:r>
    </w:p>
    <w:p>
      <w:pPr>
        <w:spacing w:line="408" w:lineRule="auto" w:before="46"/>
        <w:ind w:left="574" w:right="1122"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pacing w:val="-1"/>
          <w:sz w:val="21"/>
          <w:szCs w:val="21"/>
        </w:rPr>
        <w:t>我们的目标是对财务报表整体是否不存在由于舞弊或错误导致的重大错报获取合理保证，并出具包含</w:t>
      </w:r>
    </w:p>
    <w:p>
      <w:pPr>
        <w:pStyle w:val="BodyText"/>
        <w:spacing w:line="408" w:lineRule="auto"/>
        <w:ind w:right="1131"/>
        <w:jc w:val="both"/>
      </w:pP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408" w:lineRule="auto"/>
        <w:ind w:right="1133" w:firstLine="420"/>
        <w:jc w:val="both"/>
      </w:pPr>
      <w:r>
        <w:rPr>
          <w:spacing w:val="-1"/>
        </w:rPr>
        <w:t>在按照审计准则执行审计工作的过程中，我们运用职业判断，并保持职业怀疑。同时，我们也执行以</w:t>
      </w:r>
      <w:r>
        <w:rPr/>
        <w:t> 下工作：</w:t>
      </w:r>
    </w:p>
    <w:p>
      <w:pPr>
        <w:pStyle w:val="BodyText"/>
        <w:spacing w:line="408" w:lineRule="auto"/>
        <w:ind w:right="1130" w:firstLine="420"/>
        <w:jc w:val="both"/>
      </w:pPr>
      <w:r>
        <w:rPr/>
        <w:t>（</w:t>
      </w:r>
      <w:r>
        <w:rPr>
          <w:rFonts w:ascii="宋体" w:hAnsi="宋体" w:cs="宋体" w:eastAsia="宋体" w:hint="default"/>
        </w:rPr>
        <w:t>1</w:t>
      </w:r>
      <w:r>
        <w:rPr/>
        <w:t>）识别和评估由于舞弊或错误导致的财务报表重大错报风险，设计和实施审计程序以应对这些风 </w:t>
      </w:r>
      <w:r>
        <w:rPr>
          <w:spacing w:val="-5"/>
        </w:rPr>
        <w:t>险，并获取充分、适当的审计证据，作为发表审计意见的基础。由于舞弊可能涉及串通、伪造、故意遗漏、</w:t>
      </w:r>
      <w:r>
        <w:rPr/>
        <w:t> </w:t>
      </w:r>
      <w:r>
        <w:rPr>
          <w:spacing w:val="-1"/>
        </w:rPr>
        <w:t>虚假陈述或凌驾于内部控制之上，未能发现由于舞弊导致的重大错报的风险高于未能发现由于错误导致的</w:t>
      </w:r>
      <w:r>
        <w:rPr>
          <w:spacing w:val="-81"/>
        </w:rPr>
        <w:t> </w:t>
      </w:r>
      <w:r>
        <w:rPr>
          <w:spacing w:val="-81"/>
        </w:rPr>
      </w:r>
      <w:r>
        <w:rPr/>
        <w:t>重大错报的风险。</w:t>
      </w:r>
    </w:p>
    <w:p>
      <w:pPr>
        <w:pStyle w:val="BodyText"/>
        <w:spacing w:line="408" w:lineRule="auto"/>
        <w:ind w:right="1141" w:firstLine="420"/>
        <w:jc w:val="both"/>
      </w:pPr>
      <w:r>
        <w:rPr/>
        <w:t>（</w:t>
      </w:r>
      <w:r>
        <w:rPr>
          <w:rFonts w:ascii="宋体" w:hAnsi="宋体" w:cs="宋体" w:eastAsia="宋体" w:hint="default"/>
        </w:rPr>
        <w:t>2</w:t>
      </w:r>
      <w:r>
        <w:rPr/>
        <w:t>）了解与审计相关的内部控制，以设计恰当的审计程序，但目的并非对内部控制的有效性发表意 见。</w:t>
      </w:r>
    </w:p>
    <w:p>
      <w:pPr>
        <w:pStyle w:val="BodyText"/>
        <w:spacing w:line="240" w:lineRule="auto"/>
        <w:ind w:left="574" w:right="1122"/>
        <w:jc w:val="left"/>
      </w:pPr>
      <w:r>
        <w:rPr/>
        <w:t>（</w:t>
      </w:r>
      <w:r>
        <w:rPr>
          <w:rFonts w:ascii="宋体" w:hAnsi="宋体" w:cs="宋体" w:eastAsia="宋体" w:hint="default"/>
        </w:rPr>
        <w:t>3</w:t>
      </w:r>
      <w:r>
        <w:rPr/>
        <w:t>）评价管理层选用会计政策的恰当性和作出会计估计及相关披露的合理性。</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firstLine="420"/>
        <w:jc w:val="both"/>
      </w:pPr>
      <w:r>
        <w:rPr/>
        <w:t>（</w:t>
      </w:r>
      <w:r>
        <w:rPr>
          <w:rFonts w:ascii="宋体" w:hAnsi="宋体" w:cs="宋体" w:eastAsia="宋体" w:hint="default"/>
        </w:rPr>
        <w:t>4</w:t>
      </w:r>
      <w:r>
        <w:rPr/>
        <w:t>）对管理层使用持续经营假设的恰当性得出结论。同时，根据获取的审计证据，就可能导致对光 </w:t>
      </w:r>
      <w:r>
        <w:rPr>
          <w:spacing w:val="-1"/>
        </w:rPr>
        <w:t>一科技持续经营能力产生重大疑虑的事项或情况是否存在重大不确定性得出结论。如果我们得出结论认为</w:t>
      </w:r>
      <w:r>
        <w:rPr>
          <w:spacing w:val="-81"/>
        </w:rPr>
        <w:t> </w:t>
      </w:r>
      <w:r>
        <w:rPr>
          <w:spacing w:val="-81"/>
        </w:rPr>
      </w: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r>
        <w:rPr>
          <w:spacing w:val="-86"/>
        </w:rPr>
        <w:t> </w:t>
      </w:r>
      <w:r>
        <w:rPr>
          <w:spacing w:val="-86"/>
        </w:rPr>
      </w:r>
      <w:r>
        <w:rPr/>
        <w:t>项或情况可能导致光一科技不能持续经营。</w:t>
      </w:r>
    </w:p>
    <w:p>
      <w:pPr>
        <w:pStyle w:val="BodyText"/>
        <w:spacing w:line="408" w:lineRule="auto"/>
        <w:ind w:right="1137" w:firstLine="420"/>
        <w:jc w:val="both"/>
      </w:pPr>
      <w:r>
        <w:rPr/>
        <w:t>（</w:t>
      </w:r>
      <w:r>
        <w:rPr>
          <w:rFonts w:ascii="宋体" w:hAnsi="宋体" w:cs="宋体" w:eastAsia="宋体" w:hint="default"/>
        </w:rPr>
        <w:t>5</w:t>
      </w:r>
      <w:r>
        <w:rPr/>
        <w:t>）评价财务报表的总体列报、结构和内容（包括披露），并评价财务报表是否公允反映相关交易 和事项。</w:t>
      </w:r>
    </w:p>
    <w:p>
      <w:pPr>
        <w:pStyle w:val="BodyText"/>
        <w:spacing w:line="408" w:lineRule="auto"/>
        <w:ind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BodyText"/>
        <w:spacing w:line="408" w:lineRule="auto"/>
        <w:ind w:right="1132" w:firstLine="420"/>
        <w:jc w:val="both"/>
      </w:pPr>
      <w:r>
        <w:rPr>
          <w:spacing w:val="-1"/>
        </w:rPr>
        <w:t>我们还就已遵守与独立性相关的职业道德要求向治理层提供声明，并与治理层沟通可能被合理认为影</w:t>
      </w:r>
      <w:r>
        <w:rPr/>
        <w:t> 响我们独立性的所有关系和其他事项，以及相关的防范措施。</w:t>
      </w:r>
    </w:p>
    <w:p>
      <w:pPr>
        <w:pStyle w:val="BodyText"/>
        <w:spacing w:line="408" w:lineRule="auto"/>
        <w:ind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pStyle w:val="Heading2"/>
        <w:spacing w:line="240" w:lineRule="auto" w:before="23"/>
        <w:ind w:right="1122"/>
        <w:jc w:val="left"/>
        <w:rPr>
          <w:b w:val="0"/>
          <w:bCs w:val="0"/>
        </w:rPr>
      </w:pPr>
      <w:bookmarkStart w:name="二、财务报表" w:id="156"/>
      <w:bookmarkEnd w:id="156"/>
      <w:r>
        <w:rPr>
          <w:b w:val="0"/>
          <w:bCs w:val="0"/>
        </w:rPr>
      </w:r>
      <w:r>
        <w:rPr/>
        <w:t>二、财务报表</w:t>
      </w:r>
      <w:r>
        <w:rPr>
          <w:b w:val="0"/>
          <w:bCs w:val="0"/>
        </w:rPr>
      </w:r>
    </w:p>
    <w:p>
      <w:pPr>
        <w:spacing w:line="477" w:lineRule="auto" w:before="99"/>
        <w:ind w:left="154" w:right="7392" w:firstLine="0"/>
        <w:jc w:val="left"/>
        <w:rPr>
          <w:rFonts w:ascii="宋体" w:hAnsi="宋体" w:cs="宋体" w:eastAsia="宋体" w:hint="default"/>
          <w:sz w:val="21"/>
          <w:szCs w:val="21"/>
        </w:rPr>
      </w:pPr>
      <w:r>
        <w:rPr>
          <w:rFonts w:ascii="宋体" w:hAnsi="宋体" w:cs="宋体" w:eastAsia="宋体" w:hint="default"/>
          <w:sz w:val="21"/>
          <w:szCs w:val="21"/>
        </w:rPr>
        <w:t>财务附注中报表的单位为：人民币元 </w:t>
      </w:r>
      <w:bookmarkStart w:name="1、合并资产负债表" w:id="157"/>
      <w:bookmarkEnd w:id="157"/>
      <w:r>
        <w:rPr>
          <w:rFonts w:ascii="宋体" w:hAnsi="宋体" w:cs="宋体" w:eastAsia="宋体" w:hint="default"/>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after="0" w:line="477" w:lineRule="auto"/>
        <w:jc w:val="left"/>
        <w:rPr>
          <w:rFonts w:ascii="宋体" w:hAnsi="宋体" w:cs="宋体" w:eastAsia="宋体" w:hint="default"/>
          <w:sz w:val="21"/>
          <w:szCs w:val="21"/>
        </w:rPr>
        <w:sectPr>
          <w:pgSz w:w="11910" w:h="16840"/>
          <w:pgMar w:header="877" w:footer="1000" w:top="1100" w:bottom="1180" w:left="980" w:right="0"/>
        </w:sectPr>
      </w:pPr>
    </w:p>
    <w:p>
      <w:pPr>
        <w:pStyle w:val="BodyText"/>
        <w:spacing w:line="260" w:lineRule="exact" w:before="0"/>
        <w:ind w:right="-20"/>
        <w:jc w:val="left"/>
      </w:pPr>
      <w:r>
        <w:rPr/>
        <w:t>编制单位：光一科技股份有限公司</w:t>
      </w:r>
    </w:p>
    <w:p>
      <w:pPr>
        <w:spacing w:line="240" w:lineRule="auto" w:before="9"/>
        <w:rPr>
          <w:rFonts w:ascii="宋体" w:hAnsi="宋体" w:cs="宋体" w:eastAsia="宋体" w:hint="default"/>
          <w:sz w:val="28"/>
          <w:szCs w:val="28"/>
        </w:rPr>
      </w:pPr>
      <w:r>
        <w:rPr/>
        <w:br w:type="column"/>
      </w:r>
      <w:r>
        <w:rPr>
          <w:rFonts w:ascii="宋体"/>
          <w:sz w:val="28"/>
        </w:rPr>
      </w:r>
    </w:p>
    <w:p>
      <w:pPr>
        <w:pStyle w:val="BodyText"/>
        <w:spacing w:line="240" w:lineRule="auto" w:before="0"/>
        <w:ind w:left="153" w:right="-13"/>
        <w:jc w:val="left"/>
      </w:pP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3" w:equalWidth="0">
            <w:col w:w="3305" w:space="649"/>
            <w:col w:w="1887" w:space="3079"/>
            <w:col w:w="2010"/>
          </w:cols>
        </w:sectPr>
      </w:pP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537"/>
        <w:gridCol w:w="2439"/>
        <w:gridCol w:w="2665"/>
      </w:tblGrid>
      <w:tr>
        <w:trPr>
          <w:trHeight w:val="424" w:hRule="exact"/>
        </w:trPr>
        <w:tc>
          <w:tcPr>
            <w:tcW w:w="45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6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6"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3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66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66"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6"/>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39" w:type="dxa"/>
            <w:tcBorders>
              <w:top w:val="single" w:sz="7" w:space="0" w:color="D2D2D2"/>
              <w:left w:val="single" w:sz="14" w:space="0" w:color="D2D2D2"/>
              <w:bottom w:val="single" w:sz="6" w:space="0" w:color="000000"/>
              <w:right w:val="single" w:sz="6" w:space="0" w:color="000000"/>
            </w:tcBorders>
          </w:tcPr>
          <w:p>
            <w:pPr>
              <w:pStyle w:val="TableParagraph"/>
              <w:spacing w:line="240" w:lineRule="auto" w:before="84"/>
              <w:ind w:right="19"/>
              <w:jc w:val="right"/>
              <w:rPr>
                <w:rFonts w:ascii="宋体" w:hAnsi="宋体" w:cs="宋体" w:eastAsia="宋体" w:hint="default"/>
                <w:sz w:val="18"/>
                <w:szCs w:val="18"/>
              </w:rPr>
            </w:pPr>
            <w:r>
              <w:rPr>
                <w:rFonts w:ascii="宋体"/>
                <w:sz w:val="18"/>
              </w:rPr>
              <w:t>92,805,590.08</w:t>
            </w:r>
          </w:p>
        </w:tc>
        <w:tc>
          <w:tcPr>
            <w:tcW w:w="2665" w:type="dxa"/>
            <w:tcBorders>
              <w:top w:val="single" w:sz="7" w:space="0" w:color="D2D2D2"/>
              <w:left w:val="single" w:sz="6" w:space="0" w:color="000000"/>
              <w:bottom w:val="single" w:sz="6" w:space="0" w:color="000000"/>
              <w:right w:val="single" w:sz="12" w:space="0" w:color="000000"/>
            </w:tcBorders>
          </w:tcPr>
          <w:p>
            <w:pPr>
              <w:pStyle w:val="TableParagraph"/>
              <w:spacing w:line="240" w:lineRule="auto" w:before="84"/>
              <w:ind w:right="11"/>
              <w:jc w:val="right"/>
              <w:rPr>
                <w:rFonts w:ascii="宋体" w:hAnsi="宋体" w:cs="宋体" w:eastAsia="宋体" w:hint="default"/>
                <w:sz w:val="18"/>
                <w:szCs w:val="18"/>
              </w:rPr>
            </w:pPr>
            <w:r>
              <w:rPr>
                <w:rFonts w:ascii="宋体"/>
                <w:sz w:val="18"/>
              </w:rPr>
              <w:t>200,655,286.23</w:t>
            </w:r>
          </w:p>
        </w:tc>
      </w:tr>
      <w:tr>
        <w:trPr>
          <w:trHeight w:val="457"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7"/>
              <w:ind w:left="37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3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90"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6"/>
              <w:ind w:left="37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3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50"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8"/>
              <w:ind w:left="37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3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6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67"/>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3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0"/>
              <w:ind w:left="37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3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90"/>
              <w:ind w:right="19"/>
              <w:jc w:val="right"/>
              <w:rPr>
                <w:rFonts w:ascii="宋体" w:hAnsi="宋体" w:cs="宋体" w:eastAsia="宋体" w:hint="default"/>
                <w:sz w:val="18"/>
                <w:szCs w:val="18"/>
              </w:rPr>
            </w:pPr>
            <w:r>
              <w:rPr>
                <w:rFonts w:ascii="宋体"/>
                <w:sz w:val="18"/>
              </w:rPr>
              <w:t>539,842,237.67</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11"/>
              <w:jc w:val="right"/>
              <w:rPr>
                <w:rFonts w:ascii="宋体" w:hAnsi="宋体" w:cs="宋体" w:eastAsia="宋体" w:hint="default"/>
                <w:sz w:val="18"/>
                <w:szCs w:val="18"/>
              </w:rPr>
            </w:pPr>
            <w:r>
              <w:rPr>
                <w:rFonts w:ascii="宋体"/>
                <w:sz w:val="18"/>
              </w:rPr>
              <w:t>629,399,836.06</w:t>
            </w:r>
          </w:p>
        </w:tc>
      </w:tr>
      <w:tr>
        <w:trPr>
          <w:trHeight w:val="437" w:hRule="exact"/>
        </w:trPr>
        <w:tc>
          <w:tcPr>
            <w:tcW w:w="45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73"/>
              <w:ind w:left="55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43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73"/>
              <w:ind w:right="19"/>
              <w:jc w:val="right"/>
              <w:rPr>
                <w:rFonts w:ascii="宋体" w:hAnsi="宋体" w:cs="宋体" w:eastAsia="宋体" w:hint="default"/>
                <w:sz w:val="18"/>
                <w:szCs w:val="18"/>
              </w:rPr>
            </w:pPr>
            <w:r>
              <w:rPr>
                <w:rFonts w:ascii="宋体"/>
                <w:sz w:val="18"/>
              </w:rPr>
              <w:t>24,697,342.41</w:t>
            </w:r>
          </w:p>
        </w:tc>
        <w:tc>
          <w:tcPr>
            <w:tcW w:w="26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3"/>
              <w:ind w:right="11"/>
              <w:jc w:val="right"/>
              <w:rPr>
                <w:rFonts w:ascii="宋体" w:hAnsi="宋体" w:cs="宋体" w:eastAsia="宋体" w:hint="default"/>
                <w:sz w:val="18"/>
                <w:szCs w:val="18"/>
              </w:rPr>
            </w:pPr>
            <w:r>
              <w:rPr>
                <w:rFonts w:ascii="宋体"/>
                <w:sz w:val="18"/>
              </w:rPr>
              <w:t>40,183,047.38</w:t>
            </w:r>
          </w:p>
        </w:tc>
      </w:tr>
    </w:tbl>
    <w:p>
      <w:pPr>
        <w:spacing w:after="0" w:line="240" w:lineRule="auto"/>
        <w:jc w:val="right"/>
        <w:rPr>
          <w:rFonts w:ascii="宋体" w:hAnsi="宋体" w:cs="宋体" w:eastAsia="宋体" w:hint="default"/>
          <w:sz w:val="18"/>
          <w:szCs w:val="18"/>
        </w:rPr>
        <w:sectPr>
          <w:type w:val="continuous"/>
          <w:pgSz w:w="11910" w:h="16840"/>
          <w:pgMar w:top="1580" w:bottom="7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521"/>
        <w:gridCol w:w="2449"/>
        <w:gridCol w:w="2665"/>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6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08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515,144,895.26</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589,216,788.68</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20,920,297.99</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23,019,594.39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36,411,903.65</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21,971,169.64</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546"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3,283.52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08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113,873,231.28</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107,405,499.65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4,900,293.91</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12,505,089.47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808,753,554.58</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994,956,475.44</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66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81,303,000.00</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81,300,000.00</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357,176,593.26</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133,108,525.69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22,841,423.85</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4,595,302.30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360,590,903.02</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440,198,059.54</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103,327,810.58</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81,041,968.94</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58,385,842.33</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68,169,382.39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3,438,138.12</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3,438,138.12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10,958,795.34</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9,037,334.21</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17,012,133.62</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18,174,164.24</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1,015,034,640.12</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839,062,875.43</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4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1,823,788,194.70</w:t>
            </w:r>
          </w:p>
        </w:tc>
        <w:tc>
          <w:tcPr>
            <w:tcW w:w="26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1,834,019,350.87</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521"/>
        <w:gridCol w:w="2449"/>
        <w:gridCol w:w="2665"/>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6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66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144,875,000.00</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120,003,850.00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136,470,754.72</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209,775,406.03</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10,137,763.66</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87,459,444.01</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12,022,324.94</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11,507,301.06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9,010,414.27</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10,350,610.15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55,772,381.52</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65,983,859.25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546"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08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2,926,382.00</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5,277,031.00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96,047,029.20</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172,113,648.60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1,000,000.00</w:t>
            </w: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465,335,668.31</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677,194,119.10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66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78,860,000.00</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100,407,029.20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0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211,923,287.67</w:t>
            </w: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4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7,189,326.62</w:t>
            </w:r>
          </w:p>
        </w:tc>
        <w:tc>
          <w:tcPr>
            <w:tcW w:w="26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12,659,418.89</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521"/>
        <w:gridCol w:w="2449"/>
        <w:gridCol w:w="2665"/>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6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3,550,855.33</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3,702,565.47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301,523,469.62</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116,769,013.56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766,859,137.93</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793,963,132.66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66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411,118,370.00</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414,849,620.00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5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0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739,285,789.70</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769,199,153.53</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25,041,540.00</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54,115,440.00</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21,281,039.35</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21,281,039.35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66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-93,456,318.93</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-116,859,807.86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1,053,187,340.12</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1,034,354,565.02</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3,741,716.65</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5,701,653.19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1,056,929,056.77</w:t>
            </w:r>
          </w:p>
        </w:tc>
        <w:tc>
          <w:tcPr>
            <w:tcW w:w="26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1,040,056,218.21</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4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1,823,788,194.70</w:t>
            </w:r>
          </w:p>
        </w:tc>
        <w:tc>
          <w:tcPr>
            <w:tcW w:w="26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1,834,019,350.87</w:t>
            </w:r>
          </w:p>
        </w:tc>
      </w:tr>
    </w:tbl>
    <w:p>
      <w:pPr>
        <w:tabs>
          <w:tab w:pos="3574" w:val="left" w:leader="none"/>
          <w:tab w:pos="7715" w:val="left" w:leader="none"/>
        </w:tabs>
        <w:spacing w:before="10"/>
        <w:ind w:left="154" w:right="1122"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主管会计工作负责人：戴晓东</w:t>
        <w:tab/>
        <w:t>会计机构负责人：戴晓东</w:t>
      </w:r>
    </w:p>
    <w:p>
      <w:pPr>
        <w:spacing w:line="240" w:lineRule="auto" w:before="10"/>
        <w:rPr>
          <w:rFonts w:ascii="宋体" w:hAnsi="宋体" w:cs="宋体" w:eastAsia="宋体" w:hint="default"/>
          <w:sz w:val="21"/>
          <w:szCs w:val="21"/>
        </w:rPr>
      </w:pPr>
    </w:p>
    <w:p>
      <w:pPr>
        <w:pStyle w:val="Heading4"/>
        <w:spacing w:line="240" w:lineRule="auto"/>
        <w:ind w:right="1122"/>
        <w:jc w:val="left"/>
        <w:rPr>
          <w:b w:val="0"/>
          <w:bCs w:val="0"/>
        </w:rPr>
      </w:pPr>
      <w:bookmarkStart w:name="2、母公司资产负债表" w:id="158"/>
      <w:bookmarkEnd w:id="158"/>
      <w:r>
        <w:rPr>
          <w:b w:val="0"/>
          <w:bCs w:val="0"/>
        </w:rPr>
      </w:r>
      <w:r>
        <w:rPr>
          <w:rFonts w:ascii="宋体" w:hAnsi="宋体" w:cs="宋体" w:eastAsia="宋体" w:hint="default"/>
        </w:rPr>
        <w:t>2</w:t>
      </w:r>
      <w:r>
        <w:rPr/>
        <w:t>、母公司资产负债表</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521"/>
        <w:gridCol w:w="2449"/>
        <w:gridCol w:w="2593"/>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9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41,640,127.73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115,960,663.41</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203,779,002.75</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180,134,919.48</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3,407,400.00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3,405,328.00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08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200,371,602.75</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176,729,591.48</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10,993,955.77</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12,314,203.16</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4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21,705,453.54</w:t>
            </w:r>
          </w:p>
        </w:tc>
        <w:tc>
          <w:tcPr>
            <w:tcW w:w="2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24,823,347.22</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521"/>
        <w:gridCol w:w="2449"/>
        <w:gridCol w:w="2593"/>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546"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3,283.52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08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10,764,100.00</w:t>
            </w: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51,300,762.22</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57,084,637.36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524,336.56</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1,434,411.77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329,943,638.57</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391,752,182.40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9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77,300,000.00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77,300,000.00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805,464,022.35</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802,853,714.11</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16,614,798.30</w:t>
            </w: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279,541,108.04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299,294,465.93</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39,595,130.80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23,644,238.23</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25,316,270.49</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26,127,343.17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3,350,739.52</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3,495,758.74</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7,654,692.02</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10,812,139.24</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1,254,836,761.52</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1,243,527,659.42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1,584,780,400.09</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1,635,279,841.82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9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104,875,000.00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85,003,850.00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98,292,389.91</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105,879,316.70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8,812,027.35</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828,488.29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5,719,954.55</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3,543,557.86</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4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4,228,452.08</w:t>
            </w:r>
          </w:p>
        </w:tc>
        <w:tc>
          <w:tcPr>
            <w:tcW w:w="2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3,330,293.42</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521"/>
        <w:gridCol w:w="2449"/>
        <w:gridCol w:w="2593"/>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187,578,798.22</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162,528,700.50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546"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08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96,047,029.20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157,113,648.60</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505,553,651.31</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518,227,855.37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9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78,860,000.00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100,407,029.20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0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5,950,330.89</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10,866,597.36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84,810,330.89</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111,273,626.56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590,363,982.20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629,501,481.93</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9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411,118,370.00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414,849,620.00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0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759,666,154.68</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789,626,643.62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25,041,540.00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54,115,440.00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21,281,039.35</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21,281,039.35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-172,607,606.14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-165,863,503.08</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994,416,417.89</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1,005,778,359.89</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4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1,584,780,400.09</w:t>
            </w:r>
          </w:p>
        </w:tc>
        <w:tc>
          <w:tcPr>
            <w:tcW w:w="2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1,635,279,841.82</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Times New Roman" w:hAnsi="Times New Roman" w:cs="Times New Roman" w:eastAsia="Times New Roman" w:hint="default"/>
          <w:sz w:val="23"/>
          <w:szCs w:val="23"/>
        </w:rPr>
      </w:pPr>
    </w:p>
    <w:p>
      <w:pPr>
        <w:pStyle w:val="Heading4"/>
        <w:spacing w:line="240" w:lineRule="auto" w:before="35"/>
        <w:ind w:right="1122"/>
        <w:jc w:val="left"/>
        <w:rPr>
          <w:b w:val="0"/>
          <w:bCs w:val="0"/>
        </w:rPr>
      </w:pPr>
      <w:bookmarkStart w:name="3、合并利润表" w:id="159"/>
      <w:bookmarkEnd w:id="159"/>
      <w:r>
        <w:rPr>
          <w:b w:val="0"/>
          <w:bCs w:val="0"/>
        </w:rPr>
      </w:r>
      <w:r>
        <w:rPr>
          <w:rFonts w:ascii="宋体" w:hAnsi="宋体" w:cs="宋体" w:eastAsia="宋体" w:hint="default"/>
        </w:rPr>
        <w:t>3</w:t>
      </w:r>
      <w:r>
        <w:rPr/>
        <w:t>、合并利润表</w:t>
      </w:r>
      <w:r>
        <w:rPr>
          <w:b w:val="0"/>
          <w:bCs w:val="0"/>
        </w:rPr>
      </w:r>
    </w:p>
    <w:p>
      <w:pPr>
        <w:spacing w:line="240" w:lineRule="auto" w:before="9"/>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4521"/>
        <w:gridCol w:w="2449"/>
        <w:gridCol w:w="2593"/>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435,931,413.33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540,224,208.56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435,931,413.33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540,224,208.56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469,892,664.68</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941,968,806.87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285,547,108.54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377,480,811.27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5,655,505.12</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5,371,901.61</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41,049,254.28</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45,571,542.04</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50,953,860.35</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57,065,124.85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39,969,498.19</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47,206,543.39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30,162,007.87</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9,234,340.30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086"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30,498,628.15</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10,339,681.87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522"/>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459,070.90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1,430,537.47</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16,555,430.33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400,038,543.41</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11,051,480.64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11,730,503.17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16,051,752.54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-1,509,764.86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16,051,752.54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-3,009,764.86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33,559,923.90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9,701.31</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26,701,905.73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-391,514,158.69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286,616.53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697,535.14</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4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235,873.16</w:t>
            </w:r>
          </w:p>
        </w:tc>
        <w:tc>
          <w:tcPr>
            <w:tcW w:w="2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186,294.11</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4521"/>
        <w:gridCol w:w="2449"/>
        <w:gridCol w:w="2593"/>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26,752,649.10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-391,002,917.66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5,261,971.60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4,762,475.21</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21,490,677.50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-395,765,392.87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69"/>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21,490,677.50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-395,765,392.87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69"/>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23,403,488.93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-392,404,175.23</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-1,912,811.43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-3,361,217.64</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86"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权益法下不能转损益的其他综合收益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权益法下可转损益的其他综合收益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w:t>
            </w:r>
          </w:p>
          <w:p>
            <w:pPr>
              <w:pStyle w:val="TableParagraph"/>
              <w:spacing w:line="240" w:lineRule="auto" w:before="77"/>
              <w:ind w:left="6"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86"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21,490,677.50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-395,765,392.87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23,403,488.93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-392,404,175.23</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-1,912,811.43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-3,361,217.64</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9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0.0574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-0.9619</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4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0.0574</w:t>
            </w:r>
          </w:p>
        </w:tc>
        <w:tc>
          <w:tcPr>
            <w:tcW w:w="2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-0.9619</w:t>
            </w:r>
          </w:p>
        </w:tc>
      </w:tr>
    </w:tbl>
    <w:p>
      <w:pPr>
        <w:tabs>
          <w:tab w:pos="3574" w:val="left" w:leader="none"/>
          <w:tab w:pos="7715" w:val="left" w:leader="none"/>
        </w:tabs>
        <w:spacing w:before="10"/>
        <w:ind w:left="154" w:right="1122"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主管会计工作负责人：戴晓东</w:t>
        <w:tab/>
        <w:t>会计机构负责人：戴晓东</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000" w:top="1100" w:bottom="1180" w:left="980" w:right="0"/>
        </w:sectPr>
      </w:pPr>
    </w:p>
    <w:p>
      <w:pPr>
        <w:pStyle w:val="Heading4"/>
        <w:spacing w:line="240" w:lineRule="auto" w:before="35"/>
        <w:ind w:right="0"/>
        <w:jc w:val="left"/>
        <w:rPr>
          <w:b w:val="0"/>
          <w:bCs w:val="0"/>
        </w:rPr>
      </w:pPr>
      <w:bookmarkStart w:name="4、母公司利润表" w:id="160"/>
      <w:bookmarkEnd w:id="160"/>
      <w:r>
        <w:rPr>
          <w:b w:val="0"/>
          <w:bCs w:val="0"/>
        </w:rPr>
      </w:r>
      <w:r>
        <w:rPr>
          <w:rFonts w:ascii="宋体" w:hAnsi="宋体" w:cs="宋体" w:eastAsia="宋体" w:hint="default"/>
          <w:w w:val="95"/>
        </w:rPr>
        <w:t>4</w:t>
      </w:r>
      <w:r>
        <w:rPr>
          <w:w w:val="95"/>
        </w:rPr>
        <w:t>、母公司利润表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7"/>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736" w:space="7184"/>
            <w:col w:w="2010"/>
          </w:cols>
        </w:sectPr>
      </w:pPr>
    </w:p>
    <w:p>
      <w:pPr>
        <w:spacing w:line="240" w:lineRule="auto" w:before="1"/>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521"/>
        <w:gridCol w:w="2449"/>
        <w:gridCol w:w="2593"/>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177,884,320.74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173,106,554.68</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4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127,540,182.78</w:t>
            </w:r>
          </w:p>
        </w:tc>
        <w:tc>
          <w:tcPr>
            <w:tcW w:w="2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140,804,285.98</w:t>
            </w:r>
          </w:p>
        </w:tc>
      </w:tr>
    </w:tbl>
    <w:p>
      <w:pPr>
        <w:spacing w:after="0" w:line="240" w:lineRule="auto"/>
        <w:jc w:val="right"/>
        <w:rPr>
          <w:rFonts w:ascii="宋体" w:hAnsi="宋体" w:cs="宋体" w:eastAsia="宋体" w:hint="default"/>
          <w:sz w:val="18"/>
          <w:szCs w:val="18"/>
        </w:rPr>
        <w:sectPr>
          <w:type w:val="continuous"/>
          <w:pgSz w:w="11910" w:h="16840"/>
          <w:pgMar w:top="1580" w:bottom="7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521"/>
        <w:gridCol w:w="2449"/>
        <w:gridCol w:w="2593"/>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3,426,258.61</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1,202,644.88</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9,404,367.36</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11,280,986.98</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26,842,519.43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24,770,603.14</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19,463,664.14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19,093,341.42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16,829,187.68</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7,999,136.29</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17,163,288.09</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8,301,093.17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44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379,646.22</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410,337.73</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1,879,800.23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254,344,336.81</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6,289,012.97</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8,282,321.58</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14,804,652.12</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10,567,627.00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4,040,552.12</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-3,009,764.86</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-192,390.71</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3,381,555.35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-6,600,385.11</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-264,157,276.89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4,319.54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3,252.61</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3,018.27</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106,917.70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-6,599,083.84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-264,260,941.98</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145,019.22</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1,005,404.42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-6,744,103.06</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-265,266,346.40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69"/>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-6,744,103.06</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-265,266,346.40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69"/>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权益法下不能转损益的其他综合收益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权益法下可转损益的其他综合收益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449" w:type="dxa"/>
            <w:tcBorders>
              <w:top w:val="single" w:sz="6" w:space="0" w:color="000000"/>
              <w:left w:val="single" w:sz="14" w:space="0" w:color="D2D2D2"/>
              <w:bottom w:val="single" w:sz="12" w:space="0" w:color="000000"/>
              <w:right w:val="single" w:sz="6" w:space="0" w:color="000000"/>
            </w:tcBorders>
          </w:tcPr>
          <w:p>
            <w:pPr/>
          </w:p>
        </w:tc>
        <w:tc>
          <w:tcPr>
            <w:tcW w:w="259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521"/>
        <w:gridCol w:w="2449"/>
        <w:gridCol w:w="2593"/>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left="1232" w:right="0"/>
              <w:jc w:val="left"/>
              <w:rPr>
                <w:rFonts w:ascii="宋体" w:hAnsi="宋体" w:cs="宋体" w:eastAsia="宋体" w:hint="default"/>
                <w:sz w:val="18"/>
                <w:szCs w:val="18"/>
              </w:rPr>
            </w:pPr>
            <w:r>
              <w:rPr>
                <w:rFonts w:ascii="宋体"/>
                <w:sz w:val="18"/>
              </w:rPr>
              <w:t>-6,744,103.06</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1208" w:right="0"/>
              <w:jc w:val="left"/>
              <w:rPr>
                <w:rFonts w:ascii="宋体" w:hAnsi="宋体" w:cs="宋体" w:eastAsia="宋体" w:hint="default"/>
                <w:sz w:val="18"/>
                <w:szCs w:val="18"/>
              </w:rPr>
            </w:pPr>
            <w:r>
              <w:rPr>
                <w:rFonts w:ascii="宋体"/>
                <w:sz w:val="18"/>
              </w:rPr>
              <w:t>-265,266,346.40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9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49" w:type="dxa"/>
            <w:tcBorders>
              <w:top w:val="single" w:sz="6" w:space="0" w:color="000000"/>
              <w:left w:val="single" w:sz="14" w:space="0" w:color="D2D2D2"/>
              <w:bottom w:val="single" w:sz="12" w:space="0" w:color="000000"/>
              <w:right w:val="single" w:sz="6" w:space="0" w:color="000000"/>
            </w:tcBorders>
          </w:tcPr>
          <w:p>
            <w:pPr/>
          </w:p>
        </w:tc>
        <w:tc>
          <w:tcPr>
            <w:tcW w:w="259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8"/>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77" w:footer="1000" w:top="1100" w:bottom="1180" w:left="980" w:right="0"/>
        </w:sectPr>
      </w:pPr>
    </w:p>
    <w:p>
      <w:pPr>
        <w:pStyle w:val="Heading4"/>
        <w:spacing w:line="240" w:lineRule="auto" w:before="35"/>
        <w:ind w:right="0"/>
        <w:jc w:val="left"/>
        <w:rPr>
          <w:b w:val="0"/>
          <w:bCs w:val="0"/>
        </w:rPr>
      </w:pPr>
      <w:bookmarkStart w:name="5、合并现金流量表" w:id="161"/>
      <w:bookmarkEnd w:id="161"/>
      <w:r>
        <w:rPr>
          <w:b w:val="0"/>
          <w:bCs w:val="0"/>
        </w:rPr>
      </w:r>
      <w:r>
        <w:rPr>
          <w:rFonts w:ascii="宋体" w:hAnsi="宋体" w:cs="宋体" w:eastAsia="宋体" w:hint="default"/>
          <w:w w:val="95"/>
        </w:rPr>
        <w:t>5</w:t>
      </w:r>
      <w:r>
        <w:rPr>
          <w:w w:val="95"/>
        </w:rPr>
        <w:t>、合并现金流量表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7"/>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947" w:space="6973"/>
            <w:col w:w="2010"/>
          </w:cols>
        </w:sectPr>
      </w:pPr>
    </w:p>
    <w:p>
      <w:pPr>
        <w:spacing w:line="240" w:lineRule="auto" w:before="9"/>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4537"/>
        <w:gridCol w:w="2517"/>
        <w:gridCol w:w="2515"/>
      </w:tblGrid>
      <w:tr>
        <w:trPr>
          <w:trHeight w:val="398" w:hRule="exact"/>
        </w:trPr>
        <w:tc>
          <w:tcPr>
            <w:tcW w:w="45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5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left="80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8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3"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1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1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17"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z w:val="18"/>
              </w:rPr>
              <w:t>478,265,438.77</w:t>
            </w:r>
          </w:p>
        </w:tc>
        <w:tc>
          <w:tcPr>
            <w:tcW w:w="2515"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653,223,813.00</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441"/>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441"/>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681"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31"/>
              <w:ind w:left="13" w:right="18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 资产净增加额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37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2,939,813.17</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3,786,917.75</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102,842,112.05</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78,961,149.52</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584,047,363.99</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735,971,880.27</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277,540,552.14</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465,745,392.44</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441"/>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441"/>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89,494,897.66</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89,956,615.10</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19,574,323.17</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52,225,766.49</w:t>
            </w:r>
          </w:p>
        </w:tc>
      </w:tr>
      <w:tr>
        <w:trPr>
          <w:trHeight w:val="419" w:hRule="exact"/>
        </w:trPr>
        <w:tc>
          <w:tcPr>
            <w:tcW w:w="45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1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154,596,343.28</w:t>
            </w:r>
          </w:p>
        </w:tc>
        <w:tc>
          <w:tcPr>
            <w:tcW w:w="25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138,655,035.92</w:t>
            </w:r>
          </w:p>
        </w:tc>
      </w:tr>
    </w:tbl>
    <w:p>
      <w:pPr>
        <w:spacing w:after="0" w:line="240" w:lineRule="auto"/>
        <w:jc w:val="right"/>
        <w:rPr>
          <w:rFonts w:ascii="宋体" w:hAnsi="宋体" w:cs="宋体" w:eastAsia="宋体" w:hint="default"/>
          <w:sz w:val="18"/>
          <w:szCs w:val="18"/>
        </w:rPr>
        <w:sectPr>
          <w:type w:val="continuous"/>
          <w:pgSz w:w="11910" w:h="16840"/>
          <w:pgMar w:top="1580" w:bottom="700" w:left="98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4537"/>
        <w:gridCol w:w="2517"/>
        <w:gridCol w:w="2515"/>
      </w:tblGrid>
      <w:tr>
        <w:trPr>
          <w:trHeight w:val="370" w:hRule="exact"/>
        </w:trPr>
        <w:tc>
          <w:tcPr>
            <w:tcW w:w="45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5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80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1"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17"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z w:val="18"/>
              </w:rPr>
              <w:t>541,206,116.25</w:t>
            </w:r>
          </w:p>
        </w:tc>
        <w:tc>
          <w:tcPr>
            <w:tcW w:w="2515"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746,582,809.95</w:t>
            </w:r>
          </w:p>
        </w:tc>
      </w:tr>
      <w:tr>
        <w:trPr>
          <w:trHeight w:val="440"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17"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42,841,247.74</w:t>
            </w:r>
          </w:p>
        </w:tc>
        <w:tc>
          <w:tcPr>
            <w:tcW w:w="2515"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-10,610,929.68</w:t>
            </w:r>
          </w:p>
        </w:tc>
      </w:tr>
      <w:tr>
        <w:trPr>
          <w:trHeight w:val="355"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1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1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17" w:type="dxa"/>
            <w:tcBorders>
              <w:top w:val="single" w:sz="23" w:space="0" w:color="D2D2D2"/>
              <w:left w:val="single" w:sz="14" w:space="0" w:color="D2D2D2"/>
              <w:bottom w:val="single" w:sz="6" w:space="0" w:color="000000"/>
              <w:right w:val="single" w:sz="6" w:space="0" w:color="000000"/>
            </w:tcBorders>
          </w:tcPr>
          <w:p>
            <w:pPr/>
          </w:p>
        </w:tc>
        <w:tc>
          <w:tcPr>
            <w:tcW w:w="2515"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10,000,000.00</w:t>
            </w:r>
          </w:p>
        </w:tc>
      </w:tr>
      <w:tr>
        <w:trPr>
          <w:trHeight w:val="391"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1,500,000.00</w:t>
            </w: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681"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1"/>
              <w:ind w:left="13" w:right="20" w:firstLine="36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处置固定资产、无形资产和其他长期资产收回的现金</w:t>
            </w:r>
            <w:r>
              <w:rPr>
                <w:rFonts w:ascii="宋体" w:hAnsi="宋体" w:cs="宋体" w:eastAsia="宋体" w:hint="default"/>
                <w:sz w:val="18"/>
                <w:szCs w:val="18"/>
              </w:rPr>
              <w:t> 净额</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z w:val="18"/>
              </w:rPr>
              <w:t>9,101,020.00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88,955,133.56</w:t>
            </w:r>
          </w:p>
        </w:tc>
      </w:tr>
      <w:tr>
        <w:trPr>
          <w:trHeight w:val="391"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37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10,601,020.00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98,955,133.56</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42,985,676.03</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90,127,736.61</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210,303,000.00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134,166,666.00</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2,350,649.00</w:t>
            </w: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255,639,325.03</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224,294,402.61</w:t>
            </w:r>
          </w:p>
        </w:tc>
      </w:tr>
      <w:tr>
        <w:trPr>
          <w:trHeight w:val="441"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17"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-245,038,305.03</w:t>
            </w:r>
          </w:p>
        </w:tc>
        <w:tc>
          <w:tcPr>
            <w:tcW w:w="2515"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-125,339,269.05</w:t>
            </w:r>
          </w:p>
        </w:tc>
      </w:tr>
      <w:tr>
        <w:trPr>
          <w:trHeight w:val="355"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1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1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17" w:type="dxa"/>
            <w:tcBorders>
              <w:top w:val="single" w:sz="17" w:space="0" w:color="D2D2D2"/>
              <w:left w:val="single" w:sz="14" w:space="0" w:color="D2D2D2"/>
              <w:bottom w:val="single" w:sz="6" w:space="0" w:color="000000"/>
              <w:right w:val="single" w:sz="6" w:space="0" w:color="000000"/>
            </w:tcBorders>
          </w:tcPr>
          <w:p>
            <w:pPr/>
          </w:p>
        </w:tc>
        <w:tc>
          <w:tcPr>
            <w:tcW w:w="2515" w:type="dxa"/>
            <w:tcBorders>
              <w:top w:val="single" w:sz="17" w:space="0" w:color="D2D2D2"/>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369,000,000.00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412,363,850.00</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22,632,875.00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1,034,111.60</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391,632,875.00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413,397,961.60</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238,617,498.60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220,998,079.00</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19,807,897.06</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21,123,327.45</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2,429,908.14</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36,209,335.00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136,611,278.39</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294,634,730.66</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378,732,684.84</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96,998,144.34</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34,665,276.76</w:t>
            </w: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1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-105,198,912.95</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-101,284,921.97</w:t>
            </w:r>
          </w:p>
        </w:tc>
      </w:tr>
      <w:tr>
        <w:trPr>
          <w:trHeight w:val="420" w:hRule="exact"/>
        </w:trPr>
        <w:tc>
          <w:tcPr>
            <w:tcW w:w="45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1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189,290,276.68</w:t>
            </w:r>
          </w:p>
        </w:tc>
        <w:tc>
          <w:tcPr>
            <w:tcW w:w="25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290,575,198.65</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4537"/>
        <w:gridCol w:w="2517"/>
        <w:gridCol w:w="2515"/>
      </w:tblGrid>
      <w:tr>
        <w:trPr>
          <w:trHeight w:val="370" w:hRule="exact"/>
        </w:trPr>
        <w:tc>
          <w:tcPr>
            <w:tcW w:w="45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5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80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8" w:hRule="exact"/>
        </w:trPr>
        <w:tc>
          <w:tcPr>
            <w:tcW w:w="45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17" w:type="dxa"/>
            <w:tcBorders>
              <w:top w:val="single" w:sz="23" w:space="0" w:color="D2D2D2"/>
              <w:left w:val="single" w:sz="14" w:space="0" w:color="D2D2D2"/>
              <w:bottom w:val="single" w:sz="12" w:space="0" w:color="000000"/>
              <w:right w:val="single" w:sz="6" w:space="0" w:color="000000"/>
            </w:tcBorders>
          </w:tcPr>
          <w:p>
            <w:pPr>
              <w:pStyle w:val="TableParagraph"/>
              <w:spacing w:line="240" w:lineRule="auto" w:before="61"/>
              <w:ind w:left="1300" w:right="0"/>
              <w:jc w:val="left"/>
              <w:rPr>
                <w:rFonts w:ascii="宋体" w:hAnsi="宋体" w:cs="宋体" w:eastAsia="宋体" w:hint="default"/>
                <w:sz w:val="18"/>
                <w:szCs w:val="18"/>
              </w:rPr>
            </w:pPr>
            <w:r>
              <w:rPr>
                <w:rFonts w:ascii="宋体"/>
                <w:sz w:val="18"/>
              </w:rPr>
              <w:t>84,091,363.73</w:t>
            </w:r>
          </w:p>
        </w:tc>
        <w:tc>
          <w:tcPr>
            <w:tcW w:w="2515" w:type="dxa"/>
            <w:tcBorders>
              <w:top w:val="single" w:sz="23" w:space="0" w:color="D2D2D2"/>
              <w:left w:val="single" w:sz="6" w:space="0" w:color="000000"/>
              <w:bottom w:val="single" w:sz="12" w:space="0" w:color="000000"/>
              <w:right w:val="single" w:sz="12" w:space="0" w:color="000000"/>
            </w:tcBorders>
          </w:tcPr>
          <w:p>
            <w:pPr>
              <w:pStyle w:val="TableParagraph"/>
              <w:spacing w:line="240" w:lineRule="auto" w:before="61"/>
              <w:ind w:left="1220" w:right="0"/>
              <w:jc w:val="left"/>
              <w:rPr>
                <w:rFonts w:ascii="宋体" w:hAnsi="宋体" w:cs="宋体" w:eastAsia="宋体" w:hint="default"/>
                <w:sz w:val="18"/>
                <w:szCs w:val="18"/>
              </w:rPr>
            </w:pPr>
            <w:r>
              <w:rPr>
                <w:rFonts w:ascii="宋体"/>
                <w:sz w:val="18"/>
              </w:rPr>
              <w:t>189,290,276.68</w:t>
            </w:r>
          </w:p>
        </w:tc>
      </w:tr>
    </w:tbl>
    <w:p>
      <w:pPr>
        <w:spacing w:line="240" w:lineRule="auto" w:before="9"/>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77" w:footer="1000" w:top="1100" w:bottom="1180" w:left="980" w:right="0"/>
        </w:sectPr>
      </w:pPr>
    </w:p>
    <w:p>
      <w:pPr>
        <w:pStyle w:val="Heading4"/>
        <w:spacing w:line="240" w:lineRule="auto" w:before="35"/>
        <w:ind w:right="-21"/>
        <w:jc w:val="left"/>
        <w:rPr>
          <w:b w:val="0"/>
          <w:bCs w:val="0"/>
        </w:rPr>
      </w:pPr>
      <w:bookmarkStart w:name="6、母公司现金流量表" w:id="162"/>
      <w:bookmarkEnd w:id="162"/>
      <w:r>
        <w:rPr>
          <w:b w:val="0"/>
          <w:bCs w:val="0"/>
        </w:rPr>
      </w:r>
      <w:r>
        <w:rPr>
          <w:rFonts w:ascii="宋体" w:hAnsi="宋体" w:cs="宋体" w:eastAsia="宋体" w:hint="default"/>
        </w:rPr>
        <w:t>6</w:t>
      </w:r>
      <w:r>
        <w:rPr/>
        <w:t>、母公司现金流量表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7"/>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2158" w:space="6762"/>
            <w:col w:w="2010"/>
          </w:cols>
        </w:sectPr>
      </w:pP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521"/>
        <w:gridCol w:w="2449"/>
        <w:gridCol w:w="2593"/>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9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161,186,324.89</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226,516,954.18</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256,911,601.09</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305,236,490.14</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418,097,925.98</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531,753,444.32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100,085,332.35</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158,650,965.05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28,227,627.43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27,411,237.48</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5,405,024.79</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6,559,531.38</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212,908,257.68</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260,127,575.06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346,626,242.25</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452,749,308.97</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71,471,683.73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79,004,135.35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9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28,000,000.00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13,577,391.86</w:t>
            </w:r>
          </w:p>
        </w:tc>
      </w:tr>
      <w:tr>
        <w:trPr>
          <w:trHeight w:val="719"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10" w:firstLine="36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处置固定资产、无形资产和其他长期资产收回的现金</w:t>
            </w:r>
            <w:r>
              <w:rPr>
                <w:rFonts w:ascii="宋体" w:hAnsi="宋体" w:cs="宋体" w:eastAsia="宋体" w:hint="default"/>
                <w:sz w:val="18"/>
                <w:szCs w:val="18"/>
              </w:rPr>
              <w:t> 净额</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64,508.11</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418,721.80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1,000.00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42,060,621.77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32,577,438.74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70,958,296.57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341,000.00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270,796,666.00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32,918,438.74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341,754,962.57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-32,917,438.74</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-299,694,340.80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9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49" w:type="dxa"/>
            <w:tcBorders>
              <w:top w:val="single" w:sz="6" w:space="0" w:color="000000"/>
              <w:left w:val="single" w:sz="14" w:space="0" w:color="D2D2D2"/>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4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129,000,000.00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357,363,850.00</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49" w:type="dxa"/>
            <w:tcBorders>
              <w:top w:val="single" w:sz="6" w:space="0" w:color="000000"/>
              <w:left w:val="single" w:sz="14" w:space="0" w:color="D2D2D2"/>
              <w:bottom w:val="single" w:sz="12" w:space="0" w:color="000000"/>
              <w:right w:val="single" w:sz="6" w:space="0" w:color="000000"/>
            </w:tcBorders>
          </w:tcPr>
          <w:p>
            <w:pPr/>
          </w:p>
        </w:tc>
        <w:tc>
          <w:tcPr>
            <w:tcW w:w="2593"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878" w:type="dxa"/>
        <w:tblLayout w:type="fixed"/>
        <w:tblCellMar>
          <w:top w:w="0" w:type="dxa"/>
          <w:left w:w="0" w:type="dxa"/>
          <w:bottom w:w="0" w:type="dxa"/>
          <w:right w:w="0" w:type="dxa"/>
        </w:tblCellMar>
        <w:tblLook w:val="01E0"/>
      </w:tblPr>
      <w:tblGrid>
        <w:gridCol w:w="4537"/>
        <w:gridCol w:w="2439"/>
        <w:gridCol w:w="2593"/>
      </w:tblGrid>
      <w:tr>
        <w:trPr>
          <w:trHeight w:val="415" w:hRule="exact"/>
        </w:trPr>
        <w:tc>
          <w:tcPr>
            <w:tcW w:w="45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500,994.68</w:t>
            </w:r>
          </w:p>
        </w:tc>
        <w:tc>
          <w:tcPr>
            <w:tcW w:w="25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1,034,111.60</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129,500,994.68</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358,397,961.60</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193,617,498.60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139,498,079.00</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16,873,036.30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13,273,825.21</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29,920,335.00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4,812,496.98</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240,410,869.90</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157,584,401.19</w:t>
            </w:r>
          </w:p>
        </w:tc>
      </w:tr>
      <w:tr>
        <w:trPr>
          <w:trHeight w:val="408"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-110,909,875.22</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200,813,560.41</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39" w:type="dxa"/>
            <w:tcBorders>
              <w:top w:val="single" w:sz="6" w:space="0" w:color="000000"/>
              <w:left w:val="single" w:sz="6" w:space="0" w:color="000000"/>
              <w:bottom w:val="single" w:sz="6" w:space="0" w:color="000000"/>
              <w:right w:val="single" w:sz="6" w:space="0" w:color="000000"/>
            </w:tcBorders>
          </w:tcPr>
          <w:p>
            <w:pPr/>
          </w:p>
        </w:tc>
        <w:tc>
          <w:tcPr>
            <w:tcW w:w="2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-72,355,630.23</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-19,876,645.04</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110,572,414.08</w:t>
            </w:r>
          </w:p>
        </w:tc>
        <w:tc>
          <w:tcPr>
            <w:tcW w:w="2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130,449,059.12</w:t>
            </w:r>
          </w:p>
        </w:tc>
      </w:tr>
      <w:tr>
        <w:trPr>
          <w:trHeight w:val="414" w:hRule="exact"/>
        </w:trPr>
        <w:tc>
          <w:tcPr>
            <w:tcW w:w="45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38,216,783.85</w:t>
            </w:r>
          </w:p>
        </w:tc>
        <w:tc>
          <w:tcPr>
            <w:tcW w:w="2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110,572,414.08</w:t>
            </w:r>
          </w:p>
        </w:tc>
      </w:tr>
    </w:tbl>
    <w:p>
      <w:pPr>
        <w:spacing w:line="240" w:lineRule="auto" w:before="7"/>
        <w:rPr>
          <w:rFonts w:ascii="宋体" w:hAnsi="宋体" w:cs="宋体" w:eastAsia="宋体" w:hint="default"/>
          <w:sz w:val="14"/>
          <w:szCs w:val="14"/>
        </w:rPr>
      </w:pPr>
    </w:p>
    <w:p>
      <w:pPr>
        <w:pStyle w:val="Heading4"/>
        <w:spacing w:line="240" w:lineRule="auto" w:before="35"/>
        <w:ind w:left="894" w:right="0"/>
        <w:jc w:val="left"/>
        <w:rPr>
          <w:b w:val="0"/>
          <w:bCs w:val="0"/>
        </w:rPr>
      </w:pPr>
      <w:bookmarkStart w:name="7、合并所有者权益变动表" w:id="163"/>
      <w:bookmarkEnd w:id="163"/>
      <w:r>
        <w:rPr>
          <w:b w:val="0"/>
          <w:bCs w:val="0"/>
        </w:rPr>
      </w:r>
      <w:r>
        <w:rPr>
          <w:rFonts w:ascii="宋体" w:hAnsi="宋体" w:cs="宋体" w:eastAsia="宋体" w:hint="default"/>
        </w:rPr>
        <w:t>7</w:t>
      </w:r>
      <w:r>
        <w:rPr/>
        <w:t>、合并所有者权益变动表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0"/>
        <w:ind w:left="894" w:right="0"/>
        <w:jc w:val="left"/>
      </w:pPr>
      <w:r>
        <w:rPr/>
        <w:t>本期金额</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719"/>
        <w:gridCol w:w="1143"/>
        <w:gridCol w:w="408"/>
        <w:gridCol w:w="396"/>
        <w:gridCol w:w="422"/>
        <w:gridCol w:w="1200"/>
        <w:gridCol w:w="1119"/>
        <w:gridCol w:w="382"/>
        <w:gridCol w:w="409"/>
        <w:gridCol w:w="1091"/>
        <w:gridCol w:w="450"/>
        <w:gridCol w:w="1215"/>
        <w:gridCol w:w="1076"/>
        <w:gridCol w:w="1296"/>
      </w:tblGrid>
      <w:tr>
        <w:trPr>
          <w:trHeight w:val="415" w:hRule="exact"/>
        </w:trPr>
        <w:tc>
          <w:tcPr>
            <w:tcW w:w="719" w:type="dxa"/>
            <w:vMerge w:val="restart"/>
            <w:tcBorders>
              <w:top w:val="single" w:sz="12" w:space="0" w:color="000000"/>
              <w:left w:val="single" w:sz="12" w:space="0" w:color="000000"/>
              <w:right w:val="single" w:sz="6" w:space="0" w:color="000000"/>
            </w:tcBorders>
            <w:shd w:val="clear" w:color="auto" w:fill="D2D2D2"/>
          </w:tcPr>
          <w:p>
            <w:pPr/>
          </w:p>
        </w:tc>
        <w:tc>
          <w:tcPr>
            <w:tcW w:w="10607"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74"/>
              <w:ind w:left="18"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406" w:hRule="exact"/>
        </w:trPr>
        <w:tc>
          <w:tcPr>
            <w:tcW w:w="719" w:type="dxa"/>
            <w:vMerge/>
            <w:tcBorders>
              <w:left w:val="single" w:sz="12" w:space="0" w:color="000000"/>
              <w:bottom w:val="nil" w:sz="6" w:space="0" w:color="auto"/>
              <w:right w:val="single" w:sz="6" w:space="0" w:color="000000"/>
            </w:tcBorders>
            <w:shd w:val="clear" w:color="auto" w:fill="D2D2D2"/>
          </w:tcPr>
          <w:p>
            <w:pPr/>
          </w:p>
        </w:tc>
        <w:tc>
          <w:tcPr>
            <w:tcW w:w="8235"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9"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076" w:type="dxa"/>
            <w:vMerge w:val="restart"/>
            <w:tcBorders>
              <w:top w:val="single" w:sz="6" w:space="0" w:color="000000"/>
              <w:left w:val="single" w:sz="6" w:space="0" w:color="000000"/>
              <w:right w:val="single" w:sz="6" w:space="0" w:color="000000"/>
            </w:tcBorders>
            <w:shd w:val="clear" w:color="auto" w:fill="D2D2D2"/>
          </w:tcPr>
          <w:p>
            <w:pPr/>
          </w:p>
        </w:tc>
        <w:tc>
          <w:tcPr>
            <w:tcW w:w="1296" w:type="dxa"/>
            <w:vMerge w:val="restart"/>
            <w:tcBorders>
              <w:top w:val="single" w:sz="6" w:space="0" w:color="000000"/>
              <w:left w:val="single" w:sz="6" w:space="0" w:color="000000"/>
              <w:right w:val="single" w:sz="12" w:space="0" w:color="000000"/>
            </w:tcBorders>
            <w:shd w:val="clear" w:color="auto" w:fill="D2D2D2"/>
          </w:tcPr>
          <w:p>
            <w:pPr/>
          </w:p>
        </w:tc>
      </w:tr>
      <w:tr>
        <w:trPr>
          <w:trHeight w:val="188" w:hRule="exact"/>
        </w:trPr>
        <w:tc>
          <w:tcPr>
            <w:tcW w:w="719"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35"/>
              <w:ind w:left="196"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143" w:type="dxa"/>
            <w:vMerge w:val="restart"/>
            <w:tcBorders>
              <w:top w:val="single" w:sz="6" w:space="0" w:color="000000"/>
              <w:left w:val="single" w:sz="6" w:space="0" w:color="000000"/>
              <w:right w:val="single" w:sz="6" w:space="0" w:color="000000"/>
            </w:tcBorders>
            <w:shd w:val="clear" w:color="auto" w:fill="D2D2D2"/>
          </w:tcPr>
          <w:p>
            <w:pPr/>
          </w:p>
        </w:tc>
        <w:tc>
          <w:tcPr>
            <w:tcW w:w="1226"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5"/>
              <w:ind w:left="156"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00" w:type="dxa"/>
            <w:vMerge w:val="restart"/>
            <w:tcBorders>
              <w:top w:val="single" w:sz="6" w:space="0" w:color="000000"/>
              <w:left w:val="single" w:sz="6" w:space="0" w:color="000000"/>
              <w:right w:val="single" w:sz="6" w:space="0" w:color="000000"/>
            </w:tcBorders>
            <w:shd w:val="clear" w:color="auto" w:fill="D2D2D2"/>
          </w:tcPr>
          <w:p>
            <w:pPr/>
          </w:p>
        </w:tc>
        <w:tc>
          <w:tcPr>
            <w:tcW w:w="1119" w:type="dxa"/>
            <w:vMerge w:val="restart"/>
            <w:tcBorders>
              <w:top w:val="single" w:sz="6" w:space="0" w:color="000000"/>
              <w:left w:val="single" w:sz="6" w:space="0" w:color="000000"/>
              <w:right w:val="single" w:sz="6" w:space="0" w:color="000000"/>
            </w:tcBorders>
            <w:shd w:val="clear" w:color="auto" w:fill="D2D2D2"/>
          </w:tcPr>
          <w:p>
            <w:pPr/>
          </w:p>
        </w:tc>
        <w:tc>
          <w:tcPr>
            <w:tcW w:w="382"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123"/>
              <w:ind w:left="33" w:right="31"/>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409" w:type="dxa"/>
            <w:tcBorders>
              <w:top w:val="single" w:sz="6" w:space="0" w:color="000000"/>
              <w:left w:val="single" w:sz="6" w:space="0" w:color="000000"/>
              <w:bottom w:val="nil" w:sz="6" w:space="0" w:color="auto"/>
              <w:right w:val="single" w:sz="6" w:space="0" w:color="000000"/>
            </w:tcBorders>
            <w:shd w:val="clear" w:color="auto" w:fill="D2D2D2"/>
          </w:tcPr>
          <w:p>
            <w:pPr/>
          </w:p>
        </w:tc>
        <w:tc>
          <w:tcPr>
            <w:tcW w:w="1091" w:type="dxa"/>
            <w:vMerge w:val="restart"/>
            <w:tcBorders>
              <w:top w:val="single" w:sz="6" w:space="0" w:color="000000"/>
              <w:left w:val="single" w:sz="6" w:space="0" w:color="000000"/>
              <w:right w:val="single" w:sz="6" w:space="0" w:color="000000"/>
            </w:tcBorders>
            <w:shd w:val="clear" w:color="auto" w:fill="D2D2D2"/>
          </w:tcPr>
          <w:p>
            <w:pPr/>
          </w:p>
        </w:tc>
        <w:tc>
          <w:tcPr>
            <w:tcW w:w="450"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123"/>
              <w:ind w:left="67" w:right="66"/>
              <w:jc w:val="both"/>
              <w:rPr>
                <w:rFonts w:ascii="宋体" w:hAnsi="宋体" w:cs="宋体" w:eastAsia="宋体" w:hint="default"/>
                <w:sz w:val="15"/>
                <w:szCs w:val="15"/>
              </w:rPr>
            </w:pPr>
            <w:r>
              <w:rPr>
                <w:rFonts w:ascii="宋体" w:hAnsi="宋体" w:cs="宋体" w:eastAsia="宋体" w:hint="default"/>
                <w:sz w:val="15"/>
                <w:szCs w:val="15"/>
              </w:rPr>
              <w:t>一般 风险 准备</w:t>
            </w:r>
          </w:p>
        </w:tc>
        <w:tc>
          <w:tcPr>
            <w:tcW w:w="1215" w:type="dxa"/>
            <w:vMerge w:val="restart"/>
            <w:tcBorders>
              <w:top w:val="single" w:sz="6" w:space="0" w:color="000000"/>
              <w:left w:val="single" w:sz="6" w:space="0" w:color="000000"/>
              <w:right w:val="single" w:sz="6" w:space="0" w:color="000000"/>
            </w:tcBorders>
            <w:shd w:val="clear" w:color="auto" w:fill="D2D2D2"/>
          </w:tcPr>
          <w:p>
            <w:pPr/>
          </w:p>
        </w:tc>
        <w:tc>
          <w:tcPr>
            <w:tcW w:w="1076" w:type="dxa"/>
            <w:vMerge/>
            <w:tcBorders>
              <w:left w:val="single" w:sz="6" w:space="0" w:color="000000"/>
              <w:bottom w:val="nil" w:sz="6" w:space="0" w:color="auto"/>
              <w:right w:val="single" w:sz="6" w:space="0" w:color="000000"/>
            </w:tcBorders>
            <w:shd w:val="clear" w:color="auto" w:fill="D2D2D2"/>
          </w:tcPr>
          <w:p>
            <w:pPr/>
          </w:p>
        </w:tc>
        <w:tc>
          <w:tcPr>
            <w:tcW w:w="1296" w:type="dxa"/>
            <w:vMerge/>
            <w:tcBorders>
              <w:left w:val="single" w:sz="6" w:space="0" w:color="000000"/>
              <w:bottom w:val="nil" w:sz="6" w:space="0" w:color="auto"/>
              <w:right w:val="single" w:sz="12" w:space="0" w:color="000000"/>
            </w:tcBorders>
            <w:shd w:val="clear" w:color="auto" w:fill="D2D2D2"/>
          </w:tcPr>
          <w:p>
            <w:pPr/>
          </w:p>
        </w:tc>
      </w:tr>
      <w:tr>
        <w:trPr>
          <w:trHeight w:val="188" w:hRule="exact"/>
        </w:trPr>
        <w:tc>
          <w:tcPr>
            <w:tcW w:w="719" w:type="dxa"/>
            <w:vMerge/>
            <w:tcBorders>
              <w:left w:val="single" w:sz="12" w:space="0" w:color="000000"/>
              <w:bottom w:val="nil" w:sz="6" w:space="0" w:color="auto"/>
              <w:right w:val="single" w:sz="6" w:space="0" w:color="000000"/>
            </w:tcBorders>
            <w:shd w:val="clear" w:color="auto" w:fill="D2D2D2"/>
          </w:tcPr>
          <w:p>
            <w:pPr/>
          </w:p>
        </w:tc>
        <w:tc>
          <w:tcPr>
            <w:tcW w:w="1143" w:type="dxa"/>
            <w:vMerge/>
            <w:tcBorders>
              <w:left w:val="single" w:sz="6" w:space="0" w:color="000000"/>
              <w:bottom w:val="nil" w:sz="6" w:space="0" w:color="auto"/>
              <w:right w:val="single" w:sz="6" w:space="0" w:color="000000"/>
            </w:tcBorders>
            <w:shd w:val="clear" w:color="auto" w:fill="D2D2D2"/>
          </w:tcPr>
          <w:p>
            <w:pPr/>
          </w:p>
        </w:tc>
        <w:tc>
          <w:tcPr>
            <w:tcW w:w="1226" w:type="dxa"/>
            <w:gridSpan w:val="3"/>
            <w:vMerge/>
            <w:tcBorders>
              <w:left w:val="single" w:sz="6" w:space="0" w:color="000000"/>
              <w:bottom w:val="single" w:sz="6" w:space="0" w:color="000000"/>
              <w:right w:val="single" w:sz="6" w:space="0" w:color="000000"/>
            </w:tcBorders>
            <w:shd w:val="clear" w:color="auto" w:fill="D2D2D2"/>
          </w:tcPr>
          <w:p>
            <w:pPr/>
          </w:p>
        </w:tc>
        <w:tc>
          <w:tcPr>
            <w:tcW w:w="1200" w:type="dxa"/>
            <w:vMerge/>
            <w:tcBorders>
              <w:left w:val="single" w:sz="6" w:space="0" w:color="000000"/>
              <w:bottom w:val="nil" w:sz="6" w:space="0" w:color="auto"/>
              <w:right w:val="single" w:sz="6" w:space="0" w:color="000000"/>
            </w:tcBorders>
            <w:shd w:val="clear" w:color="auto" w:fill="D2D2D2"/>
          </w:tcPr>
          <w:p>
            <w:pPr/>
          </w:p>
        </w:tc>
        <w:tc>
          <w:tcPr>
            <w:tcW w:w="1119" w:type="dxa"/>
            <w:vMerge/>
            <w:tcBorders>
              <w:left w:val="single" w:sz="6" w:space="0" w:color="000000"/>
              <w:bottom w:val="nil" w:sz="6" w:space="0" w:color="auto"/>
              <w:right w:val="single" w:sz="6" w:space="0" w:color="000000"/>
            </w:tcBorders>
            <w:shd w:val="clear" w:color="auto" w:fill="D2D2D2"/>
          </w:tcPr>
          <w:p>
            <w:pPr/>
          </w:p>
        </w:tc>
        <w:tc>
          <w:tcPr>
            <w:tcW w:w="382" w:type="dxa"/>
            <w:vMerge/>
            <w:tcBorders>
              <w:left w:val="single" w:sz="6" w:space="0" w:color="000000"/>
              <w:right w:val="single" w:sz="6" w:space="0" w:color="000000"/>
            </w:tcBorders>
            <w:shd w:val="clear" w:color="auto" w:fill="D2D2D2"/>
          </w:tcPr>
          <w:p>
            <w:pPr/>
          </w:p>
        </w:tc>
        <w:tc>
          <w:tcPr>
            <w:tcW w:w="409"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98"/>
              <w:ind w:left="46" w:right="47"/>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091"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1215" w:type="dxa"/>
            <w:vMerge/>
            <w:tcBorders>
              <w:left w:val="single" w:sz="6" w:space="0" w:color="000000"/>
              <w:bottom w:val="nil" w:sz="6" w:space="0" w:color="auto"/>
              <w:right w:val="single" w:sz="6" w:space="0" w:color="000000"/>
            </w:tcBorders>
            <w:shd w:val="clear" w:color="auto" w:fill="D2D2D2"/>
          </w:tcPr>
          <w:p>
            <w:pPr/>
          </w:p>
        </w:tc>
        <w:tc>
          <w:tcPr>
            <w:tcW w:w="10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0"/>
              <w:ind w:left="8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96"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0"/>
              <w:ind w:left="11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92" w:hRule="exact"/>
        </w:trPr>
        <w:tc>
          <w:tcPr>
            <w:tcW w:w="719" w:type="dxa"/>
            <w:vMerge w:val="restart"/>
            <w:tcBorders>
              <w:top w:val="nil" w:sz="6" w:space="0" w:color="auto"/>
              <w:left w:val="single" w:sz="12" w:space="0" w:color="000000"/>
              <w:right w:val="single" w:sz="6" w:space="0" w:color="000000"/>
            </w:tcBorders>
            <w:shd w:val="clear" w:color="auto" w:fill="D2D2D2"/>
          </w:tcPr>
          <w:p>
            <w:pPr/>
          </w:p>
        </w:tc>
        <w:tc>
          <w:tcPr>
            <w:tcW w:w="114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6"/>
              <w:ind w:left="9"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408" w:type="dxa"/>
            <w:vMerge w:val="restart"/>
            <w:tcBorders>
              <w:top w:val="single" w:sz="6" w:space="0" w:color="000000"/>
              <w:left w:val="single" w:sz="6" w:space="0" w:color="000000"/>
              <w:right w:val="single" w:sz="6" w:space="0" w:color="000000"/>
            </w:tcBorders>
            <w:shd w:val="clear" w:color="auto" w:fill="D2D2D2"/>
          </w:tcPr>
          <w:p>
            <w:pPr>
              <w:pStyle w:val="TableParagraph"/>
              <w:spacing w:line="384" w:lineRule="auto" w:before="106"/>
              <w:ind w:left="121" w:right="44" w:hanging="75"/>
              <w:jc w:val="left"/>
              <w:rPr>
                <w:rFonts w:ascii="宋体" w:hAnsi="宋体" w:cs="宋体" w:eastAsia="宋体" w:hint="default"/>
                <w:sz w:val="15"/>
                <w:szCs w:val="15"/>
              </w:rPr>
            </w:pPr>
            <w:r>
              <w:rPr>
                <w:rFonts w:ascii="宋体" w:hAnsi="宋体" w:cs="宋体" w:eastAsia="宋体" w:hint="default"/>
                <w:sz w:val="15"/>
                <w:szCs w:val="15"/>
              </w:rPr>
              <w:t>优先 股</w:t>
            </w:r>
          </w:p>
        </w:tc>
        <w:tc>
          <w:tcPr>
            <w:tcW w:w="396" w:type="dxa"/>
            <w:vMerge w:val="restart"/>
            <w:tcBorders>
              <w:top w:val="single" w:sz="6" w:space="0" w:color="000000"/>
              <w:left w:val="single" w:sz="6" w:space="0" w:color="000000"/>
              <w:right w:val="single" w:sz="6" w:space="0" w:color="000000"/>
            </w:tcBorders>
            <w:shd w:val="clear" w:color="auto" w:fill="D2D2D2"/>
          </w:tcPr>
          <w:p>
            <w:pPr>
              <w:pStyle w:val="TableParagraph"/>
              <w:spacing w:line="384" w:lineRule="auto" w:before="106"/>
              <w:ind w:left="116" w:right="38" w:hanging="76"/>
              <w:jc w:val="left"/>
              <w:rPr>
                <w:rFonts w:ascii="宋体" w:hAnsi="宋体" w:cs="宋体" w:eastAsia="宋体" w:hint="default"/>
                <w:sz w:val="15"/>
                <w:szCs w:val="15"/>
              </w:rPr>
            </w:pPr>
            <w:r>
              <w:rPr>
                <w:rFonts w:ascii="宋体" w:hAnsi="宋体" w:cs="宋体" w:eastAsia="宋体" w:hint="default"/>
                <w:sz w:val="15"/>
                <w:szCs w:val="15"/>
              </w:rPr>
              <w:t>永续 债</w:t>
            </w:r>
          </w:p>
        </w:tc>
        <w:tc>
          <w:tcPr>
            <w:tcW w:w="4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6"/>
              <w:ind w:left="29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1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6"/>
              <w:ind w:left="176"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382" w:type="dxa"/>
            <w:vMerge/>
            <w:tcBorders>
              <w:left w:val="single" w:sz="6" w:space="0" w:color="000000"/>
              <w:right w:val="single" w:sz="6" w:space="0" w:color="000000"/>
            </w:tcBorders>
            <w:shd w:val="clear" w:color="auto" w:fill="D2D2D2"/>
          </w:tcPr>
          <w:p>
            <w:pPr/>
          </w:p>
        </w:tc>
        <w:tc>
          <w:tcPr>
            <w:tcW w:w="409" w:type="dxa"/>
            <w:vMerge/>
            <w:tcBorders>
              <w:left w:val="single" w:sz="6" w:space="0" w:color="000000"/>
              <w:right w:val="single" w:sz="6" w:space="0" w:color="000000"/>
            </w:tcBorders>
            <w:shd w:val="clear" w:color="auto" w:fill="D2D2D2"/>
          </w:tcPr>
          <w:p>
            <w:pPr/>
          </w:p>
        </w:tc>
        <w:tc>
          <w:tcPr>
            <w:tcW w:w="109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0"/>
              <w:ind w:left="23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50" w:type="dxa"/>
            <w:vMerge/>
            <w:tcBorders>
              <w:left w:val="single" w:sz="6" w:space="0" w:color="000000"/>
              <w:right w:val="single" w:sz="6" w:space="0" w:color="000000"/>
            </w:tcBorders>
            <w:shd w:val="clear" w:color="auto" w:fill="D2D2D2"/>
          </w:tcPr>
          <w:p>
            <w:pPr/>
          </w:p>
        </w:tc>
        <w:tc>
          <w:tcPr>
            <w:tcW w:w="12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0"/>
              <w:ind w:left="22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76" w:type="dxa"/>
            <w:vMerge/>
            <w:tcBorders>
              <w:left w:val="single" w:sz="6" w:space="0" w:color="000000"/>
              <w:bottom w:val="nil" w:sz="6" w:space="0" w:color="auto"/>
              <w:right w:val="single" w:sz="6" w:space="0" w:color="000000"/>
            </w:tcBorders>
            <w:shd w:val="clear" w:color="auto" w:fill="D2D2D2"/>
          </w:tcPr>
          <w:p>
            <w:pPr/>
          </w:p>
        </w:tc>
        <w:tc>
          <w:tcPr>
            <w:tcW w:w="1296" w:type="dxa"/>
            <w:vMerge/>
            <w:tcBorders>
              <w:left w:val="single" w:sz="6" w:space="0" w:color="000000"/>
              <w:bottom w:val="nil" w:sz="6" w:space="0" w:color="auto"/>
              <w:right w:val="single" w:sz="12" w:space="0" w:color="000000"/>
            </w:tcBorders>
            <w:shd w:val="clear" w:color="auto" w:fill="D2D2D2"/>
          </w:tcPr>
          <w:p>
            <w:pPr/>
          </w:p>
        </w:tc>
      </w:tr>
      <w:tr>
        <w:trPr>
          <w:trHeight w:val="197" w:hRule="exact"/>
        </w:trPr>
        <w:tc>
          <w:tcPr>
            <w:tcW w:w="719" w:type="dxa"/>
            <w:vMerge/>
            <w:tcBorders>
              <w:left w:val="single" w:sz="12" w:space="0" w:color="000000"/>
              <w:right w:val="single" w:sz="6" w:space="0" w:color="000000"/>
            </w:tcBorders>
            <w:shd w:val="clear" w:color="auto" w:fill="D2D2D2"/>
          </w:tcPr>
          <w:p>
            <w:pPr/>
          </w:p>
        </w:tc>
        <w:tc>
          <w:tcPr>
            <w:tcW w:w="1143" w:type="dxa"/>
            <w:vMerge/>
            <w:tcBorders>
              <w:left w:val="single" w:sz="6" w:space="0" w:color="000000"/>
              <w:bottom w:val="nil" w:sz="6" w:space="0" w:color="auto"/>
              <w:right w:val="single" w:sz="6" w:space="0" w:color="000000"/>
            </w:tcBorders>
            <w:shd w:val="clear" w:color="auto" w:fill="D2D2D2"/>
          </w:tcPr>
          <w:p>
            <w:pPr/>
          </w:p>
        </w:tc>
        <w:tc>
          <w:tcPr>
            <w:tcW w:w="408" w:type="dxa"/>
            <w:vMerge/>
            <w:tcBorders>
              <w:left w:val="single" w:sz="6" w:space="0" w:color="000000"/>
              <w:right w:val="single" w:sz="6" w:space="0" w:color="000000"/>
            </w:tcBorders>
            <w:shd w:val="clear" w:color="auto" w:fill="D2D2D2"/>
          </w:tcPr>
          <w:p>
            <w:pPr/>
          </w:p>
        </w:tc>
        <w:tc>
          <w:tcPr>
            <w:tcW w:w="396" w:type="dxa"/>
            <w:vMerge/>
            <w:tcBorders>
              <w:left w:val="single" w:sz="6" w:space="0" w:color="000000"/>
              <w:right w:val="single" w:sz="6" w:space="0" w:color="000000"/>
            </w:tcBorders>
            <w:shd w:val="clear" w:color="auto" w:fill="D2D2D2"/>
          </w:tcPr>
          <w:p>
            <w:pPr/>
          </w:p>
        </w:tc>
        <w:tc>
          <w:tcPr>
            <w:tcW w:w="42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81"/>
              <w:ind w:left="5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00" w:type="dxa"/>
            <w:vMerge/>
            <w:tcBorders>
              <w:left w:val="single" w:sz="6" w:space="0" w:color="000000"/>
              <w:bottom w:val="nil" w:sz="6" w:space="0" w:color="auto"/>
              <w:right w:val="single" w:sz="6" w:space="0" w:color="000000"/>
            </w:tcBorders>
            <w:shd w:val="clear" w:color="auto" w:fill="D2D2D2"/>
          </w:tcPr>
          <w:p>
            <w:pPr/>
          </w:p>
        </w:tc>
        <w:tc>
          <w:tcPr>
            <w:tcW w:w="1119" w:type="dxa"/>
            <w:vMerge/>
            <w:tcBorders>
              <w:left w:val="single" w:sz="6" w:space="0" w:color="000000"/>
              <w:bottom w:val="nil" w:sz="6" w:space="0" w:color="auto"/>
              <w:right w:val="single" w:sz="6" w:space="0" w:color="000000"/>
            </w:tcBorders>
            <w:shd w:val="clear" w:color="auto" w:fill="D2D2D2"/>
          </w:tcPr>
          <w:p>
            <w:pPr/>
          </w:p>
        </w:tc>
        <w:tc>
          <w:tcPr>
            <w:tcW w:w="382" w:type="dxa"/>
            <w:vMerge/>
            <w:tcBorders>
              <w:left w:val="single" w:sz="6" w:space="0" w:color="000000"/>
              <w:right w:val="single" w:sz="6" w:space="0" w:color="000000"/>
            </w:tcBorders>
            <w:shd w:val="clear" w:color="auto" w:fill="D2D2D2"/>
          </w:tcPr>
          <w:p>
            <w:pPr/>
          </w:p>
        </w:tc>
        <w:tc>
          <w:tcPr>
            <w:tcW w:w="409" w:type="dxa"/>
            <w:vMerge/>
            <w:tcBorders>
              <w:left w:val="single" w:sz="6" w:space="0" w:color="000000"/>
              <w:right w:val="single" w:sz="6" w:space="0" w:color="000000"/>
            </w:tcBorders>
            <w:shd w:val="clear" w:color="auto" w:fill="D2D2D2"/>
          </w:tcPr>
          <w:p>
            <w:pPr/>
          </w:p>
        </w:tc>
        <w:tc>
          <w:tcPr>
            <w:tcW w:w="1091"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1215" w:type="dxa"/>
            <w:vMerge/>
            <w:tcBorders>
              <w:left w:val="single" w:sz="6" w:space="0" w:color="000000"/>
              <w:bottom w:val="nil" w:sz="6" w:space="0" w:color="auto"/>
              <w:right w:val="single" w:sz="6" w:space="0" w:color="000000"/>
            </w:tcBorders>
            <w:shd w:val="clear" w:color="auto" w:fill="D2D2D2"/>
          </w:tcPr>
          <w:p>
            <w:pPr/>
          </w:p>
        </w:tc>
        <w:tc>
          <w:tcPr>
            <w:tcW w:w="1076" w:type="dxa"/>
            <w:vMerge w:val="restart"/>
            <w:tcBorders>
              <w:top w:val="nil" w:sz="6" w:space="0" w:color="auto"/>
              <w:left w:val="single" w:sz="6" w:space="0" w:color="000000"/>
              <w:right w:val="single" w:sz="6" w:space="0" w:color="000000"/>
            </w:tcBorders>
            <w:shd w:val="clear" w:color="auto" w:fill="D2D2D2"/>
          </w:tcPr>
          <w:p>
            <w:pPr/>
          </w:p>
        </w:tc>
        <w:tc>
          <w:tcPr>
            <w:tcW w:w="1296" w:type="dxa"/>
            <w:vMerge w:val="restart"/>
            <w:tcBorders>
              <w:top w:val="nil" w:sz="6" w:space="0" w:color="auto"/>
              <w:left w:val="single" w:sz="6" w:space="0" w:color="000000"/>
              <w:right w:val="single" w:sz="12" w:space="0" w:color="000000"/>
            </w:tcBorders>
            <w:shd w:val="clear" w:color="auto" w:fill="D2D2D2"/>
          </w:tcPr>
          <w:p>
            <w:pPr/>
          </w:p>
        </w:tc>
      </w:tr>
      <w:tr>
        <w:trPr>
          <w:trHeight w:val="179" w:hRule="exact"/>
        </w:trPr>
        <w:tc>
          <w:tcPr>
            <w:tcW w:w="719" w:type="dxa"/>
            <w:vMerge/>
            <w:tcBorders>
              <w:left w:val="single" w:sz="12" w:space="0" w:color="000000"/>
              <w:right w:val="single" w:sz="6" w:space="0" w:color="000000"/>
            </w:tcBorders>
            <w:shd w:val="clear" w:color="auto" w:fill="D2D2D2"/>
          </w:tcPr>
          <w:p>
            <w:pPr/>
          </w:p>
        </w:tc>
        <w:tc>
          <w:tcPr>
            <w:tcW w:w="1143" w:type="dxa"/>
            <w:vMerge w:val="restart"/>
            <w:tcBorders>
              <w:top w:val="nil" w:sz="6" w:space="0" w:color="auto"/>
              <w:left w:val="single" w:sz="6" w:space="0" w:color="000000"/>
              <w:right w:val="single" w:sz="6" w:space="0" w:color="000000"/>
            </w:tcBorders>
            <w:shd w:val="clear" w:color="auto" w:fill="D2D2D2"/>
          </w:tcPr>
          <w:p>
            <w:pPr/>
          </w:p>
        </w:tc>
        <w:tc>
          <w:tcPr>
            <w:tcW w:w="408" w:type="dxa"/>
            <w:vMerge/>
            <w:tcBorders>
              <w:left w:val="single" w:sz="6" w:space="0" w:color="000000"/>
              <w:right w:val="single" w:sz="6" w:space="0" w:color="000000"/>
            </w:tcBorders>
            <w:shd w:val="clear" w:color="auto" w:fill="D2D2D2"/>
          </w:tcPr>
          <w:p>
            <w:pPr/>
          </w:p>
        </w:tc>
        <w:tc>
          <w:tcPr>
            <w:tcW w:w="396" w:type="dxa"/>
            <w:vMerge/>
            <w:tcBorders>
              <w:left w:val="single" w:sz="6" w:space="0" w:color="000000"/>
              <w:right w:val="single" w:sz="6" w:space="0" w:color="000000"/>
            </w:tcBorders>
            <w:shd w:val="clear" w:color="auto" w:fill="D2D2D2"/>
          </w:tcPr>
          <w:p>
            <w:pPr/>
          </w:p>
        </w:tc>
        <w:tc>
          <w:tcPr>
            <w:tcW w:w="422" w:type="dxa"/>
            <w:vMerge/>
            <w:tcBorders>
              <w:left w:val="single" w:sz="6" w:space="0" w:color="000000"/>
              <w:bottom w:val="nil" w:sz="6" w:space="0" w:color="auto"/>
              <w:right w:val="single" w:sz="6" w:space="0" w:color="000000"/>
            </w:tcBorders>
            <w:shd w:val="clear" w:color="auto" w:fill="D2D2D2"/>
          </w:tcPr>
          <w:p>
            <w:pPr/>
          </w:p>
        </w:tc>
        <w:tc>
          <w:tcPr>
            <w:tcW w:w="1200" w:type="dxa"/>
            <w:vMerge w:val="restart"/>
            <w:tcBorders>
              <w:top w:val="nil" w:sz="6" w:space="0" w:color="auto"/>
              <w:left w:val="single" w:sz="6" w:space="0" w:color="000000"/>
              <w:right w:val="single" w:sz="6" w:space="0" w:color="000000"/>
            </w:tcBorders>
            <w:shd w:val="clear" w:color="auto" w:fill="D2D2D2"/>
          </w:tcPr>
          <w:p>
            <w:pPr/>
          </w:p>
        </w:tc>
        <w:tc>
          <w:tcPr>
            <w:tcW w:w="1119" w:type="dxa"/>
            <w:vMerge w:val="restart"/>
            <w:tcBorders>
              <w:top w:val="nil" w:sz="6" w:space="0" w:color="auto"/>
              <w:left w:val="single" w:sz="6" w:space="0" w:color="000000"/>
              <w:right w:val="single" w:sz="6" w:space="0" w:color="000000"/>
            </w:tcBorders>
            <w:shd w:val="clear" w:color="auto" w:fill="D2D2D2"/>
          </w:tcPr>
          <w:p>
            <w:pPr/>
          </w:p>
        </w:tc>
        <w:tc>
          <w:tcPr>
            <w:tcW w:w="382" w:type="dxa"/>
            <w:vMerge/>
            <w:tcBorders>
              <w:left w:val="single" w:sz="6" w:space="0" w:color="000000"/>
              <w:right w:val="single" w:sz="6" w:space="0" w:color="000000"/>
            </w:tcBorders>
            <w:shd w:val="clear" w:color="auto" w:fill="D2D2D2"/>
          </w:tcPr>
          <w:p>
            <w:pPr/>
          </w:p>
        </w:tc>
        <w:tc>
          <w:tcPr>
            <w:tcW w:w="409" w:type="dxa"/>
            <w:vMerge/>
            <w:tcBorders>
              <w:left w:val="single" w:sz="6" w:space="0" w:color="000000"/>
              <w:bottom w:val="nil" w:sz="6" w:space="0" w:color="auto"/>
              <w:right w:val="single" w:sz="6" w:space="0" w:color="000000"/>
            </w:tcBorders>
            <w:shd w:val="clear" w:color="auto" w:fill="D2D2D2"/>
          </w:tcPr>
          <w:p>
            <w:pPr/>
          </w:p>
        </w:tc>
        <w:tc>
          <w:tcPr>
            <w:tcW w:w="1091" w:type="dxa"/>
            <w:vMerge w:val="restart"/>
            <w:tcBorders>
              <w:top w:val="nil" w:sz="6" w:space="0" w:color="auto"/>
              <w:left w:val="single" w:sz="6" w:space="0" w:color="000000"/>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1215" w:type="dxa"/>
            <w:vMerge w:val="restart"/>
            <w:tcBorders>
              <w:top w:val="nil" w:sz="6" w:space="0" w:color="auto"/>
              <w:left w:val="single" w:sz="6" w:space="0" w:color="000000"/>
              <w:right w:val="single" w:sz="6" w:space="0" w:color="000000"/>
            </w:tcBorders>
            <w:shd w:val="clear" w:color="auto" w:fill="D2D2D2"/>
          </w:tcPr>
          <w:p>
            <w:pPr/>
          </w:p>
        </w:tc>
        <w:tc>
          <w:tcPr>
            <w:tcW w:w="1076" w:type="dxa"/>
            <w:vMerge/>
            <w:tcBorders>
              <w:left w:val="single" w:sz="6" w:space="0" w:color="000000"/>
              <w:right w:val="single" w:sz="6" w:space="0" w:color="000000"/>
            </w:tcBorders>
            <w:shd w:val="clear" w:color="auto" w:fill="D2D2D2"/>
          </w:tcPr>
          <w:p>
            <w:pPr/>
          </w:p>
        </w:tc>
        <w:tc>
          <w:tcPr>
            <w:tcW w:w="1296" w:type="dxa"/>
            <w:vMerge/>
            <w:tcBorders>
              <w:left w:val="single" w:sz="6" w:space="0" w:color="000000"/>
              <w:right w:val="single" w:sz="12" w:space="0" w:color="000000"/>
            </w:tcBorders>
            <w:shd w:val="clear" w:color="auto" w:fill="D2D2D2"/>
          </w:tcPr>
          <w:p>
            <w:pPr/>
          </w:p>
        </w:tc>
      </w:tr>
      <w:tr>
        <w:trPr>
          <w:trHeight w:val="187" w:hRule="exact"/>
        </w:trPr>
        <w:tc>
          <w:tcPr>
            <w:tcW w:w="719" w:type="dxa"/>
            <w:vMerge/>
            <w:tcBorders>
              <w:left w:val="single" w:sz="12" w:space="0" w:color="000000"/>
              <w:bottom w:val="single" w:sz="6" w:space="0" w:color="000000"/>
              <w:right w:val="single" w:sz="6" w:space="0" w:color="000000"/>
            </w:tcBorders>
            <w:shd w:val="clear" w:color="auto" w:fill="D2D2D2"/>
          </w:tcPr>
          <w:p>
            <w:pPr/>
          </w:p>
        </w:tc>
        <w:tc>
          <w:tcPr>
            <w:tcW w:w="1143" w:type="dxa"/>
            <w:vMerge/>
            <w:tcBorders>
              <w:left w:val="single" w:sz="6" w:space="0" w:color="000000"/>
              <w:bottom w:val="single" w:sz="6" w:space="0" w:color="000000"/>
              <w:right w:val="single" w:sz="6" w:space="0" w:color="000000"/>
            </w:tcBorders>
            <w:shd w:val="clear" w:color="auto" w:fill="D2D2D2"/>
          </w:tcPr>
          <w:p>
            <w:pPr/>
          </w:p>
        </w:tc>
        <w:tc>
          <w:tcPr>
            <w:tcW w:w="408" w:type="dxa"/>
            <w:vMerge/>
            <w:tcBorders>
              <w:left w:val="single" w:sz="6" w:space="0" w:color="000000"/>
              <w:bottom w:val="single" w:sz="6" w:space="0" w:color="000000"/>
              <w:right w:val="single" w:sz="6" w:space="0" w:color="000000"/>
            </w:tcBorders>
            <w:shd w:val="clear" w:color="auto" w:fill="D2D2D2"/>
          </w:tcPr>
          <w:p>
            <w:pPr/>
          </w:p>
        </w:tc>
        <w:tc>
          <w:tcPr>
            <w:tcW w:w="396" w:type="dxa"/>
            <w:vMerge/>
            <w:tcBorders>
              <w:left w:val="single" w:sz="6" w:space="0" w:color="000000"/>
              <w:bottom w:val="single" w:sz="6" w:space="0" w:color="000000"/>
              <w:right w:val="single" w:sz="6" w:space="0" w:color="000000"/>
            </w:tcBorders>
            <w:shd w:val="clear" w:color="auto" w:fill="D2D2D2"/>
          </w:tcPr>
          <w:p>
            <w:pPr/>
          </w:p>
        </w:tc>
        <w:tc>
          <w:tcPr>
            <w:tcW w:w="4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0" w:type="dxa"/>
            <w:vMerge/>
            <w:tcBorders>
              <w:left w:val="single" w:sz="6" w:space="0" w:color="000000"/>
              <w:bottom w:val="single" w:sz="6" w:space="0" w:color="000000"/>
              <w:right w:val="single" w:sz="6" w:space="0" w:color="000000"/>
            </w:tcBorders>
            <w:shd w:val="clear" w:color="auto" w:fill="D2D2D2"/>
          </w:tcPr>
          <w:p>
            <w:pPr/>
          </w:p>
        </w:tc>
        <w:tc>
          <w:tcPr>
            <w:tcW w:w="1119" w:type="dxa"/>
            <w:vMerge/>
            <w:tcBorders>
              <w:left w:val="single" w:sz="6" w:space="0" w:color="000000"/>
              <w:bottom w:val="single" w:sz="6" w:space="0" w:color="000000"/>
              <w:right w:val="single" w:sz="6" w:space="0" w:color="000000"/>
            </w:tcBorders>
            <w:shd w:val="clear" w:color="auto" w:fill="D2D2D2"/>
          </w:tcPr>
          <w:p>
            <w:pPr/>
          </w:p>
        </w:tc>
        <w:tc>
          <w:tcPr>
            <w:tcW w:w="382" w:type="dxa"/>
            <w:vMerge/>
            <w:tcBorders>
              <w:left w:val="single" w:sz="6" w:space="0" w:color="000000"/>
              <w:bottom w:val="single" w:sz="6" w:space="0" w:color="000000"/>
              <w:right w:val="single" w:sz="6" w:space="0" w:color="000000"/>
            </w:tcBorders>
            <w:shd w:val="clear" w:color="auto" w:fill="D2D2D2"/>
          </w:tcPr>
          <w:p>
            <w:pPr/>
          </w:p>
        </w:tc>
        <w:tc>
          <w:tcPr>
            <w:tcW w:w="4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091" w:type="dxa"/>
            <w:vMerge/>
            <w:tcBorders>
              <w:left w:val="single" w:sz="6" w:space="0" w:color="000000"/>
              <w:bottom w:val="single" w:sz="6" w:space="0" w:color="000000"/>
              <w:right w:val="single" w:sz="6" w:space="0" w:color="000000"/>
            </w:tcBorders>
            <w:shd w:val="clear" w:color="auto" w:fill="D2D2D2"/>
          </w:tcPr>
          <w:p>
            <w:pPr/>
          </w:p>
        </w:tc>
        <w:tc>
          <w:tcPr>
            <w:tcW w:w="450" w:type="dxa"/>
            <w:vMerge/>
            <w:tcBorders>
              <w:left w:val="single" w:sz="6" w:space="0" w:color="000000"/>
              <w:bottom w:val="single" w:sz="6" w:space="0" w:color="000000"/>
              <w:right w:val="single" w:sz="6" w:space="0" w:color="000000"/>
            </w:tcBorders>
            <w:shd w:val="clear" w:color="auto" w:fill="D2D2D2"/>
          </w:tcPr>
          <w:p>
            <w:pPr/>
          </w:p>
        </w:tc>
        <w:tc>
          <w:tcPr>
            <w:tcW w:w="1215" w:type="dxa"/>
            <w:vMerge/>
            <w:tcBorders>
              <w:left w:val="single" w:sz="6" w:space="0" w:color="000000"/>
              <w:bottom w:val="single" w:sz="6" w:space="0" w:color="000000"/>
              <w:right w:val="single" w:sz="6" w:space="0" w:color="000000"/>
            </w:tcBorders>
            <w:shd w:val="clear" w:color="auto" w:fill="D2D2D2"/>
          </w:tcPr>
          <w:p>
            <w:pPr/>
          </w:p>
        </w:tc>
        <w:tc>
          <w:tcPr>
            <w:tcW w:w="1076" w:type="dxa"/>
            <w:vMerge/>
            <w:tcBorders>
              <w:left w:val="single" w:sz="6" w:space="0" w:color="000000"/>
              <w:bottom w:val="single" w:sz="6" w:space="0" w:color="000000"/>
              <w:right w:val="single" w:sz="6" w:space="0" w:color="000000"/>
            </w:tcBorders>
            <w:shd w:val="clear" w:color="auto" w:fill="D2D2D2"/>
          </w:tcPr>
          <w:p>
            <w:pPr/>
          </w:p>
        </w:tc>
        <w:tc>
          <w:tcPr>
            <w:tcW w:w="1296" w:type="dxa"/>
            <w:vMerge/>
            <w:tcBorders>
              <w:left w:val="single" w:sz="6" w:space="0" w:color="000000"/>
              <w:bottom w:val="single" w:sz="6" w:space="0" w:color="000000"/>
              <w:right w:val="single" w:sz="12" w:space="0" w:color="000000"/>
            </w:tcBorders>
            <w:shd w:val="clear" w:color="auto" w:fill="D2D2D2"/>
          </w:tcPr>
          <w:p>
            <w:pPr/>
          </w:p>
        </w:tc>
      </w:tr>
      <w:tr>
        <w:trPr>
          <w:trHeight w:val="719" w:hRule="exact"/>
        </w:trPr>
        <w:tc>
          <w:tcPr>
            <w:tcW w:w="7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8"/>
              <w:jc w:val="left"/>
              <w:rPr>
                <w:rFonts w:ascii="宋体" w:hAnsi="宋体" w:cs="宋体" w:eastAsia="宋体" w:hint="default"/>
                <w:sz w:val="15"/>
                <w:szCs w:val="15"/>
              </w:rPr>
            </w:pPr>
            <w:r>
              <w:rPr>
                <w:rFonts w:ascii="宋体" w:hAnsi="宋体" w:cs="宋体" w:eastAsia="宋体" w:hint="default"/>
                <w:spacing w:val="-14"/>
                <w:sz w:val="15"/>
                <w:szCs w:val="15"/>
              </w:rPr>
              <w:t>一、上年期</w:t>
            </w:r>
            <w:r>
              <w:rPr>
                <w:rFonts w:ascii="宋体" w:hAnsi="宋体" w:cs="宋体" w:eastAsia="宋体" w:hint="default"/>
                <w:sz w:val="15"/>
                <w:szCs w:val="15"/>
              </w:rPr>
              <w:t> 末余额</w:t>
            </w:r>
          </w:p>
        </w:tc>
        <w:tc>
          <w:tcPr>
            <w:tcW w:w="1143"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3" w:right="0"/>
              <w:jc w:val="center"/>
              <w:rPr>
                <w:rFonts w:ascii="宋体" w:hAnsi="宋体" w:cs="宋体" w:eastAsia="宋体" w:hint="default"/>
                <w:sz w:val="15"/>
                <w:szCs w:val="15"/>
              </w:rPr>
            </w:pPr>
            <w:r>
              <w:rPr>
                <w:rFonts w:ascii="宋体"/>
                <w:sz w:val="15"/>
              </w:rPr>
              <w:t>414,849,620.00</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3" w:right="0"/>
              <w:jc w:val="center"/>
              <w:rPr>
                <w:rFonts w:ascii="宋体" w:hAnsi="宋体" w:cs="宋体" w:eastAsia="宋体" w:hint="default"/>
                <w:sz w:val="15"/>
                <w:szCs w:val="15"/>
              </w:rPr>
            </w:pPr>
            <w:r>
              <w:rPr>
                <w:rFonts w:ascii="宋体"/>
                <w:sz w:val="15"/>
              </w:rPr>
              <w:t>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1" w:right="0"/>
              <w:jc w:val="center"/>
              <w:rPr>
                <w:rFonts w:ascii="宋体" w:hAnsi="宋体" w:cs="宋体" w:eastAsia="宋体" w:hint="default"/>
                <w:sz w:val="15"/>
                <w:szCs w:val="15"/>
              </w:rPr>
            </w:pPr>
            <w:r>
              <w:rPr>
                <w:rFonts w:ascii="宋体"/>
                <w:sz w:val="15"/>
              </w:rPr>
              <w:t>0.00</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769,199,153.53</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54,115,440.00</w:t>
            </w:r>
          </w:p>
        </w:tc>
        <w:tc>
          <w:tcPr>
            <w:tcW w:w="382" w:type="dxa"/>
            <w:tcBorders>
              <w:top w:val="single" w:sz="19" w:space="0" w:color="D2D2D2"/>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0" w:right="0"/>
              <w:jc w:val="center"/>
              <w:rPr>
                <w:rFonts w:ascii="宋体" w:hAnsi="宋体" w:cs="宋体" w:eastAsia="宋体" w:hint="default"/>
                <w:sz w:val="15"/>
                <w:szCs w:val="15"/>
              </w:rPr>
            </w:pPr>
            <w:r>
              <w:rPr>
                <w:rFonts w:ascii="宋体"/>
                <w:sz w:val="15"/>
              </w:rPr>
              <w:t>21,281,039.35</w:t>
            </w:r>
          </w:p>
        </w:tc>
        <w:tc>
          <w:tcPr>
            <w:tcW w:w="450" w:type="dxa"/>
            <w:tcBorders>
              <w:top w:val="single" w:sz="19" w:space="0" w:color="D2D2D2"/>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0.00</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-116,859,807.86</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5,701,653.19</w:t>
            </w:r>
          </w:p>
        </w:tc>
        <w:tc>
          <w:tcPr>
            <w:tcW w:w="12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2"/>
              <w:jc w:val="right"/>
              <w:rPr>
                <w:rFonts w:ascii="宋体" w:hAnsi="宋体" w:cs="宋体" w:eastAsia="宋体" w:hint="default"/>
                <w:sz w:val="15"/>
                <w:szCs w:val="15"/>
              </w:rPr>
            </w:pPr>
            <w:r>
              <w:rPr>
                <w:rFonts w:ascii="宋体"/>
                <w:spacing w:val="-1"/>
                <w:sz w:val="15"/>
              </w:rPr>
              <w:t>1,040,056,218.21</w:t>
            </w:r>
          </w:p>
        </w:tc>
      </w:tr>
      <w:tr>
        <w:trPr>
          <w:trHeight w:val="1031" w:hRule="exact"/>
        </w:trPr>
        <w:tc>
          <w:tcPr>
            <w:tcW w:w="7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8" w:firstLine="300"/>
              <w:jc w:val="left"/>
              <w:rPr>
                <w:rFonts w:ascii="宋体" w:hAnsi="宋体" w:cs="宋体" w:eastAsia="宋体" w:hint="default"/>
                <w:sz w:val="15"/>
                <w:szCs w:val="15"/>
              </w:rPr>
            </w:pPr>
            <w:r>
              <w:rPr>
                <w:rFonts w:ascii="宋体" w:hAnsi="宋体" w:cs="宋体" w:eastAsia="宋体" w:hint="default"/>
                <w:spacing w:val="-24"/>
                <w:sz w:val="15"/>
                <w:szCs w:val="15"/>
              </w:rPr>
              <w:t>加：会</w:t>
            </w:r>
            <w:r>
              <w:rPr>
                <w:rFonts w:ascii="宋体" w:hAnsi="宋体" w:cs="宋体" w:eastAsia="宋体" w:hint="default"/>
                <w:sz w:val="15"/>
                <w:szCs w:val="15"/>
              </w:rPr>
              <w:t> 计政策变 更</w:t>
            </w:r>
          </w:p>
        </w:tc>
        <w:tc>
          <w:tcPr>
            <w:tcW w:w="1143" w:type="dxa"/>
            <w:tcBorders>
              <w:top w:val="single" w:sz="6" w:space="0" w:color="000000"/>
              <w:left w:val="single" w:sz="8" w:space="0" w:color="D2D2D2"/>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7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4" w:lineRule="auto"/>
              <w:ind w:left="6" w:right="88"/>
              <w:jc w:val="left"/>
              <w:rPr>
                <w:rFonts w:ascii="宋体" w:hAnsi="宋体" w:cs="宋体" w:eastAsia="宋体" w:hint="default"/>
                <w:sz w:val="15"/>
                <w:szCs w:val="15"/>
              </w:rPr>
            </w:pPr>
            <w:r>
              <w:rPr>
                <w:rFonts w:ascii="宋体" w:hAnsi="宋体" w:cs="宋体" w:eastAsia="宋体" w:hint="default"/>
                <w:sz w:val="15"/>
                <w:szCs w:val="15"/>
              </w:rPr>
              <w:t>前期差错 更正</w:t>
            </w:r>
          </w:p>
        </w:tc>
        <w:tc>
          <w:tcPr>
            <w:tcW w:w="1143" w:type="dxa"/>
            <w:tcBorders>
              <w:top w:val="single" w:sz="6" w:space="0" w:color="000000"/>
              <w:left w:val="single" w:sz="8" w:space="0" w:color="D2D2D2"/>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7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81" w:lineRule="auto"/>
              <w:ind w:left="6" w:right="88"/>
              <w:jc w:val="both"/>
              <w:rPr>
                <w:rFonts w:ascii="宋体" w:hAnsi="宋体" w:cs="宋体" w:eastAsia="宋体" w:hint="default"/>
                <w:sz w:val="15"/>
                <w:szCs w:val="15"/>
              </w:rPr>
            </w:pPr>
            <w:r>
              <w:rPr>
                <w:rFonts w:ascii="宋体" w:hAnsi="宋体" w:cs="宋体" w:eastAsia="宋体" w:hint="default"/>
                <w:sz w:val="15"/>
                <w:szCs w:val="15"/>
              </w:rPr>
              <w:t>同一控制 下企业合 并</w:t>
            </w:r>
          </w:p>
        </w:tc>
        <w:tc>
          <w:tcPr>
            <w:tcW w:w="1143" w:type="dxa"/>
            <w:tcBorders>
              <w:top w:val="single" w:sz="6" w:space="0" w:color="000000"/>
              <w:left w:val="single" w:sz="8" w:space="0" w:color="D2D2D2"/>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7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43" w:type="dxa"/>
            <w:tcBorders>
              <w:top w:val="single" w:sz="6" w:space="0" w:color="000000"/>
              <w:left w:val="single" w:sz="8" w:space="0" w:color="D2D2D2"/>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71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4" w:lineRule="auto" w:before="74"/>
              <w:ind w:left="6" w:right="8"/>
              <w:jc w:val="left"/>
              <w:rPr>
                <w:rFonts w:ascii="宋体" w:hAnsi="宋体" w:cs="宋体" w:eastAsia="宋体" w:hint="default"/>
                <w:sz w:val="15"/>
                <w:szCs w:val="15"/>
              </w:rPr>
            </w:pPr>
            <w:r>
              <w:rPr>
                <w:rFonts w:ascii="宋体" w:hAnsi="宋体" w:cs="宋体" w:eastAsia="宋体" w:hint="default"/>
                <w:spacing w:val="-14"/>
                <w:sz w:val="15"/>
                <w:szCs w:val="15"/>
              </w:rPr>
              <w:t>二、本年期</w:t>
            </w:r>
            <w:r>
              <w:rPr>
                <w:rFonts w:ascii="宋体" w:hAnsi="宋体" w:cs="宋体" w:eastAsia="宋体" w:hint="default"/>
                <w:sz w:val="15"/>
                <w:szCs w:val="15"/>
              </w:rPr>
              <w:t> 初余额</w:t>
            </w:r>
          </w:p>
        </w:tc>
        <w:tc>
          <w:tcPr>
            <w:tcW w:w="1143"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3" w:right="0"/>
              <w:jc w:val="center"/>
              <w:rPr>
                <w:rFonts w:ascii="宋体" w:hAnsi="宋体" w:cs="宋体" w:eastAsia="宋体" w:hint="default"/>
                <w:sz w:val="15"/>
                <w:szCs w:val="15"/>
              </w:rPr>
            </w:pPr>
            <w:r>
              <w:rPr>
                <w:rFonts w:ascii="宋体"/>
                <w:sz w:val="15"/>
              </w:rPr>
              <w:t>414,849,620.00</w:t>
            </w:r>
          </w:p>
        </w:tc>
        <w:tc>
          <w:tcPr>
            <w:tcW w:w="4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3" w:right="0"/>
              <w:jc w:val="center"/>
              <w:rPr>
                <w:rFonts w:ascii="宋体" w:hAnsi="宋体" w:cs="宋体" w:eastAsia="宋体" w:hint="default"/>
                <w:sz w:val="15"/>
                <w:szCs w:val="15"/>
              </w:rPr>
            </w:pPr>
            <w:r>
              <w:rPr>
                <w:rFonts w:ascii="宋体"/>
                <w:sz w:val="15"/>
              </w:rPr>
              <w:t>0.00</w:t>
            </w:r>
          </w:p>
        </w:tc>
        <w:tc>
          <w:tcPr>
            <w:tcW w:w="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1" w:right="0"/>
              <w:jc w:val="center"/>
              <w:rPr>
                <w:rFonts w:ascii="宋体" w:hAnsi="宋体" w:cs="宋体" w:eastAsia="宋体" w:hint="default"/>
                <w:sz w:val="15"/>
                <w:szCs w:val="15"/>
              </w:rPr>
            </w:pPr>
            <w:r>
              <w:rPr>
                <w:rFonts w:ascii="宋体"/>
                <w:sz w:val="15"/>
              </w:rPr>
              <w:t>0.00</w:t>
            </w:r>
          </w:p>
        </w:tc>
        <w:tc>
          <w:tcPr>
            <w:tcW w:w="4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0.00</w:t>
            </w:r>
          </w:p>
        </w:tc>
        <w:tc>
          <w:tcPr>
            <w:tcW w:w="1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769,199,153.53</w:t>
            </w:r>
          </w:p>
        </w:tc>
        <w:tc>
          <w:tcPr>
            <w:tcW w:w="1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54,115,440.00</w:t>
            </w:r>
          </w:p>
        </w:tc>
        <w:tc>
          <w:tcPr>
            <w:tcW w:w="382" w:type="dxa"/>
            <w:tcBorders>
              <w:top w:val="single" w:sz="6" w:space="0" w:color="000000"/>
              <w:left w:val="single" w:sz="6" w:space="0" w:color="000000"/>
              <w:bottom w:val="single" w:sz="12" w:space="0" w:color="000000"/>
              <w:right w:val="single" w:sz="6" w:space="0" w:color="000000"/>
            </w:tcBorders>
          </w:tcPr>
          <w:p>
            <w:pPr/>
          </w:p>
        </w:tc>
        <w:tc>
          <w:tcPr>
            <w:tcW w:w="409" w:type="dxa"/>
            <w:tcBorders>
              <w:top w:val="single" w:sz="6" w:space="0" w:color="000000"/>
              <w:left w:val="single" w:sz="6" w:space="0" w:color="000000"/>
              <w:bottom w:val="single" w:sz="12" w:space="0" w:color="000000"/>
              <w:right w:val="single" w:sz="6" w:space="0" w:color="000000"/>
            </w:tcBorders>
          </w:tcPr>
          <w:p>
            <w:pPr/>
          </w:p>
        </w:tc>
        <w:tc>
          <w:tcPr>
            <w:tcW w:w="10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0" w:right="0"/>
              <w:jc w:val="center"/>
              <w:rPr>
                <w:rFonts w:ascii="宋体" w:hAnsi="宋体" w:cs="宋体" w:eastAsia="宋体" w:hint="default"/>
                <w:sz w:val="15"/>
                <w:szCs w:val="15"/>
              </w:rPr>
            </w:pPr>
            <w:r>
              <w:rPr>
                <w:rFonts w:ascii="宋体"/>
                <w:sz w:val="15"/>
              </w:rPr>
              <w:t>21,281,039.35</w:t>
            </w:r>
          </w:p>
        </w:tc>
        <w:tc>
          <w:tcPr>
            <w:tcW w:w="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0.00</w:t>
            </w:r>
          </w:p>
        </w:tc>
        <w:tc>
          <w:tcPr>
            <w:tcW w:w="12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-116,859,807.86</w:t>
            </w:r>
          </w:p>
        </w:tc>
        <w:tc>
          <w:tcPr>
            <w:tcW w:w="1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5,701,653.19</w:t>
            </w:r>
          </w:p>
        </w:tc>
        <w:tc>
          <w:tcPr>
            <w:tcW w:w="12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2"/>
              <w:jc w:val="right"/>
              <w:rPr>
                <w:rFonts w:ascii="宋体" w:hAnsi="宋体" w:cs="宋体" w:eastAsia="宋体" w:hint="default"/>
                <w:sz w:val="15"/>
                <w:szCs w:val="15"/>
              </w:rPr>
            </w:pPr>
            <w:r>
              <w:rPr>
                <w:rFonts w:ascii="宋体"/>
                <w:spacing w:val="-1"/>
                <w:sz w:val="15"/>
              </w:rPr>
              <w:t>1,040,056,218.21</w:t>
            </w:r>
          </w:p>
        </w:tc>
      </w:tr>
    </w:tbl>
    <w:p>
      <w:pPr>
        <w:spacing w:after="0" w:line="240" w:lineRule="auto"/>
        <w:jc w:val="right"/>
        <w:rPr>
          <w:rFonts w:ascii="宋体" w:hAnsi="宋体" w:cs="宋体" w:eastAsia="宋体" w:hint="default"/>
          <w:sz w:val="15"/>
          <w:szCs w:val="15"/>
        </w:rPr>
        <w:sectPr>
          <w:pgSz w:w="11910" w:h="16840"/>
          <w:pgMar w:header="877" w:footer="1000" w:top="1100" w:bottom="1180" w:left="2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730"/>
        <w:gridCol w:w="1133"/>
        <w:gridCol w:w="408"/>
        <w:gridCol w:w="396"/>
        <w:gridCol w:w="422"/>
        <w:gridCol w:w="1200"/>
        <w:gridCol w:w="1119"/>
        <w:gridCol w:w="382"/>
        <w:gridCol w:w="409"/>
        <w:gridCol w:w="1091"/>
        <w:gridCol w:w="450"/>
        <w:gridCol w:w="1215"/>
        <w:gridCol w:w="1076"/>
        <w:gridCol w:w="1296"/>
      </w:tblGrid>
      <w:tr>
        <w:trPr>
          <w:trHeight w:val="1663" w:hRule="exact"/>
        </w:trPr>
        <w:tc>
          <w:tcPr>
            <w:tcW w:w="73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6" w:right="18"/>
              <w:jc w:val="left"/>
              <w:rPr>
                <w:rFonts w:ascii="宋体" w:hAnsi="宋体" w:cs="宋体" w:eastAsia="宋体" w:hint="default"/>
                <w:sz w:val="15"/>
                <w:szCs w:val="15"/>
              </w:rPr>
            </w:pPr>
            <w:r>
              <w:rPr>
                <w:rFonts w:ascii="宋体" w:hAnsi="宋体" w:cs="宋体" w:eastAsia="宋体" w:hint="default"/>
                <w:spacing w:val="-14"/>
                <w:sz w:val="15"/>
                <w:szCs w:val="15"/>
              </w:rPr>
              <w:t>三、本期增</w:t>
            </w:r>
            <w:r>
              <w:rPr>
                <w:rFonts w:ascii="宋体" w:hAnsi="宋体" w:cs="宋体" w:eastAsia="宋体" w:hint="default"/>
                <w:sz w:val="15"/>
                <w:szCs w:val="15"/>
              </w:rPr>
              <w:t> 减变动金 </w:t>
            </w:r>
            <w:r>
              <w:rPr>
                <w:rFonts w:ascii="宋体" w:hAnsi="宋体" w:cs="宋体" w:eastAsia="宋体" w:hint="default"/>
                <w:spacing w:val="-14"/>
                <w:sz w:val="15"/>
                <w:szCs w:val="15"/>
              </w:rPr>
              <w:t>额（减少以</w:t>
            </w:r>
            <w:r>
              <w:rPr>
                <w:rFonts w:ascii="宋体" w:hAnsi="宋体" w:cs="宋体" w:eastAsia="宋体" w:hint="default"/>
                <w:sz w:val="15"/>
                <w:szCs w:val="15"/>
              </w:rPr>
              <w:t> “－”号 填列）</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2" w:right="0"/>
              <w:jc w:val="center"/>
              <w:rPr>
                <w:rFonts w:ascii="宋体" w:hAnsi="宋体" w:cs="宋体" w:eastAsia="宋体" w:hint="default"/>
                <w:sz w:val="15"/>
                <w:szCs w:val="15"/>
              </w:rPr>
            </w:pPr>
            <w:r>
              <w:rPr>
                <w:rFonts w:ascii="宋体"/>
                <w:sz w:val="15"/>
              </w:rPr>
              <w:t>-3,731,250.00</w:t>
            </w:r>
          </w:p>
        </w:tc>
        <w:tc>
          <w:tcPr>
            <w:tcW w:w="408" w:type="dxa"/>
            <w:tcBorders>
              <w:top w:val="single" w:sz="12" w:space="0" w:color="000000"/>
              <w:left w:val="single" w:sz="6" w:space="0" w:color="000000"/>
              <w:bottom w:val="single" w:sz="6" w:space="0" w:color="000000"/>
              <w:right w:val="single" w:sz="6" w:space="0" w:color="000000"/>
            </w:tcBorders>
          </w:tcPr>
          <w:p>
            <w:pPr/>
          </w:p>
        </w:tc>
        <w:tc>
          <w:tcPr>
            <w:tcW w:w="396" w:type="dxa"/>
            <w:tcBorders>
              <w:top w:val="single" w:sz="12" w:space="0" w:color="000000"/>
              <w:left w:val="single" w:sz="6" w:space="0" w:color="000000"/>
              <w:bottom w:val="single" w:sz="6" w:space="0" w:color="000000"/>
              <w:right w:val="single" w:sz="6" w:space="0" w:color="000000"/>
            </w:tcBorders>
          </w:tcPr>
          <w:p>
            <w:pPr/>
          </w:p>
        </w:tc>
        <w:tc>
          <w:tcPr>
            <w:tcW w:w="422" w:type="dxa"/>
            <w:tcBorders>
              <w:top w:val="single" w:sz="12" w:space="0" w:color="000000"/>
              <w:left w:val="single" w:sz="6" w:space="0" w:color="000000"/>
              <w:bottom w:val="single" w:sz="6" w:space="0" w:color="000000"/>
              <w:right w:val="single" w:sz="6" w:space="0" w:color="000000"/>
            </w:tcBorders>
          </w:tcPr>
          <w:p>
            <w:pPr/>
          </w:p>
        </w:tc>
        <w:tc>
          <w:tcPr>
            <w:tcW w:w="12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-29,913,363.83</w:t>
            </w:r>
          </w:p>
        </w:tc>
        <w:tc>
          <w:tcPr>
            <w:tcW w:w="11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-29,073,900.00</w:t>
            </w:r>
          </w:p>
        </w:tc>
        <w:tc>
          <w:tcPr>
            <w:tcW w:w="382" w:type="dxa"/>
            <w:tcBorders>
              <w:top w:val="single" w:sz="12" w:space="0" w:color="000000"/>
              <w:left w:val="single" w:sz="6" w:space="0" w:color="000000"/>
              <w:bottom w:val="single" w:sz="6" w:space="0" w:color="000000"/>
              <w:right w:val="single" w:sz="6" w:space="0" w:color="000000"/>
            </w:tcBorders>
          </w:tcPr>
          <w:p>
            <w:pPr/>
          </w:p>
        </w:tc>
        <w:tc>
          <w:tcPr>
            <w:tcW w:w="409" w:type="dxa"/>
            <w:tcBorders>
              <w:top w:val="single" w:sz="12" w:space="0" w:color="000000"/>
              <w:left w:val="single" w:sz="6" w:space="0" w:color="000000"/>
              <w:bottom w:val="single" w:sz="6" w:space="0" w:color="000000"/>
              <w:right w:val="single" w:sz="6" w:space="0" w:color="000000"/>
            </w:tcBorders>
          </w:tcPr>
          <w:p>
            <w:pPr/>
          </w:p>
        </w:tc>
        <w:tc>
          <w:tcPr>
            <w:tcW w:w="1091" w:type="dxa"/>
            <w:tcBorders>
              <w:top w:val="single" w:sz="12" w:space="0" w:color="000000"/>
              <w:left w:val="single" w:sz="6" w:space="0" w:color="000000"/>
              <w:bottom w:val="single" w:sz="6" w:space="0" w:color="000000"/>
              <w:right w:val="single" w:sz="6" w:space="0" w:color="000000"/>
            </w:tcBorders>
          </w:tcPr>
          <w:p>
            <w:pPr/>
          </w:p>
        </w:tc>
        <w:tc>
          <w:tcPr>
            <w:tcW w:w="450" w:type="dxa"/>
            <w:tcBorders>
              <w:top w:val="single" w:sz="12" w:space="0" w:color="000000"/>
              <w:left w:val="single" w:sz="6" w:space="0" w:color="000000"/>
              <w:bottom w:val="single" w:sz="6" w:space="0" w:color="000000"/>
              <w:right w:val="single" w:sz="6" w:space="0" w:color="000000"/>
            </w:tcBorders>
          </w:tcPr>
          <w:p>
            <w:pPr/>
          </w:p>
        </w:tc>
        <w:tc>
          <w:tcPr>
            <w:tcW w:w="12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23,403,488.93</w:t>
            </w:r>
          </w:p>
        </w:tc>
        <w:tc>
          <w:tcPr>
            <w:tcW w:w="10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-1,959,936.54</w:t>
            </w:r>
          </w:p>
        </w:tc>
        <w:tc>
          <w:tcPr>
            <w:tcW w:w="129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16,872,838.56</w:t>
            </w:r>
          </w:p>
        </w:tc>
      </w:tr>
      <w:tr>
        <w:trPr>
          <w:trHeight w:val="719"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6" w:right="18"/>
              <w:jc w:val="left"/>
              <w:rPr>
                <w:rFonts w:ascii="宋体" w:hAnsi="宋体" w:cs="宋体" w:eastAsia="宋体" w:hint="default"/>
                <w:sz w:val="15"/>
                <w:szCs w:val="15"/>
              </w:rPr>
            </w:pPr>
            <w:r>
              <w:rPr>
                <w:rFonts w:ascii="宋体" w:hAnsi="宋体" w:cs="宋体" w:eastAsia="宋体" w:hint="default"/>
                <w:spacing w:val="-14"/>
                <w:sz w:val="15"/>
                <w:szCs w:val="15"/>
              </w:rPr>
              <w:t>（一）综合</w:t>
            </w:r>
            <w:r>
              <w:rPr>
                <w:rFonts w:ascii="宋体" w:hAnsi="宋体" w:cs="宋体" w:eastAsia="宋体" w:hint="default"/>
                <w:sz w:val="15"/>
                <w:szCs w:val="15"/>
              </w:rPr>
              <w:t> 收益总额</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23,403,488.93</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-1,912,811.43</w:t>
            </w:r>
          </w:p>
        </w:tc>
        <w:tc>
          <w:tcPr>
            <w:tcW w:w="12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21,490,677.50</w:t>
            </w:r>
          </w:p>
        </w:tc>
      </w:tr>
      <w:tr>
        <w:trPr>
          <w:trHeight w:val="1031"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6" w:right="18"/>
              <w:jc w:val="left"/>
              <w:rPr>
                <w:rFonts w:ascii="宋体" w:hAnsi="宋体" w:cs="宋体" w:eastAsia="宋体" w:hint="default"/>
                <w:sz w:val="15"/>
                <w:szCs w:val="15"/>
              </w:rPr>
            </w:pPr>
            <w:r>
              <w:rPr>
                <w:rFonts w:ascii="宋体" w:hAnsi="宋体" w:cs="宋体" w:eastAsia="宋体" w:hint="default"/>
                <w:spacing w:val="-14"/>
                <w:sz w:val="15"/>
                <w:szCs w:val="15"/>
              </w:rPr>
              <w:t>（二）所有</w:t>
            </w:r>
            <w:r>
              <w:rPr>
                <w:rFonts w:ascii="宋体" w:hAnsi="宋体" w:cs="宋体" w:eastAsia="宋体" w:hint="default"/>
                <w:sz w:val="15"/>
                <w:szCs w:val="15"/>
              </w:rPr>
              <w:t> 者投入和 减少资本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2" w:right="0"/>
              <w:jc w:val="center"/>
              <w:rPr>
                <w:rFonts w:ascii="宋体" w:hAnsi="宋体" w:cs="宋体" w:eastAsia="宋体" w:hint="default"/>
                <w:sz w:val="15"/>
                <w:szCs w:val="15"/>
              </w:rPr>
            </w:pPr>
            <w:r>
              <w:rPr>
                <w:rFonts w:ascii="宋体"/>
                <w:sz w:val="15"/>
              </w:rPr>
              <w:t>-3,731,250.00</w:t>
            </w: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-29,913,363.83</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-29,073,900.00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-47,125.11</w:t>
            </w:r>
          </w:p>
        </w:tc>
        <w:tc>
          <w:tcPr>
            <w:tcW w:w="12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-4,617,838.94</w:t>
            </w:r>
          </w:p>
        </w:tc>
      </w:tr>
      <w:tr>
        <w:trPr>
          <w:trHeight w:val="1031"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6" w:right="23"/>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 投入的普 通股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2" w:right="0"/>
              <w:jc w:val="center"/>
              <w:rPr>
                <w:rFonts w:ascii="宋体" w:hAnsi="宋体" w:cs="宋体" w:eastAsia="宋体" w:hint="default"/>
                <w:sz w:val="15"/>
                <w:szCs w:val="15"/>
              </w:rPr>
            </w:pPr>
            <w:r>
              <w:rPr>
                <w:rFonts w:ascii="宋体"/>
                <w:sz w:val="15"/>
              </w:rPr>
              <w:t>-3,731,250.00</w:t>
            </w: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-25,342,650.00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-29,073,900.00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23"/>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 益工具持 有者投入 资本</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23"/>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 付计入所 有者权益 的金额</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-3,562,808.70</w:t>
            </w: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-47,125.11</w:t>
            </w:r>
          </w:p>
        </w:tc>
        <w:tc>
          <w:tcPr>
            <w:tcW w:w="12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-3,609,933.81</w:t>
            </w:r>
          </w:p>
        </w:tc>
      </w:tr>
      <w:tr>
        <w:trPr>
          <w:trHeight w:val="408"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-1,007,905.13</w:t>
            </w: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10"/>
              <w:jc w:val="right"/>
              <w:rPr>
                <w:rFonts w:ascii="宋体" w:hAnsi="宋体" w:cs="宋体" w:eastAsia="宋体" w:hint="default"/>
                <w:sz w:val="15"/>
                <w:szCs w:val="15"/>
              </w:rPr>
            </w:pPr>
            <w:r>
              <w:rPr>
                <w:rFonts w:ascii="宋体"/>
                <w:spacing w:val="-1"/>
                <w:sz w:val="15"/>
              </w:rPr>
              <w:t>-1,007,905.13</w:t>
            </w:r>
          </w:p>
        </w:tc>
      </w:tr>
      <w:tr>
        <w:trPr>
          <w:trHeight w:val="719"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6" w:right="18"/>
              <w:jc w:val="left"/>
              <w:rPr>
                <w:rFonts w:ascii="宋体" w:hAnsi="宋体" w:cs="宋体" w:eastAsia="宋体" w:hint="default"/>
                <w:sz w:val="15"/>
                <w:szCs w:val="15"/>
              </w:rPr>
            </w:pPr>
            <w:r>
              <w:rPr>
                <w:rFonts w:ascii="宋体" w:hAnsi="宋体" w:cs="宋体" w:eastAsia="宋体" w:hint="default"/>
                <w:spacing w:val="-14"/>
                <w:sz w:val="15"/>
                <w:szCs w:val="15"/>
              </w:rPr>
              <w:t>（三）利润</w:t>
            </w:r>
            <w:r>
              <w:rPr>
                <w:rFonts w:ascii="宋体" w:hAnsi="宋体" w:cs="宋体" w:eastAsia="宋体" w:hint="default"/>
                <w:sz w:val="15"/>
                <w:szCs w:val="15"/>
              </w:rPr>
              <w:t> 分配</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4" w:lineRule="auto" w:before="74"/>
              <w:ind w:left="6" w:right="23"/>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 余公积</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6" w:right="23"/>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 般风险准 备</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18"/>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 者（或股 </w:t>
            </w:r>
            <w:r>
              <w:rPr>
                <w:rFonts w:ascii="宋体" w:hAnsi="宋体" w:cs="宋体" w:eastAsia="宋体" w:hint="default"/>
                <w:spacing w:val="-14"/>
                <w:sz w:val="15"/>
                <w:szCs w:val="15"/>
              </w:rPr>
              <w:t>东）的分配</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18"/>
              <w:jc w:val="left"/>
              <w:rPr>
                <w:rFonts w:ascii="宋体" w:hAnsi="宋体" w:cs="宋体" w:eastAsia="宋体" w:hint="default"/>
                <w:sz w:val="15"/>
                <w:szCs w:val="15"/>
              </w:rPr>
            </w:pPr>
            <w:r>
              <w:rPr>
                <w:rFonts w:ascii="宋体" w:hAnsi="宋体" w:cs="宋体" w:eastAsia="宋体" w:hint="default"/>
                <w:spacing w:val="-14"/>
                <w:sz w:val="15"/>
                <w:szCs w:val="15"/>
              </w:rPr>
              <w:t>（四）所有</w:t>
            </w:r>
            <w:r>
              <w:rPr>
                <w:rFonts w:ascii="宋体" w:hAnsi="宋体" w:cs="宋体" w:eastAsia="宋体" w:hint="default"/>
                <w:sz w:val="15"/>
                <w:szCs w:val="15"/>
              </w:rPr>
              <w:t> 者权益内 部结转</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1351" w:hRule="exact"/>
        </w:trPr>
        <w:tc>
          <w:tcPr>
            <w:tcW w:w="73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1" w:lineRule="auto" w:before="75"/>
              <w:ind w:left="6" w:right="23"/>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 积转增资 本（或股 本）</w:t>
            </w:r>
          </w:p>
        </w:tc>
        <w:tc>
          <w:tcPr>
            <w:tcW w:w="1133" w:type="dxa"/>
            <w:tcBorders>
              <w:top w:val="single" w:sz="6" w:space="0" w:color="000000"/>
              <w:left w:val="single" w:sz="6" w:space="0" w:color="000000"/>
              <w:bottom w:val="single" w:sz="12" w:space="0" w:color="000000"/>
              <w:right w:val="single" w:sz="6" w:space="0" w:color="000000"/>
            </w:tcBorders>
          </w:tcPr>
          <w:p>
            <w:pPr/>
          </w:p>
        </w:tc>
        <w:tc>
          <w:tcPr>
            <w:tcW w:w="408" w:type="dxa"/>
            <w:tcBorders>
              <w:top w:val="single" w:sz="6" w:space="0" w:color="000000"/>
              <w:left w:val="single" w:sz="6" w:space="0" w:color="000000"/>
              <w:bottom w:val="single" w:sz="12" w:space="0" w:color="000000"/>
              <w:right w:val="single" w:sz="6" w:space="0" w:color="000000"/>
            </w:tcBorders>
          </w:tcPr>
          <w:p>
            <w:pPr/>
          </w:p>
        </w:tc>
        <w:tc>
          <w:tcPr>
            <w:tcW w:w="396" w:type="dxa"/>
            <w:tcBorders>
              <w:top w:val="single" w:sz="6" w:space="0" w:color="000000"/>
              <w:left w:val="single" w:sz="6" w:space="0" w:color="000000"/>
              <w:bottom w:val="single" w:sz="12" w:space="0" w:color="000000"/>
              <w:right w:val="single" w:sz="6" w:space="0" w:color="000000"/>
            </w:tcBorders>
          </w:tcPr>
          <w:p>
            <w:pPr/>
          </w:p>
        </w:tc>
        <w:tc>
          <w:tcPr>
            <w:tcW w:w="422" w:type="dxa"/>
            <w:tcBorders>
              <w:top w:val="single" w:sz="6" w:space="0" w:color="000000"/>
              <w:left w:val="single" w:sz="6" w:space="0" w:color="000000"/>
              <w:bottom w:val="single" w:sz="12" w:space="0" w:color="000000"/>
              <w:right w:val="single" w:sz="6" w:space="0" w:color="000000"/>
            </w:tcBorders>
          </w:tcPr>
          <w:p>
            <w:pPr/>
          </w:p>
        </w:tc>
        <w:tc>
          <w:tcPr>
            <w:tcW w:w="1200" w:type="dxa"/>
            <w:tcBorders>
              <w:top w:val="single" w:sz="6" w:space="0" w:color="000000"/>
              <w:left w:val="single" w:sz="6" w:space="0" w:color="000000"/>
              <w:bottom w:val="single" w:sz="12" w:space="0" w:color="000000"/>
              <w:right w:val="single" w:sz="6" w:space="0" w:color="000000"/>
            </w:tcBorders>
          </w:tcPr>
          <w:p>
            <w:pPr/>
          </w:p>
        </w:tc>
        <w:tc>
          <w:tcPr>
            <w:tcW w:w="1119" w:type="dxa"/>
            <w:tcBorders>
              <w:top w:val="single" w:sz="6" w:space="0" w:color="000000"/>
              <w:left w:val="single" w:sz="6" w:space="0" w:color="000000"/>
              <w:bottom w:val="single" w:sz="12" w:space="0" w:color="000000"/>
              <w:right w:val="single" w:sz="6" w:space="0" w:color="000000"/>
            </w:tcBorders>
          </w:tcPr>
          <w:p>
            <w:pPr/>
          </w:p>
        </w:tc>
        <w:tc>
          <w:tcPr>
            <w:tcW w:w="382" w:type="dxa"/>
            <w:tcBorders>
              <w:top w:val="single" w:sz="6" w:space="0" w:color="000000"/>
              <w:left w:val="single" w:sz="6" w:space="0" w:color="000000"/>
              <w:bottom w:val="single" w:sz="12" w:space="0" w:color="000000"/>
              <w:right w:val="single" w:sz="6" w:space="0" w:color="000000"/>
            </w:tcBorders>
          </w:tcPr>
          <w:p>
            <w:pPr/>
          </w:p>
        </w:tc>
        <w:tc>
          <w:tcPr>
            <w:tcW w:w="409" w:type="dxa"/>
            <w:tcBorders>
              <w:top w:val="single" w:sz="6" w:space="0" w:color="000000"/>
              <w:left w:val="single" w:sz="6" w:space="0" w:color="000000"/>
              <w:bottom w:val="single" w:sz="12" w:space="0" w:color="000000"/>
              <w:right w:val="single" w:sz="6" w:space="0" w:color="000000"/>
            </w:tcBorders>
          </w:tcPr>
          <w:p>
            <w:pPr/>
          </w:p>
        </w:tc>
        <w:tc>
          <w:tcPr>
            <w:tcW w:w="1091" w:type="dxa"/>
            <w:tcBorders>
              <w:top w:val="single" w:sz="6" w:space="0" w:color="000000"/>
              <w:left w:val="single" w:sz="6" w:space="0" w:color="000000"/>
              <w:bottom w:val="single" w:sz="12" w:space="0" w:color="000000"/>
              <w:right w:val="single" w:sz="6" w:space="0" w:color="000000"/>
            </w:tcBorders>
          </w:tcPr>
          <w:p>
            <w:pPr/>
          </w:p>
        </w:tc>
        <w:tc>
          <w:tcPr>
            <w:tcW w:w="450" w:type="dxa"/>
            <w:tcBorders>
              <w:top w:val="single" w:sz="6" w:space="0" w:color="000000"/>
              <w:left w:val="single" w:sz="6" w:space="0" w:color="000000"/>
              <w:bottom w:val="single" w:sz="12" w:space="0" w:color="000000"/>
              <w:right w:val="single" w:sz="6" w:space="0" w:color="000000"/>
            </w:tcBorders>
          </w:tcPr>
          <w:p>
            <w:pPr/>
          </w:p>
        </w:tc>
        <w:tc>
          <w:tcPr>
            <w:tcW w:w="1215" w:type="dxa"/>
            <w:tcBorders>
              <w:top w:val="single" w:sz="6" w:space="0" w:color="000000"/>
              <w:left w:val="single" w:sz="6" w:space="0" w:color="000000"/>
              <w:bottom w:val="single" w:sz="12" w:space="0" w:color="000000"/>
              <w:right w:val="single" w:sz="6" w:space="0" w:color="000000"/>
            </w:tcBorders>
          </w:tcPr>
          <w:p>
            <w:pPr/>
          </w:p>
        </w:tc>
        <w:tc>
          <w:tcPr>
            <w:tcW w:w="1076" w:type="dxa"/>
            <w:tcBorders>
              <w:top w:val="single" w:sz="6" w:space="0" w:color="000000"/>
              <w:left w:val="single" w:sz="6" w:space="0" w:color="000000"/>
              <w:bottom w:val="single" w:sz="12" w:space="0" w:color="000000"/>
              <w:right w:val="single" w:sz="6" w:space="0" w:color="000000"/>
            </w:tcBorders>
          </w:tcPr>
          <w:p>
            <w:pPr/>
          </w:p>
        </w:tc>
        <w:tc>
          <w:tcPr>
            <w:tcW w:w="129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0" w:top="1100" w:bottom="1180" w:left="2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730"/>
        <w:gridCol w:w="1133"/>
        <w:gridCol w:w="408"/>
        <w:gridCol w:w="396"/>
        <w:gridCol w:w="422"/>
        <w:gridCol w:w="1200"/>
        <w:gridCol w:w="1119"/>
        <w:gridCol w:w="382"/>
        <w:gridCol w:w="409"/>
        <w:gridCol w:w="1091"/>
        <w:gridCol w:w="450"/>
        <w:gridCol w:w="1215"/>
        <w:gridCol w:w="1076"/>
        <w:gridCol w:w="1296"/>
      </w:tblGrid>
      <w:tr>
        <w:trPr>
          <w:trHeight w:val="1351" w:hRule="exact"/>
        </w:trPr>
        <w:tc>
          <w:tcPr>
            <w:tcW w:w="73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6" w:right="23"/>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 积转增资 本（或股 本）</w:t>
            </w:r>
          </w:p>
        </w:tc>
        <w:tc>
          <w:tcPr>
            <w:tcW w:w="1133" w:type="dxa"/>
            <w:tcBorders>
              <w:top w:val="single" w:sz="12" w:space="0" w:color="000000"/>
              <w:left w:val="single" w:sz="6" w:space="0" w:color="000000"/>
              <w:bottom w:val="single" w:sz="6" w:space="0" w:color="000000"/>
              <w:right w:val="single" w:sz="6" w:space="0" w:color="000000"/>
            </w:tcBorders>
          </w:tcPr>
          <w:p>
            <w:pPr/>
          </w:p>
        </w:tc>
        <w:tc>
          <w:tcPr>
            <w:tcW w:w="408" w:type="dxa"/>
            <w:tcBorders>
              <w:top w:val="single" w:sz="12" w:space="0" w:color="000000"/>
              <w:left w:val="single" w:sz="6" w:space="0" w:color="000000"/>
              <w:bottom w:val="single" w:sz="6" w:space="0" w:color="000000"/>
              <w:right w:val="single" w:sz="6" w:space="0" w:color="000000"/>
            </w:tcBorders>
          </w:tcPr>
          <w:p>
            <w:pPr/>
          </w:p>
        </w:tc>
        <w:tc>
          <w:tcPr>
            <w:tcW w:w="396" w:type="dxa"/>
            <w:tcBorders>
              <w:top w:val="single" w:sz="12" w:space="0" w:color="000000"/>
              <w:left w:val="single" w:sz="6" w:space="0" w:color="000000"/>
              <w:bottom w:val="single" w:sz="6" w:space="0" w:color="000000"/>
              <w:right w:val="single" w:sz="6" w:space="0" w:color="000000"/>
            </w:tcBorders>
          </w:tcPr>
          <w:p>
            <w:pPr/>
          </w:p>
        </w:tc>
        <w:tc>
          <w:tcPr>
            <w:tcW w:w="422" w:type="dxa"/>
            <w:tcBorders>
              <w:top w:val="single" w:sz="12" w:space="0" w:color="000000"/>
              <w:left w:val="single" w:sz="6" w:space="0" w:color="000000"/>
              <w:bottom w:val="single" w:sz="6" w:space="0" w:color="000000"/>
              <w:right w:val="single" w:sz="6" w:space="0" w:color="000000"/>
            </w:tcBorders>
          </w:tcPr>
          <w:p>
            <w:pPr/>
          </w:p>
        </w:tc>
        <w:tc>
          <w:tcPr>
            <w:tcW w:w="1200" w:type="dxa"/>
            <w:tcBorders>
              <w:top w:val="single" w:sz="12" w:space="0" w:color="000000"/>
              <w:left w:val="single" w:sz="6" w:space="0" w:color="000000"/>
              <w:bottom w:val="single" w:sz="6" w:space="0" w:color="000000"/>
              <w:right w:val="single" w:sz="6" w:space="0" w:color="000000"/>
            </w:tcBorders>
          </w:tcPr>
          <w:p>
            <w:pPr/>
          </w:p>
        </w:tc>
        <w:tc>
          <w:tcPr>
            <w:tcW w:w="1119" w:type="dxa"/>
            <w:tcBorders>
              <w:top w:val="single" w:sz="12" w:space="0" w:color="000000"/>
              <w:left w:val="single" w:sz="6" w:space="0" w:color="000000"/>
              <w:bottom w:val="single" w:sz="6" w:space="0" w:color="000000"/>
              <w:right w:val="single" w:sz="6" w:space="0" w:color="000000"/>
            </w:tcBorders>
          </w:tcPr>
          <w:p>
            <w:pPr/>
          </w:p>
        </w:tc>
        <w:tc>
          <w:tcPr>
            <w:tcW w:w="382" w:type="dxa"/>
            <w:tcBorders>
              <w:top w:val="single" w:sz="12" w:space="0" w:color="000000"/>
              <w:left w:val="single" w:sz="6" w:space="0" w:color="000000"/>
              <w:bottom w:val="single" w:sz="6" w:space="0" w:color="000000"/>
              <w:right w:val="single" w:sz="6" w:space="0" w:color="000000"/>
            </w:tcBorders>
          </w:tcPr>
          <w:p>
            <w:pPr/>
          </w:p>
        </w:tc>
        <w:tc>
          <w:tcPr>
            <w:tcW w:w="409" w:type="dxa"/>
            <w:tcBorders>
              <w:top w:val="single" w:sz="12" w:space="0" w:color="000000"/>
              <w:left w:val="single" w:sz="6" w:space="0" w:color="000000"/>
              <w:bottom w:val="single" w:sz="6" w:space="0" w:color="000000"/>
              <w:right w:val="single" w:sz="6" w:space="0" w:color="000000"/>
            </w:tcBorders>
          </w:tcPr>
          <w:p>
            <w:pPr/>
          </w:p>
        </w:tc>
        <w:tc>
          <w:tcPr>
            <w:tcW w:w="1091" w:type="dxa"/>
            <w:tcBorders>
              <w:top w:val="single" w:sz="12" w:space="0" w:color="000000"/>
              <w:left w:val="single" w:sz="6" w:space="0" w:color="000000"/>
              <w:bottom w:val="single" w:sz="6" w:space="0" w:color="000000"/>
              <w:right w:val="single" w:sz="6" w:space="0" w:color="000000"/>
            </w:tcBorders>
          </w:tcPr>
          <w:p>
            <w:pPr/>
          </w:p>
        </w:tc>
        <w:tc>
          <w:tcPr>
            <w:tcW w:w="450" w:type="dxa"/>
            <w:tcBorders>
              <w:top w:val="single" w:sz="12" w:space="0" w:color="000000"/>
              <w:left w:val="single" w:sz="6" w:space="0" w:color="000000"/>
              <w:bottom w:val="single" w:sz="6" w:space="0" w:color="000000"/>
              <w:right w:val="single" w:sz="6" w:space="0" w:color="000000"/>
            </w:tcBorders>
          </w:tcPr>
          <w:p>
            <w:pPr/>
          </w:p>
        </w:tc>
        <w:tc>
          <w:tcPr>
            <w:tcW w:w="1215" w:type="dxa"/>
            <w:tcBorders>
              <w:top w:val="single" w:sz="12" w:space="0" w:color="000000"/>
              <w:left w:val="single" w:sz="6" w:space="0" w:color="000000"/>
              <w:bottom w:val="single" w:sz="6" w:space="0" w:color="000000"/>
              <w:right w:val="single" w:sz="6" w:space="0" w:color="000000"/>
            </w:tcBorders>
          </w:tcPr>
          <w:p>
            <w:pPr/>
          </w:p>
        </w:tc>
        <w:tc>
          <w:tcPr>
            <w:tcW w:w="1076" w:type="dxa"/>
            <w:tcBorders>
              <w:top w:val="single" w:sz="12" w:space="0" w:color="000000"/>
              <w:left w:val="single" w:sz="6" w:space="0" w:color="000000"/>
              <w:bottom w:val="single" w:sz="6" w:space="0" w:color="000000"/>
              <w:right w:val="single" w:sz="6" w:space="0" w:color="000000"/>
            </w:tcBorders>
          </w:tcPr>
          <w:p>
            <w:pPr/>
          </w:p>
        </w:tc>
        <w:tc>
          <w:tcPr>
            <w:tcW w:w="1296" w:type="dxa"/>
            <w:tcBorders>
              <w:top w:val="single" w:sz="12" w:space="0" w:color="000000"/>
              <w:left w:val="single" w:sz="6" w:space="0" w:color="000000"/>
              <w:bottom w:val="single" w:sz="6" w:space="0" w:color="000000"/>
              <w:right w:val="single" w:sz="12" w:space="0" w:color="000000"/>
            </w:tcBorders>
          </w:tcPr>
          <w:p>
            <w:pPr/>
          </w:p>
        </w:tc>
      </w:tr>
      <w:tr>
        <w:trPr>
          <w:trHeight w:val="1031"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6" w:right="23"/>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 积弥补亏 损</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6" w:right="23"/>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 益计划变 动额结转 留存收益</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18"/>
              <w:jc w:val="left"/>
              <w:rPr>
                <w:rFonts w:ascii="宋体" w:hAnsi="宋体" w:cs="宋体" w:eastAsia="宋体" w:hint="default"/>
                <w:sz w:val="15"/>
                <w:szCs w:val="15"/>
              </w:rPr>
            </w:pPr>
            <w:r>
              <w:rPr>
                <w:rFonts w:ascii="宋体" w:hAnsi="宋体" w:cs="宋体" w:eastAsia="宋体" w:hint="default"/>
                <w:spacing w:val="-14"/>
                <w:sz w:val="15"/>
                <w:szCs w:val="15"/>
              </w:rPr>
              <w:t>（五）专项</w:t>
            </w:r>
            <w:r>
              <w:rPr>
                <w:rFonts w:ascii="宋体" w:hAnsi="宋体" w:cs="宋体" w:eastAsia="宋体" w:hint="default"/>
                <w:sz w:val="15"/>
                <w:szCs w:val="15"/>
              </w:rPr>
              <w:t> 储备</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23"/>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 取</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23"/>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 用</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7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（六</w:t>
            </w:r>
            <w:r>
              <w:rPr>
                <w:rFonts w:ascii="宋体" w:hAnsi="宋体" w:cs="宋体" w:eastAsia="宋体" w:hint="default"/>
                <w:spacing w:val="-70"/>
                <w:sz w:val="15"/>
                <w:szCs w:val="15"/>
              </w:rPr>
              <w:t>）</w:t>
            </w:r>
            <w:r>
              <w:rPr>
                <w:rFonts w:ascii="宋体" w:hAnsi="宋体" w:cs="宋体" w:eastAsia="宋体" w:hint="default"/>
                <w:sz w:val="15"/>
                <w:szCs w:val="15"/>
              </w:rPr>
              <w:t>其他</w:t>
            </w:r>
          </w:p>
        </w:tc>
        <w:tc>
          <w:tcPr>
            <w:tcW w:w="1133"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73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4" w:lineRule="auto" w:before="74"/>
              <w:ind w:left="6" w:right="18"/>
              <w:jc w:val="left"/>
              <w:rPr>
                <w:rFonts w:ascii="宋体" w:hAnsi="宋体" w:cs="宋体" w:eastAsia="宋体" w:hint="default"/>
                <w:sz w:val="15"/>
                <w:szCs w:val="15"/>
              </w:rPr>
            </w:pPr>
            <w:r>
              <w:rPr>
                <w:rFonts w:ascii="宋体" w:hAnsi="宋体" w:cs="宋体" w:eastAsia="宋体" w:hint="default"/>
                <w:spacing w:val="-14"/>
                <w:sz w:val="15"/>
                <w:szCs w:val="15"/>
              </w:rPr>
              <w:t>四、本期期</w:t>
            </w:r>
            <w:r>
              <w:rPr>
                <w:rFonts w:ascii="宋体" w:hAnsi="宋体" w:cs="宋体" w:eastAsia="宋体" w:hint="default"/>
                <w:sz w:val="15"/>
                <w:szCs w:val="15"/>
              </w:rPr>
              <w:t> 末余额</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7" w:right="0"/>
              <w:jc w:val="left"/>
              <w:rPr>
                <w:rFonts w:ascii="宋体" w:hAnsi="宋体" w:cs="宋体" w:eastAsia="宋体" w:hint="default"/>
                <w:sz w:val="15"/>
                <w:szCs w:val="15"/>
              </w:rPr>
            </w:pPr>
            <w:r>
              <w:rPr>
                <w:rFonts w:ascii="宋体"/>
                <w:sz w:val="15"/>
              </w:rPr>
              <w:t>411,118,370.00</w:t>
            </w:r>
          </w:p>
        </w:tc>
        <w:tc>
          <w:tcPr>
            <w:tcW w:w="408" w:type="dxa"/>
            <w:tcBorders>
              <w:top w:val="single" w:sz="6" w:space="0" w:color="000000"/>
              <w:left w:val="single" w:sz="6" w:space="0" w:color="000000"/>
              <w:bottom w:val="single" w:sz="12" w:space="0" w:color="000000"/>
              <w:right w:val="single" w:sz="6" w:space="0" w:color="000000"/>
            </w:tcBorders>
          </w:tcPr>
          <w:p>
            <w:pPr/>
          </w:p>
        </w:tc>
        <w:tc>
          <w:tcPr>
            <w:tcW w:w="396" w:type="dxa"/>
            <w:tcBorders>
              <w:top w:val="single" w:sz="6" w:space="0" w:color="000000"/>
              <w:left w:val="single" w:sz="6" w:space="0" w:color="000000"/>
              <w:bottom w:val="single" w:sz="12" w:space="0" w:color="000000"/>
              <w:right w:val="single" w:sz="6" w:space="0" w:color="000000"/>
            </w:tcBorders>
          </w:tcPr>
          <w:p>
            <w:pPr/>
          </w:p>
        </w:tc>
        <w:tc>
          <w:tcPr>
            <w:tcW w:w="422" w:type="dxa"/>
            <w:tcBorders>
              <w:top w:val="single" w:sz="6" w:space="0" w:color="000000"/>
              <w:left w:val="single" w:sz="6" w:space="0" w:color="000000"/>
              <w:bottom w:val="single" w:sz="12" w:space="0" w:color="000000"/>
              <w:right w:val="single" w:sz="6" w:space="0" w:color="000000"/>
            </w:tcBorders>
          </w:tcPr>
          <w:p>
            <w:pPr/>
          </w:p>
        </w:tc>
        <w:tc>
          <w:tcPr>
            <w:tcW w:w="1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3" w:right="0"/>
              <w:jc w:val="left"/>
              <w:rPr>
                <w:rFonts w:ascii="宋体" w:hAnsi="宋体" w:cs="宋体" w:eastAsia="宋体" w:hint="default"/>
                <w:sz w:val="15"/>
                <w:szCs w:val="15"/>
              </w:rPr>
            </w:pPr>
            <w:r>
              <w:rPr>
                <w:rFonts w:ascii="宋体"/>
                <w:sz w:val="15"/>
              </w:rPr>
              <w:t>739,285,789.70</w:t>
            </w:r>
          </w:p>
        </w:tc>
        <w:tc>
          <w:tcPr>
            <w:tcW w:w="1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15"/>
                <w:szCs w:val="15"/>
              </w:rPr>
            </w:pPr>
            <w:r>
              <w:rPr>
                <w:rFonts w:ascii="宋体"/>
                <w:sz w:val="15"/>
              </w:rPr>
              <w:t>25,041,540.00</w:t>
            </w:r>
          </w:p>
        </w:tc>
        <w:tc>
          <w:tcPr>
            <w:tcW w:w="382" w:type="dxa"/>
            <w:tcBorders>
              <w:top w:val="single" w:sz="6" w:space="0" w:color="000000"/>
              <w:left w:val="single" w:sz="6" w:space="0" w:color="000000"/>
              <w:bottom w:val="single" w:sz="12" w:space="0" w:color="000000"/>
              <w:right w:val="single" w:sz="6" w:space="0" w:color="000000"/>
            </w:tcBorders>
          </w:tcPr>
          <w:p>
            <w:pPr/>
          </w:p>
        </w:tc>
        <w:tc>
          <w:tcPr>
            <w:tcW w:w="409" w:type="dxa"/>
            <w:tcBorders>
              <w:top w:val="single" w:sz="6" w:space="0" w:color="000000"/>
              <w:left w:val="single" w:sz="6" w:space="0" w:color="000000"/>
              <w:bottom w:val="single" w:sz="12" w:space="0" w:color="000000"/>
              <w:right w:val="single" w:sz="6" w:space="0" w:color="000000"/>
            </w:tcBorders>
          </w:tcPr>
          <w:p>
            <w:pPr/>
          </w:p>
        </w:tc>
        <w:tc>
          <w:tcPr>
            <w:tcW w:w="10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1" w:right="0"/>
              <w:jc w:val="left"/>
              <w:rPr>
                <w:rFonts w:ascii="宋体" w:hAnsi="宋体" w:cs="宋体" w:eastAsia="宋体" w:hint="default"/>
                <w:sz w:val="15"/>
                <w:szCs w:val="15"/>
              </w:rPr>
            </w:pPr>
            <w:r>
              <w:rPr>
                <w:rFonts w:ascii="宋体"/>
                <w:sz w:val="15"/>
              </w:rPr>
              <w:t>21,281,039.35</w:t>
            </w:r>
          </w:p>
        </w:tc>
        <w:tc>
          <w:tcPr>
            <w:tcW w:w="450" w:type="dxa"/>
            <w:tcBorders>
              <w:top w:val="single" w:sz="6" w:space="0" w:color="000000"/>
              <w:left w:val="single" w:sz="6" w:space="0" w:color="000000"/>
              <w:bottom w:val="single" w:sz="12" w:space="0" w:color="000000"/>
              <w:right w:val="single" w:sz="6" w:space="0" w:color="000000"/>
            </w:tcBorders>
          </w:tcPr>
          <w:p>
            <w:pPr/>
          </w:p>
        </w:tc>
        <w:tc>
          <w:tcPr>
            <w:tcW w:w="12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28" w:right="0"/>
              <w:jc w:val="left"/>
              <w:rPr>
                <w:rFonts w:ascii="宋体" w:hAnsi="宋体" w:cs="宋体" w:eastAsia="宋体" w:hint="default"/>
                <w:sz w:val="15"/>
                <w:szCs w:val="15"/>
              </w:rPr>
            </w:pPr>
            <w:r>
              <w:rPr>
                <w:rFonts w:ascii="宋体"/>
                <w:sz w:val="15"/>
              </w:rPr>
              <w:t>-93,456,318.93</w:t>
            </w:r>
          </w:p>
        </w:tc>
        <w:tc>
          <w:tcPr>
            <w:tcW w:w="1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41" w:right="0"/>
              <w:jc w:val="left"/>
              <w:rPr>
                <w:rFonts w:ascii="宋体" w:hAnsi="宋体" w:cs="宋体" w:eastAsia="宋体" w:hint="default"/>
                <w:sz w:val="15"/>
                <w:szCs w:val="15"/>
              </w:rPr>
            </w:pPr>
            <w:r>
              <w:rPr>
                <w:rFonts w:ascii="宋体"/>
                <w:sz w:val="15"/>
              </w:rPr>
              <w:t>3,741,716.65</w:t>
            </w:r>
          </w:p>
        </w:tc>
        <w:tc>
          <w:tcPr>
            <w:tcW w:w="12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1" w:right="0"/>
              <w:jc w:val="left"/>
              <w:rPr>
                <w:rFonts w:ascii="宋体" w:hAnsi="宋体" w:cs="宋体" w:eastAsia="宋体" w:hint="default"/>
                <w:sz w:val="15"/>
                <w:szCs w:val="15"/>
              </w:rPr>
            </w:pPr>
            <w:r>
              <w:rPr>
                <w:rFonts w:ascii="宋体"/>
                <w:sz w:val="15"/>
              </w:rPr>
              <w:t>1,056,929,056.77</w:t>
            </w:r>
          </w:p>
        </w:tc>
      </w:tr>
    </w:tbl>
    <w:p>
      <w:pPr>
        <w:spacing w:line="240" w:lineRule="auto" w:before="1"/>
        <w:rPr>
          <w:rFonts w:ascii="Times New Roman" w:hAnsi="Times New Roman" w:cs="Times New Roman" w:eastAsia="Times New Roman" w:hint="default"/>
          <w:sz w:val="6"/>
          <w:szCs w:val="6"/>
        </w:rPr>
      </w:pPr>
    </w:p>
    <w:p>
      <w:pPr>
        <w:spacing w:after="0" w:line="240" w:lineRule="auto"/>
        <w:rPr>
          <w:rFonts w:ascii="Times New Roman" w:hAnsi="Times New Roman" w:cs="Times New Roman" w:eastAsia="Times New Roman" w:hint="default"/>
          <w:sz w:val="6"/>
          <w:szCs w:val="6"/>
        </w:rPr>
        <w:sectPr>
          <w:pgSz w:w="11910" w:h="16840"/>
          <w:pgMar w:header="877" w:footer="1000" w:top="1100" w:bottom="1180" w:left="220" w:right="0"/>
        </w:sectPr>
      </w:pPr>
    </w:p>
    <w:p>
      <w:pPr>
        <w:pStyle w:val="BodyText"/>
        <w:spacing w:line="240" w:lineRule="auto" w:before="35"/>
        <w:ind w:left="914" w:right="-20"/>
        <w:jc w:val="left"/>
      </w:pPr>
      <w:r>
        <w:rPr/>
        <w:t>上期金额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9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220" w:right="0"/>
          <w:cols w:num="2" w:equalWidth="0">
            <w:col w:w="1755" w:space="7165"/>
            <w:col w:w="2770"/>
          </w:cols>
        </w:sectPr>
      </w:pP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652"/>
        <w:gridCol w:w="1142"/>
        <w:gridCol w:w="409"/>
        <w:gridCol w:w="396"/>
        <w:gridCol w:w="313"/>
        <w:gridCol w:w="1337"/>
        <w:gridCol w:w="1132"/>
        <w:gridCol w:w="368"/>
        <w:gridCol w:w="395"/>
        <w:gridCol w:w="1078"/>
        <w:gridCol w:w="532"/>
        <w:gridCol w:w="1187"/>
        <w:gridCol w:w="1118"/>
        <w:gridCol w:w="1295"/>
      </w:tblGrid>
      <w:tr>
        <w:trPr>
          <w:trHeight w:val="414" w:hRule="exact"/>
        </w:trPr>
        <w:tc>
          <w:tcPr>
            <w:tcW w:w="652" w:type="dxa"/>
            <w:vMerge w:val="restart"/>
            <w:tcBorders>
              <w:top w:val="single" w:sz="12" w:space="0" w:color="000000"/>
              <w:left w:val="single" w:sz="12" w:space="0" w:color="000000"/>
              <w:right w:val="single" w:sz="6" w:space="0" w:color="000000"/>
            </w:tcBorders>
            <w:shd w:val="clear" w:color="auto" w:fill="D2D2D2"/>
          </w:tcPr>
          <w:p>
            <w:pPr/>
          </w:p>
        </w:tc>
        <w:tc>
          <w:tcPr>
            <w:tcW w:w="10702"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74"/>
              <w:ind w:left="17"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406" w:hRule="exact"/>
        </w:trPr>
        <w:tc>
          <w:tcPr>
            <w:tcW w:w="652" w:type="dxa"/>
            <w:vMerge/>
            <w:tcBorders>
              <w:left w:val="single" w:sz="12" w:space="0" w:color="000000"/>
              <w:bottom w:val="nil" w:sz="6" w:space="0" w:color="auto"/>
              <w:right w:val="single" w:sz="6" w:space="0" w:color="000000"/>
            </w:tcBorders>
            <w:shd w:val="clear" w:color="auto" w:fill="D2D2D2"/>
          </w:tcPr>
          <w:p>
            <w:pPr/>
          </w:p>
        </w:tc>
        <w:tc>
          <w:tcPr>
            <w:tcW w:w="8289"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8"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18" w:type="dxa"/>
            <w:vMerge w:val="restart"/>
            <w:tcBorders>
              <w:top w:val="single" w:sz="6" w:space="0" w:color="000000"/>
              <w:left w:val="single" w:sz="6" w:space="0" w:color="000000"/>
              <w:right w:val="single" w:sz="6" w:space="0" w:color="000000"/>
            </w:tcBorders>
            <w:shd w:val="clear" w:color="auto" w:fill="D2D2D2"/>
          </w:tcPr>
          <w:p>
            <w:pPr/>
          </w:p>
        </w:tc>
        <w:tc>
          <w:tcPr>
            <w:tcW w:w="1295" w:type="dxa"/>
            <w:vMerge w:val="restart"/>
            <w:tcBorders>
              <w:top w:val="single" w:sz="6" w:space="0" w:color="000000"/>
              <w:left w:val="single" w:sz="6" w:space="0" w:color="000000"/>
              <w:right w:val="single" w:sz="12" w:space="0" w:color="000000"/>
            </w:tcBorders>
            <w:shd w:val="clear" w:color="auto" w:fill="D2D2D2"/>
          </w:tcPr>
          <w:p>
            <w:pPr/>
          </w:p>
        </w:tc>
      </w:tr>
      <w:tr>
        <w:trPr>
          <w:trHeight w:val="212" w:hRule="exact"/>
        </w:trPr>
        <w:tc>
          <w:tcPr>
            <w:tcW w:w="65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35"/>
              <w:ind w:left="162"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142" w:type="dxa"/>
            <w:vMerge w:val="restart"/>
            <w:tcBorders>
              <w:top w:val="single" w:sz="6" w:space="0" w:color="000000"/>
              <w:left w:val="single" w:sz="6" w:space="0" w:color="000000"/>
              <w:right w:val="single" w:sz="6" w:space="0" w:color="000000"/>
            </w:tcBorders>
            <w:shd w:val="clear" w:color="auto" w:fill="D2D2D2"/>
          </w:tcPr>
          <w:p>
            <w:pPr/>
          </w:p>
        </w:tc>
        <w:tc>
          <w:tcPr>
            <w:tcW w:w="1118"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5"/>
              <w:ind w:left="101"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337" w:type="dxa"/>
            <w:vMerge w:val="restart"/>
            <w:tcBorders>
              <w:top w:val="single" w:sz="6" w:space="0" w:color="000000"/>
              <w:left w:val="single" w:sz="6" w:space="0" w:color="000000"/>
              <w:right w:val="single" w:sz="6" w:space="0" w:color="000000"/>
            </w:tcBorders>
            <w:shd w:val="clear" w:color="auto" w:fill="D2D2D2"/>
          </w:tcPr>
          <w:p>
            <w:pPr/>
          </w:p>
        </w:tc>
        <w:tc>
          <w:tcPr>
            <w:tcW w:w="1132" w:type="dxa"/>
            <w:vMerge w:val="restart"/>
            <w:tcBorders>
              <w:top w:val="single" w:sz="6" w:space="0" w:color="000000"/>
              <w:left w:val="single" w:sz="6" w:space="0" w:color="000000"/>
              <w:right w:val="single" w:sz="6" w:space="0" w:color="000000"/>
            </w:tcBorders>
            <w:shd w:val="clear" w:color="auto" w:fill="D2D2D2"/>
          </w:tcPr>
          <w:p>
            <w:pPr/>
          </w:p>
        </w:tc>
        <w:tc>
          <w:tcPr>
            <w:tcW w:w="368"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123"/>
              <w:ind w:left="26" w:right="25"/>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395" w:type="dxa"/>
            <w:tcBorders>
              <w:top w:val="single" w:sz="6" w:space="0" w:color="000000"/>
              <w:left w:val="single" w:sz="6" w:space="0" w:color="000000"/>
              <w:bottom w:val="nil" w:sz="6" w:space="0" w:color="auto"/>
              <w:right w:val="single" w:sz="6" w:space="0" w:color="000000"/>
            </w:tcBorders>
            <w:shd w:val="clear" w:color="auto" w:fill="D2D2D2"/>
          </w:tcPr>
          <w:p>
            <w:pPr/>
          </w:p>
        </w:tc>
        <w:tc>
          <w:tcPr>
            <w:tcW w:w="1078" w:type="dxa"/>
            <w:vMerge w:val="restart"/>
            <w:tcBorders>
              <w:top w:val="single" w:sz="6" w:space="0" w:color="000000"/>
              <w:left w:val="single" w:sz="6" w:space="0" w:color="000000"/>
              <w:right w:val="single" w:sz="6" w:space="0" w:color="000000"/>
            </w:tcBorders>
            <w:shd w:val="clear" w:color="auto" w:fill="D2D2D2"/>
          </w:tcPr>
          <w:p>
            <w:pPr/>
          </w:p>
        </w:tc>
        <w:tc>
          <w:tcPr>
            <w:tcW w:w="5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7" w:type="dxa"/>
            <w:vMerge w:val="restart"/>
            <w:tcBorders>
              <w:top w:val="single" w:sz="6" w:space="0" w:color="000000"/>
              <w:left w:val="single" w:sz="6" w:space="0" w:color="000000"/>
              <w:right w:val="single" w:sz="6" w:space="0" w:color="000000"/>
            </w:tcBorders>
            <w:shd w:val="clear" w:color="auto" w:fill="D2D2D2"/>
          </w:tcPr>
          <w:p>
            <w:pPr/>
          </w:p>
        </w:tc>
        <w:tc>
          <w:tcPr>
            <w:tcW w:w="1118" w:type="dxa"/>
            <w:vMerge/>
            <w:tcBorders>
              <w:left w:val="single" w:sz="6" w:space="0" w:color="000000"/>
              <w:bottom w:val="nil" w:sz="6" w:space="0" w:color="auto"/>
              <w:right w:val="single" w:sz="6" w:space="0" w:color="000000"/>
            </w:tcBorders>
            <w:shd w:val="clear" w:color="auto" w:fill="D2D2D2"/>
          </w:tcPr>
          <w:p>
            <w:pPr/>
          </w:p>
        </w:tc>
        <w:tc>
          <w:tcPr>
            <w:tcW w:w="1295" w:type="dxa"/>
            <w:vMerge/>
            <w:tcBorders>
              <w:left w:val="single" w:sz="6" w:space="0" w:color="000000"/>
              <w:bottom w:val="nil" w:sz="6" w:space="0" w:color="auto"/>
              <w:right w:val="single" w:sz="12" w:space="0" w:color="000000"/>
            </w:tcBorders>
            <w:shd w:val="clear" w:color="auto" w:fill="D2D2D2"/>
          </w:tcPr>
          <w:p>
            <w:pPr/>
          </w:p>
        </w:tc>
      </w:tr>
      <w:tr>
        <w:trPr>
          <w:trHeight w:val="192" w:hRule="exact"/>
        </w:trPr>
        <w:tc>
          <w:tcPr>
            <w:tcW w:w="652" w:type="dxa"/>
            <w:vMerge/>
            <w:tcBorders>
              <w:left w:val="single" w:sz="12" w:space="0" w:color="000000"/>
              <w:bottom w:val="nil" w:sz="6" w:space="0" w:color="auto"/>
              <w:right w:val="single" w:sz="6" w:space="0" w:color="000000"/>
            </w:tcBorders>
            <w:shd w:val="clear" w:color="auto" w:fill="D2D2D2"/>
          </w:tcPr>
          <w:p>
            <w:pPr/>
          </w:p>
        </w:tc>
        <w:tc>
          <w:tcPr>
            <w:tcW w:w="1142" w:type="dxa"/>
            <w:vMerge/>
            <w:tcBorders>
              <w:left w:val="single" w:sz="6" w:space="0" w:color="000000"/>
              <w:bottom w:val="nil" w:sz="6" w:space="0" w:color="auto"/>
              <w:right w:val="single" w:sz="6" w:space="0" w:color="000000"/>
            </w:tcBorders>
            <w:shd w:val="clear" w:color="auto" w:fill="D2D2D2"/>
          </w:tcPr>
          <w:p>
            <w:pPr/>
          </w:p>
        </w:tc>
        <w:tc>
          <w:tcPr>
            <w:tcW w:w="1118" w:type="dxa"/>
            <w:gridSpan w:val="3"/>
            <w:vMerge/>
            <w:tcBorders>
              <w:left w:val="single" w:sz="6" w:space="0" w:color="000000"/>
              <w:bottom w:val="single" w:sz="6" w:space="0" w:color="000000"/>
              <w:right w:val="single" w:sz="6" w:space="0" w:color="000000"/>
            </w:tcBorders>
            <w:shd w:val="clear" w:color="auto" w:fill="D2D2D2"/>
          </w:tcPr>
          <w:p>
            <w:pPr/>
          </w:p>
        </w:tc>
        <w:tc>
          <w:tcPr>
            <w:tcW w:w="1337" w:type="dxa"/>
            <w:vMerge/>
            <w:tcBorders>
              <w:left w:val="single" w:sz="6" w:space="0" w:color="000000"/>
              <w:bottom w:val="nil" w:sz="6" w:space="0" w:color="auto"/>
              <w:right w:val="single" w:sz="6" w:space="0" w:color="000000"/>
            </w:tcBorders>
            <w:shd w:val="clear" w:color="auto" w:fill="D2D2D2"/>
          </w:tcPr>
          <w:p>
            <w:pPr/>
          </w:p>
        </w:tc>
        <w:tc>
          <w:tcPr>
            <w:tcW w:w="1132" w:type="dxa"/>
            <w:vMerge/>
            <w:tcBorders>
              <w:left w:val="single" w:sz="6" w:space="0" w:color="000000"/>
              <w:bottom w:val="nil" w:sz="6" w:space="0" w:color="auto"/>
              <w:right w:val="single" w:sz="6" w:space="0" w:color="000000"/>
            </w:tcBorders>
            <w:shd w:val="clear" w:color="auto" w:fill="D2D2D2"/>
          </w:tcPr>
          <w:p>
            <w:pPr/>
          </w:p>
        </w:tc>
        <w:tc>
          <w:tcPr>
            <w:tcW w:w="368" w:type="dxa"/>
            <w:vMerge/>
            <w:tcBorders>
              <w:left w:val="single" w:sz="6" w:space="0" w:color="000000"/>
              <w:right w:val="single" w:sz="6" w:space="0" w:color="000000"/>
            </w:tcBorders>
            <w:shd w:val="clear" w:color="auto" w:fill="D2D2D2"/>
          </w:tcPr>
          <w:p>
            <w:pPr/>
          </w:p>
        </w:tc>
        <w:tc>
          <w:tcPr>
            <w:tcW w:w="39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74"/>
              <w:ind w:left="39" w:right="38"/>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078" w:type="dxa"/>
            <w:vMerge/>
            <w:tcBorders>
              <w:left w:val="single" w:sz="6" w:space="0" w:color="000000"/>
              <w:bottom w:val="nil" w:sz="6" w:space="0" w:color="auto"/>
              <w:right w:val="single" w:sz="6" w:space="0" w:color="000000"/>
            </w:tcBorders>
            <w:shd w:val="clear" w:color="auto" w:fill="D2D2D2"/>
          </w:tcPr>
          <w:p>
            <w:pPr/>
          </w:p>
        </w:tc>
        <w:tc>
          <w:tcPr>
            <w:tcW w:w="532"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98"/>
              <w:ind w:left="33" w:right="31"/>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187" w:type="dxa"/>
            <w:vMerge/>
            <w:tcBorders>
              <w:left w:val="single" w:sz="6" w:space="0" w:color="000000"/>
              <w:bottom w:val="nil" w:sz="6" w:space="0" w:color="auto"/>
              <w:right w:val="single" w:sz="6" w:space="0" w:color="000000"/>
            </w:tcBorders>
            <w:shd w:val="clear" w:color="auto" w:fill="D2D2D2"/>
          </w:tcPr>
          <w:p>
            <w:pPr/>
          </w:p>
        </w:tc>
        <w:tc>
          <w:tcPr>
            <w:tcW w:w="11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0"/>
              <w:ind w:left="101"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9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0"/>
              <w:ind w:left="113"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82" w:hRule="exact"/>
        </w:trPr>
        <w:tc>
          <w:tcPr>
            <w:tcW w:w="652" w:type="dxa"/>
            <w:vMerge w:val="restart"/>
            <w:tcBorders>
              <w:top w:val="nil" w:sz="6" w:space="0" w:color="auto"/>
              <w:left w:val="single" w:sz="12" w:space="0" w:color="000000"/>
              <w:right w:val="single" w:sz="6" w:space="0" w:color="000000"/>
            </w:tcBorders>
            <w:shd w:val="clear" w:color="auto" w:fill="D2D2D2"/>
          </w:tcPr>
          <w:p>
            <w:pPr/>
          </w:p>
        </w:tc>
        <w:tc>
          <w:tcPr>
            <w:tcW w:w="114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2"/>
              <w:ind w:left="8"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409"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102"/>
              <w:ind w:left="122" w:right="44" w:hanging="75"/>
              <w:jc w:val="left"/>
              <w:rPr>
                <w:rFonts w:ascii="宋体" w:hAnsi="宋体" w:cs="宋体" w:eastAsia="宋体" w:hint="default"/>
                <w:sz w:val="15"/>
                <w:szCs w:val="15"/>
              </w:rPr>
            </w:pPr>
            <w:r>
              <w:rPr>
                <w:rFonts w:ascii="宋体" w:hAnsi="宋体" w:cs="宋体" w:eastAsia="宋体" w:hint="default"/>
                <w:sz w:val="15"/>
                <w:szCs w:val="15"/>
              </w:rPr>
              <w:t>优先 股</w:t>
            </w:r>
          </w:p>
        </w:tc>
        <w:tc>
          <w:tcPr>
            <w:tcW w:w="396"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102"/>
              <w:ind w:left="115" w:right="41" w:hanging="76"/>
              <w:jc w:val="left"/>
              <w:rPr>
                <w:rFonts w:ascii="宋体" w:hAnsi="宋体" w:cs="宋体" w:eastAsia="宋体" w:hint="default"/>
                <w:sz w:val="15"/>
                <w:szCs w:val="15"/>
              </w:rPr>
            </w:pPr>
            <w:r>
              <w:rPr>
                <w:rFonts w:ascii="宋体" w:hAnsi="宋体" w:cs="宋体" w:eastAsia="宋体" w:hint="default"/>
                <w:sz w:val="15"/>
                <w:szCs w:val="15"/>
              </w:rPr>
              <w:t>永续 债</w:t>
            </w:r>
          </w:p>
        </w:tc>
        <w:tc>
          <w:tcPr>
            <w:tcW w:w="313"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102"/>
              <w:ind w:left="73" w:right="73"/>
              <w:jc w:val="left"/>
              <w:rPr>
                <w:rFonts w:ascii="宋体" w:hAnsi="宋体" w:cs="宋体" w:eastAsia="宋体" w:hint="default"/>
                <w:sz w:val="15"/>
                <w:szCs w:val="15"/>
              </w:rPr>
            </w:pPr>
            <w:r>
              <w:rPr>
                <w:rFonts w:ascii="宋体" w:hAnsi="宋体" w:cs="宋体" w:eastAsia="宋体" w:hint="default"/>
                <w:sz w:val="15"/>
                <w:szCs w:val="15"/>
              </w:rPr>
              <w:t>其 他</w:t>
            </w:r>
          </w:p>
        </w:tc>
        <w:tc>
          <w:tcPr>
            <w:tcW w:w="133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2"/>
              <w:ind w:left="36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2"/>
              <w:ind w:left="18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368" w:type="dxa"/>
            <w:vMerge/>
            <w:tcBorders>
              <w:left w:val="single" w:sz="6" w:space="0" w:color="000000"/>
              <w:right w:val="single" w:sz="6" w:space="0" w:color="000000"/>
            </w:tcBorders>
            <w:shd w:val="clear" w:color="auto" w:fill="D2D2D2"/>
          </w:tcPr>
          <w:p>
            <w:pPr/>
          </w:p>
        </w:tc>
        <w:tc>
          <w:tcPr>
            <w:tcW w:w="395" w:type="dxa"/>
            <w:vMerge/>
            <w:tcBorders>
              <w:left w:val="single" w:sz="6" w:space="0" w:color="000000"/>
              <w:right w:val="single" w:sz="6" w:space="0" w:color="000000"/>
            </w:tcBorders>
            <w:shd w:val="clear" w:color="auto" w:fill="D2D2D2"/>
          </w:tcPr>
          <w:p>
            <w:pPr/>
          </w:p>
        </w:tc>
        <w:tc>
          <w:tcPr>
            <w:tcW w:w="107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8"/>
              <w:ind w:left="23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32" w:type="dxa"/>
            <w:vMerge/>
            <w:tcBorders>
              <w:left w:val="single" w:sz="6" w:space="0" w:color="000000"/>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8"/>
              <w:ind w:left="21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18" w:type="dxa"/>
            <w:vMerge/>
            <w:tcBorders>
              <w:left w:val="single" w:sz="6" w:space="0" w:color="000000"/>
              <w:bottom w:val="nil" w:sz="6" w:space="0" w:color="auto"/>
              <w:right w:val="single" w:sz="6" w:space="0" w:color="000000"/>
            </w:tcBorders>
            <w:shd w:val="clear" w:color="auto" w:fill="D2D2D2"/>
          </w:tcPr>
          <w:p>
            <w:pPr/>
          </w:p>
        </w:tc>
        <w:tc>
          <w:tcPr>
            <w:tcW w:w="1295" w:type="dxa"/>
            <w:vMerge/>
            <w:tcBorders>
              <w:left w:val="single" w:sz="6" w:space="0" w:color="000000"/>
              <w:bottom w:val="nil" w:sz="6" w:space="0" w:color="auto"/>
              <w:right w:val="single" w:sz="12" w:space="0" w:color="000000"/>
            </w:tcBorders>
            <w:shd w:val="clear" w:color="auto" w:fill="D2D2D2"/>
          </w:tcPr>
          <w:p>
            <w:pPr/>
          </w:p>
        </w:tc>
      </w:tr>
      <w:tr>
        <w:trPr>
          <w:trHeight w:val="203" w:hRule="exact"/>
        </w:trPr>
        <w:tc>
          <w:tcPr>
            <w:tcW w:w="652" w:type="dxa"/>
            <w:vMerge/>
            <w:tcBorders>
              <w:left w:val="single" w:sz="12" w:space="0" w:color="000000"/>
              <w:right w:val="single" w:sz="6" w:space="0" w:color="000000"/>
            </w:tcBorders>
            <w:shd w:val="clear" w:color="auto" w:fill="D2D2D2"/>
          </w:tcPr>
          <w:p>
            <w:pPr/>
          </w:p>
        </w:tc>
        <w:tc>
          <w:tcPr>
            <w:tcW w:w="1142" w:type="dxa"/>
            <w:vMerge/>
            <w:tcBorders>
              <w:left w:val="single" w:sz="6" w:space="0" w:color="000000"/>
              <w:bottom w:val="nil" w:sz="6" w:space="0" w:color="auto"/>
              <w:right w:val="single" w:sz="6" w:space="0" w:color="000000"/>
            </w:tcBorders>
            <w:shd w:val="clear" w:color="auto" w:fill="D2D2D2"/>
          </w:tcPr>
          <w:p>
            <w:pPr/>
          </w:p>
        </w:tc>
        <w:tc>
          <w:tcPr>
            <w:tcW w:w="409" w:type="dxa"/>
            <w:vMerge/>
            <w:tcBorders>
              <w:left w:val="single" w:sz="6" w:space="0" w:color="000000"/>
              <w:right w:val="single" w:sz="6" w:space="0" w:color="000000"/>
            </w:tcBorders>
            <w:shd w:val="clear" w:color="auto" w:fill="D2D2D2"/>
          </w:tcPr>
          <w:p>
            <w:pPr/>
          </w:p>
        </w:tc>
        <w:tc>
          <w:tcPr>
            <w:tcW w:w="396" w:type="dxa"/>
            <w:vMerge/>
            <w:tcBorders>
              <w:left w:val="single" w:sz="6" w:space="0" w:color="000000"/>
              <w:right w:val="single" w:sz="6" w:space="0" w:color="000000"/>
            </w:tcBorders>
            <w:shd w:val="clear" w:color="auto" w:fill="D2D2D2"/>
          </w:tcPr>
          <w:p>
            <w:pPr/>
          </w:p>
        </w:tc>
        <w:tc>
          <w:tcPr>
            <w:tcW w:w="313" w:type="dxa"/>
            <w:vMerge/>
            <w:tcBorders>
              <w:left w:val="single" w:sz="6" w:space="0" w:color="000000"/>
              <w:right w:val="single" w:sz="6" w:space="0" w:color="000000"/>
            </w:tcBorders>
            <w:shd w:val="clear" w:color="auto" w:fill="D2D2D2"/>
          </w:tcPr>
          <w:p>
            <w:pPr/>
          </w:p>
        </w:tc>
        <w:tc>
          <w:tcPr>
            <w:tcW w:w="1337" w:type="dxa"/>
            <w:vMerge/>
            <w:tcBorders>
              <w:left w:val="single" w:sz="6" w:space="0" w:color="000000"/>
              <w:bottom w:val="nil" w:sz="6" w:space="0" w:color="auto"/>
              <w:right w:val="single" w:sz="6" w:space="0" w:color="000000"/>
            </w:tcBorders>
            <w:shd w:val="clear" w:color="auto" w:fill="D2D2D2"/>
          </w:tcPr>
          <w:p>
            <w:pPr/>
          </w:p>
        </w:tc>
        <w:tc>
          <w:tcPr>
            <w:tcW w:w="1132" w:type="dxa"/>
            <w:vMerge/>
            <w:tcBorders>
              <w:left w:val="single" w:sz="6" w:space="0" w:color="000000"/>
              <w:bottom w:val="nil" w:sz="6" w:space="0" w:color="auto"/>
              <w:right w:val="single" w:sz="6" w:space="0" w:color="000000"/>
            </w:tcBorders>
            <w:shd w:val="clear" w:color="auto" w:fill="D2D2D2"/>
          </w:tcPr>
          <w:p>
            <w:pPr/>
          </w:p>
        </w:tc>
        <w:tc>
          <w:tcPr>
            <w:tcW w:w="368" w:type="dxa"/>
            <w:vMerge/>
            <w:tcBorders>
              <w:left w:val="single" w:sz="6" w:space="0" w:color="000000"/>
              <w:right w:val="single" w:sz="6" w:space="0" w:color="000000"/>
            </w:tcBorders>
            <w:shd w:val="clear" w:color="auto" w:fill="D2D2D2"/>
          </w:tcPr>
          <w:p>
            <w:pPr/>
          </w:p>
        </w:tc>
        <w:tc>
          <w:tcPr>
            <w:tcW w:w="395" w:type="dxa"/>
            <w:vMerge/>
            <w:tcBorders>
              <w:left w:val="single" w:sz="6" w:space="0" w:color="000000"/>
              <w:right w:val="single" w:sz="6" w:space="0" w:color="000000"/>
            </w:tcBorders>
            <w:shd w:val="clear" w:color="auto" w:fill="D2D2D2"/>
          </w:tcPr>
          <w:p>
            <w:pPr/>
          </w:p>
        </w:tc>
        <w:tc>
          <w:tcPr>
            <w:tcW w:w="1078" w:type="dxa"/>
            <w:vMerge/>
            <w:tcBorders>
              <w:left w:val="single" w:sz="6" w:space="0" w:color="000000"/>
              <w:bottom w:val="nil" w:sz="6" w:space="0" w:color="auto"/>
              <w:right w:val="single" w:sz="6" w:space="0" w:color="000000"/>
            </w:tcBorders>
            <w:shd w:val="clear" w:color="auto" w:fill="D2D2D2"/>
          </w:tcPr>
          <w:p>
            <w:pPr/>
          </w:p>
        </w:tc>
        <w:tc>
          <w:tcPr>
            <w:tcW w:w="53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bottom w:val="nil" w:sz="6" w:space="0" w:color="auto"/>
              <w:right w:val="single" w:sz="6" w:space="0" w:color="000000"/>
            </w:tcBorders>
            <w:shd w:val="clear" w:color="auto" w:fill="D2D2D2"/>
          </w:tcPr>
          <w:p>
            <w:pPr/>
          </w:p>
        </w:tc>
        <w:tc>
          <w:tcPr>
            <w:tcW w:w="1118" w:type="dxa"/>
            <w:vMerge w:val="restart"/>
            <w:tcBorders>
              <w:top w:val="nil" w:sz="6" w:space="0" w:color="auto"/>
              <w:left w:val="single" w:sz="6" w:space="0" w:color="000000"/>
              <w:right w:val="single" w:sz="6" w:space="0" w:color="000000"/>
            </w:tcBorders>
            <w:shd w:val="clear" w:color="auto" w:fill="D2D2D2"/>
          </w:tcPr>
          <w:p>
            <w:pPr/>
          </w:p>
        </w:tc>
        <w:tc>
          <w:tcPr>
            <w:tcW w:w="1295" w:type="dxa"/>
            <w:vMerge w:val="restart"/>
            <w:tcBorders>
              <w:top w:val="nil" w:sz="6" w:space="0" w:color="auto"/>
              <w:left w:val="single" w:sz="6" w:space="0" w:color="000000"/>
              <w:right w:val="single" w:sz="12" w:space="0" w:color="000000"/>
            </w:tcBorders>
            <w:shd w:val="clear" w:color="auto" w:fill="D2D2D2"/>
          </w:tcPr>
          <w:p>
            <w:pPr/>
          </w:p>
        </w:tc>
      </w:tr>
      <w:tr>
        <w:trPr>
          <w:trHeight w:val="156" w:hRule="exact"/>
        </w:trPr>
        <w:tc>
          <w:tcPr>
            <w:tcW w:w="652" w:type="dxa"/>
            <w:vMerge/>
            <w:tcBorders>
              <w:left w:val="single" w:sz="12" w:space="0" w:color="000000"/>
              <w:right w:val="single" w:sz="6" w:space="0" w:color="000000"/>
            </w:tcBorders>
            <w:shd w:val="clear" w:color="auto" w:fill="D2D2D2"/>
          </w:tcPr>
          <w:p>
            <w:pPr/>
          </w:p>
        </w:tc>
        <w:tc>
          <w:tcPr>
            <w:tcW w:w="1142" w:type="dxa"/>
            <w:vMerge w:val="restart"/>
            <w:tcBorders>
              <w:top w:val="nil" w:sz="6" w:space="0" w:color="auto"/>
              <w:left w:val="single" w:sz="6" w:space="0" w:color="000000"/>
              <w:right w:val="single" w:sz="6" w:space="0" w:color="000000"/>
            </w:tcBorders>
            <w:shd w:val="clear" w:color="auto" w:fill="D2D2D2"/>
          </w:tcPr>
          <w:p>
            <w:pPr/>
          </w:p>
        </w:tc>
        <w:tc>
          <w:tcPr>
            <w:tcW w:w="409" w:type="dxa"/>
            <w:vMerge/>
            <w:tcBorders>
              <w:left w:val="single" w:sz="6" w:space="0" w:color="000000"/>
              <w:right w:val="single" w:sz="6" w:space="0" w:color="000000"/>
            </w:tcBorders>
            <w:shd w:val="clear" w:color="auto" w:fill="D2D2D2"/>
          </w:tcPr>
          <w:p>
            <w:pPr/>
          </w:p>
        </w:tc>
        <w:tc>
          <w:tcPr>
            <w:tcW w:w="396" w:type="dxa"/>
            <w:vMerge/>
            <w:tcBorders>
              <w:left w:val="single" w:sz="6" w:space="0" w:color="000000"/>
              <w:right w:val="single" w:sz="6" w:space="0" w:color="000000"/>
            </w:tcBorders>
            <w:shd w:val="clear" w:color="auto" w:fill="D2D2D2"/>
          </w:tcPr>
          <w:p>
            <w:pPr/>
          </w:p>
        </w:tc>
        <w:tc>
          <w:tcPr>
            <w:tcW w:w="313" w:type="dxa"/>
            <w:vMerge/>
            <w:tcBorders>
              <w:left w:val="single" w:sz="6" w:space="0" w:color="000000"/>
              <w:right w:val="single" w:sz="6" w:space="0" w:color="000000"/>
            </w:tcBorders>
            <w:shd w:val="clear" w:color="auto" w:fill="D2D2D2"/>
          </w:tcPr>
          <w:p>
            <w:pPr/>
          </w:p>
        </w:tc>
        <w:tc>
          <w:tcPr>
            <w:tcW w:w="1337" w:type="dxa"/>
            <w:vMerge w:val="restart"/>
            <w:tcBorders>
              <w:top w:val="nil" w:sz="6" w:space="0" w:color="auto"/>
              <w:left w:val="single" w:sz="6" w:space="0" w:color="000000"/>
              <w:right w:val="single" w:sz="6" w:space="0" w:color="000000"/>
            </w:tcBorders>
            <w:shd w:val="clear" w:color="auto" w:fill="D2D2D2"/>
          </w:tcPr>
          <w:p>
            <w:pPr/>
          </w:p>
        </w:tc>
        <w:tc>
          <w:tcPr>
            <w:tcW w:w="1132" w:type="dxa"/>
            <w:vMerge w:val="restart"/>
            <w:tcBorders>
              <w:top w:val="nil" w:sz="6" w:space="0" w:color="auto"/>
              <w:left w:val="single" w:sz="6" w:space="0" w:color="000000"/>
              <w:right w:val="single" w:sz="6" w:space="0" w:color="000000"/>
            </w:tcBorders>
            <w:shd w:val="clear" w:color="auto" w:fill="D2D2D2"/>
          </w:tcPr>
          <w:p>
            <w:pPr/>
          </w:p>
        </w:tc>
        <w:tc>
          <w:tcPr>
            <w:tcW w:w="368" w:type="dxa"/>
            <w:vMerge/>
            <w:tcBorders>
              <w:left w:val="single" w:sz="6" w:space="0" w:color="000000"/>
              <w:right w:val="single" w:sz="6" w:space="0" w:color="000000"/>
            </w:tcBorders>
            <w:shd w:val="clear" w:color="auto" w:fill="D2D2D2"/>
          </w:tcPr>
          <w:p>
            <w:pPr/>
          </w:p>
        </w:tc>
        <w:tc>
          <w:tcPr>
            <w:tcW w:w="395" w:type="dxa"/>
            <w:vMerge/>
            <w:tcBorders>
              <w:left w:val="single" w:sz="6" w:space="0" w:color="000000"/>
              <w:bottom w:val="nil" w:sz="6" w:space="0" w:color="auto"/>
              <w:right w:val="single" w:sz="6" w:space="0" w:color="000000"/>
            </w:tcBorders>
            <w:shd w:val="clear" w:color="auto" w:fill="D2D2D2"/>
          </w:tcPr>
          <w:p>
            <w:pPr/>
          </w:p>
        </w:tc>
        <w:tc>
          <w:tcPr>
            <w:tcW w:w="1078" w:type="dxa"/>
            <w:vMerge w:val="restart"/>
            <w:tcBorders>
              <w:top w:val="nil" w:sz="6" w:space="0" w:color="auto"/>
              <w:left w:val="single" w:sz="6" w:space="0" w:color="000000"/>
              <w:right w:val="single" w:sz="6" w:space="0" w:color="000000"/>
            </w:tcBorders>
            <w:shd w:val="clear" w:color="auto" w:fill="D2D2D2"/>
          </w:tcPr>
          <w:p>
            <w:pPr/>
          </w:p>
        </w:tc>
        <w:tc>
          <w:tcPr>
            <w:tcW w:w="532" w:type="dxa"/>
            <w:vMerge/>
            <w:tcBorders>
              <w:left w:val="single" w:sz="6" w:space="0" w:color="000000"/>
              <w:bottom w:val="nil" w:sz="6" w:space="0" w:color="auto"/>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
        </w:tc>
        <w:tc>
          <w:tcPr>
            <w:tcW w:w="1118" w:type="dxa"/>
            <w:vMerge/>
            <w:tcBorders>
              <w:left w:val="single" w:sz="6" w:space="0" w:color="000000"/>
              <w:right w:val="single" w:sz="6" w:space="0" w:color="000000"/>
            </w:tcBorders>
            <w:shd w:val="clear" w:color="auto" w:fill="D2D2D2"/>
          </w:tcPr>
          <w:p>
            <w:pPr/>
          </w:p>
        </w:tc>
        <w:tc>
          <w:tcPr>
            <w:tcW w:w="1295" w:type="dxa"/>
            <w:vMerge/>
            <w:tcBorders>
              <w:left w:val="single" w:sz="6" w:space="0" w:color="000000"/>
              <w:right w:val="single" w:sz="12" w:space="0" w:color="000000"/>
            </w:tcBorders>
            <w:shd w:val="clear" w:color="auto" w:fill="D2D2D2"/>
          </w:tcPr>
          <w:p>
            <w:pPr/>
          </w:p>
        </w:tc>
      </w:tr>
      <w:tr>
        <w:trPr>
          <w:trHeight w:val="211" w:hRule="exact"/>
        </w:trPr>
        <w:tc>
          <w:tcPr>
            <w:tcW w:w="652" w:type="dxa"/>
            <w:vMerge/>
            <w:tcBorders>
              <w:left w:val="single" w:sz="12" w:space="0" w:color="000000"/>
              <w:bottom w:val="single" w:sz="6" w:space="0" w:color="000000"/>
              <w:right w:val="single" w:sz="6" w:space="0" w:color="000000"/>
            </w:tcBorders>
            <w:shd w:val="clear" w:color="auto" w:fill="D2D2D2"/>
          </w:tcPr>
          <w:p>
            <w:pPr/>
          </w:p>
        </w:tc>
        <w:tc>
          <w:tcPr>
            <w:tcW w:w="1142" w:type="dxa"/>
            <w:vMerge/>
            <w:tcBorders>
              <w:left w:val="single" w:sz="6" w:space="0" w:color="000000"/>
              <w:bottom w:val="single" w:sz="6" w:space="0" w:color="000000"/>
              <w:right w:val="single" w:sz="6" w:space="0" w:color="000000"/>
            </w:tcBorders>
            <w:shd w:val="clear" w:color="auto" w:fill="D2D2D2"/>
          </w:tcPr>
          <w:p>
            <w:pPr/>
          </w:p>
        </w:tc>
        <w:tc>
          <w:tcPr>
            <w:tcW w:w="409" w:type="dxa"/>
            <w:vMerge/>
            <w:tcBorders>
              <w:left w:val="single" w:sz="6" w:space="0" w:color="000000"/>
              <w:bottom w:val="single" w:sz="6" w:space="0" w:color="000000"/>
              <w:right w:val="single" w:sz="6" w:space="0" w:color="000000"/>
            </w:tcBorders>
            <w:shd w:val="clear" w:color="auto" w:fill="D2D2D2"/>
          </w:tcPr>
          <w:p>
            <w:pPr/>
          </w:p>
        </w:tc>
        <w:tc>
          <w:tcPr>
            <w:tcW w:w="396" w:type="dxa"/>
            <w:vMerge/>
            <w:tcBorders>
              <w:left w:val="single" w:sz="6" w:space="0" w:color="000000"/>
              <w:bottom w:val="single" w:sz="6" w:space="0" w:color="000000"/>
              <w:right w:val="single" w:sz="6" w:space="0" w:color="000000"/>
            </w:tcBorders>
            <w:shd w:val="clear" w:color="auto" w:fill="D2D2D2"/>
          </w:tcPr>
          <w:p>
            <w:pPr/>
          </w:p>
        </w:tc>
        <w:tc>
          <w:tcPr>
            <w:tcW w:w="313" w:type="dxa"/>
            <w:vMerge/>
            <w:tcBorders>
              <w:left w:val="single" w:sz="6" w:space="0" w:color="000000"/>
              <w:bottom w:val="single" w:sz="6" w:space="0" w:color="000000"/>
              <w:right w:val="single" w:sz="6" w:space="0" w:color="000000"/>
            </w:tcBorders>
            <w:shd w:val="clear" w:color="auto" w:fill="D2D2D2"/>
          </w:tcPr>
          <w:p>
            <w:pPr/>
          </w:p>
        </w:tc>
        <w:tc>
          <w:tcPr>
            <w:tcW w:w="1337" w:type="dxa"/>
            <w:vMerge/>
            <w:tcBorders>
              <w:left w:val="single" w:sz="6" w:space="0" w:color="000000"/>
              <w:bottom w:val="single" w:sz="6" w:space="0" w:color="000000"/>
              <w:right w:val="single" w:sz="6" w:space="0" w:color="000000"/>
            </w:tcBorders>
            <w:shd w:val="clear" w:color="auto" w:fill="D2D2D2"/>
          </w:tcPr>
          <w:p>
            <w:pPr/>
          </w:p>
        </w:tc>
        <w:tc>
          <w:tcPr>
            <w:tcW w:w="1132" w:type="dxa"/>
            <w:vMerge/>
            <w:tcBorders>
              <w:left w:val="single" w:sz="6" w:space="0" w:color="000000"/>
              <w:bottom w:val="single" w:sz="6" w:space="0" w:color="000000"/>
              <w:right w:val="single" w:sz="6" w:space="0" w:color="000000"/>
            </w:tcBorders>
            <w:shd w:val="clear" w:color="auto" w:fill="D2D2D2"/>
          </w:tcPr>
          <w:p>
            <w:pPr/>
          </w:p>
        </w:tc>
        <w:tc>
          <w:tcPr>
            <w:tcW w:w="368" w:type="dxa"/>
            <w:vMerge/>
            <w:tcBorders>
              <w:left w:val="single" w:sz="6" w:space="0" w:color="000000"/>
              <w:bottom w:val="single" w:sz="6" w:space="0" w:color="000000"/>
              <w:right w:val="single" w:sz="6" w:space="0" w:color="000000"/>
            </w:tcBorders>
            <w:shd w:val="clear" w:color="auto" w:fill="D2D2D2"/>
          </w:tcPr>
          <w:p>
            <w:pPr/>
          </w:p>
        </w:tc>
        <w:tc>
          <w:tcPr>
            <w:tcW w:w="395" w:type="dxa"/>
            <w:tcBorders>
              <w:top w:val="nil" w:sz="6" w:space="0" w:color="auto"/>
              <w:left w:val="single" w:sz="6" w:space="0" w:color="000000"/>
              <w:bottom w:val="single" w:sz="6" w:space="0" w:color="000000"/>
              <w:right w:val="single" w:sz="6" w:space="0" w:color="000000"/>
            </w:tcBorders>
            <w:shd w:val="clear" w:color="auto" w:fill="D2D2D2"/>
          </w:tcPr>
          <w:p>
            <w:pPr/>
          </w:p>
        </w:tc>
        <w:tc>
          <w:tcPr>
            <w:tcW w:w="1078" w:type="dxa"/>
            <w:vMerge/>
            <w:tcBorders>
              <w:left w:val="single" w:sz="6" w:space="0" w:color="000000"/>
              <w:bottom w:val="single" w:sz="6" w:space="0" w:color="000000"/>
              <w:right w:val="single" w:sz="6" w:space="0" w:color="000000"/>
            </w:tcBorders>
            <w:shd w:val="clear" w:color="auto" w:fill="D2D2D2"/>
          </w:tcPr>
          <w:p>
            <w:pPr/>
          </w:p>
        </w:tc>
        <w:tc>
          <w:tcPr>
            <w:tcW w:w="5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118" w:type="dxa"/>
            <w:vMerge/>
            <w:tcBorders>
              <w:left w:val="single" w:sz="6" w:space="0" w:color="000000"/>
              <w:bottom w:val="single" w:sz="6" w:space="0" w:color="000000"/>
              <w:right w:val="single" w:sz="6" w:space="0" w:color="000000"/>
            </w:tcBorders>
            <w:shd w:val="clear" w:color="auto" w:fill="D2D2D2"/>
          </w:tcPr>
          <w:p>
            <w:pPr/>
          </w:p>
        </w:tc>
        <w:tc>
          <w:tcPr>
            <w:tcW w:w="1295" w:type="dxa"/>
            <w:vMerge/>
            <w:tcBorders>
              <w:left w:val="single" w:sz="6" w:space="0" w:color="000000"/>
              <w:bottom w:val="single" w:sz="6" w:space="0" w:color="000000"/>
              <w:right w:val="single" w:sz="12" w:space="0" w:color="000000"/>
            </w:tcBorders>
            <w:shd w:val="clear" w:color="auto" w:fill="D2D2D2"/>
          </w:tcPr>
          <w:p>
            <w:pPr/>
          </w:p>
        </w:tc>
      </w:tr>
      <w:tr>
        <w:trPr>
          <w:trHeight w:val="719" w:hRule="exact"/>
        </w:trPr>
        <w:tc>
          <w:tcPr>
            <w:tcW w:w="6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4" w:lineRule="auto" w:before="74"/>
              <w:ind w:left="6" w:right="21"/>
              <w:jc w:val="left"/>
              <w:rPr>
                <w:rFonts w:ascii="宋体" w:hAnsi="宋体" w:cs="宋体" w:eastAsia="宋体" w:hint="default"/>
                <w:sz w:val="15"/>
                <w:szCs w:val="15"/>
              </w:rPr>
            </w:pPr>
            <w:r>
              <w:rPr>
                <w:rFonts w:ascii="宋体" w:hAnsi="宋体" w:cs="宋体" w:eastAsia="宋体" w:hint="default"/>
                <w:sz w:val="15"/>
                <w:szCs w:val="15"/>
              </w:rPr>
              <w:t>一、上年 期末余额</w:t>
            </w:r>
          </w:p>
        </w:tc>
        <w:tc>
          <w:tcPr>
            <w:tcW w:w="1142"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3" w:right="0"/>
              <w:jc w:val="left"/>
              <w:rPr>
                <w:rFonts w:ascii="宋体" w:hAnsi="宋体" w:cs="宋体" w:eastAsia="宋体" w:hint="default"/>
                <w:sz w:val="15"/>
                <w:szCs w:val="15"/>
              </w:rPr>
            </w:pPr>
            <w:r>
              <w:rPr>
                <w:rFonts w:ascii="宋体"/>
                <w:sz w:val="15"/>
              </w:rPr>
              <w:t>166,121,848.00</w:t>
            </w: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5"/>
                <w:szCs w:val="15"/>
              </w:rPr>
            </w:pPr>
            <w:r>
              <w:rPr>
                <w:rFonts w:ascii="宋体"/>
                <w:sz w:val="15"/>
              </w:rPr>
              <w:t>1,036,932,346.20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15"/>
                <w:szCs w:val="15"/>
              </w:rPr>
            </w:pPr>
            <w:r>
              <w:rPr>
                <w:rFonts w:ascii="宋体"/>
                <w:sz w:val="15"/>
              </w:rPr>
              <w:t>95,452,000.00</w:t>
            </w:r>
          </w:p>
        </w:tc>
        <w:tc>
          <w:tcPr>
            <w:tcW w:w="368" w:type="dxa"/>
            <w:tcBorders>
              <w:top w:val="single" w:sz="19" w:space="0" w:color="D2D2D2"/>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8" w:right="0"/>
              <w:jc w:val="left"/>
              <w:rPr>
                <w:rFonts w:ascii="宋体" w:hAnsi="宋体" w:cs="宋体" w:eastAsia="宋体" w:hint="default"/>
                <w:sz w:val="15"/>
                <w:szCs w:val="15"/>
              </w:rPr>
            </w:pPr>
            <w:r>
              <w:rPr>
                <w:rFonts w:ascii="宋体"/>
                <w:sz w:val="15"/>
              </w:rPr>
              <w:t>21,281,039.35</w:t>
            </w: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5"/>
                <w:szCs w:val="15"/>
              </w:rPr>
            </w:pPr>
            <w:r>
              <w:rPr>
                <w:rFonts w:ascii="宋体"/>
                <w:sz w:val="15"/>
              </w:rPr>
              <w:t>280,439,222.81</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3" w:right="0"/>
              <w:jc w:val="left"/>
              <w:rPr>
                <w:rFonts w:ascii="宋体" w:hAnsi="宋体" w:cs="宋体" w:eastAsia="宋体" w:hint="default"/>
                <w:sz w:val="15"/>
                <w:szCs w:val="15"/>
              </w:rPr>
            </w:pPr>
            <w:r>
              <w:rPr>
                <w:rFonts w:ascii="宋体"/>
                <w:sz w:val="15"/>
              </w:rPr>
              <w:t>103,426,416.81</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8" w:right="0"/>
              <w:jc w:val="left"/>
              <w:rPr>
                <w:rFonts w:ascii="宋体" w:hAnsi="宋体" w:cs="宋体" w:eastAsia="宋体" w:hint="default"/>
                <w:sz w:val="15"/>
                <w:szCs w:val="15"/>
              </w:rPr>
            </w:pPr>
            <w:r>
              <w:rPr>
                <w:rFonts w:ascii="宋体"/>
                <w:sz w:val="15"/>
              </w:rPr>
              <w:t>1,512,748,873.17</w:t>
            </w:r>
          </w:p>
        </w:tc>
      </w:tr>
      <w:tr>
        <w:trPr>
          <w:trHeight w:val="1031" w:hRule="exact"/>
        </w:trPr>
        <w:tc>
          <w:tcPr>
            <w:tcW w:w="6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6" w:right="21" w:firstLine="300"/>
              <w:jc w:val="both"/>
              <w:rPr>
                <w:rFonts w:ascii="宋体" w:hAnsi="宋体" w:cs="宋体" w:eastAsia="宋体" w:hint="default"/>
                <w:sz w:val="15"/>
                <w:szCs w:val="15"/>
              </w:rPr>
            </w:pPr>
            <w:r>
              <w:rPr>
                <w:rFonts w:ascii="宋体" w:hAnsi="宋体" w:cs="宋体" w:eastAsia="宋体" w:hint="default"/>
                <w:sz w:val="15"/>
                <w:szCs w:val="15"/>
              </w:rPr>
              <w:t>加： 会计政策 变更</w:t>
            </w:r>
          </w:p>
        </w:tc>
        <w:tc>
          <w:tcPr>
            <w:tcW w:w="1142" w:type="dxa"/>
            <w:tcBorders>
              <w:top w:val="single" w:sz="6" w:space="0" w:color="000000"/>
              <w:left w:val="single" w:sz="8" w:space="0" w:color="D2D2D2"/>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6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21"/>
              <w:jc w:val="left"/>
              <w:rPr>
                <w:rFonts w:ascii="宋体" w:hAnsi="宋体" w:cs="宋体" w:eastAsia="宋体" w:hint="default"/>
                <w:sz w:val="15"/>
                <w:szCs w:val="15"/>
              </w:rPr>
            </w:pPr>
            <w:r>
              <w:rPr>
                <w:rFonts w:ascii="宋体" w:hAnsi="宋体" w:cs="宋体" w:eastAsia="宋体" w:hint="default"/>
                <w:sz w:val="15"/>
                <w:szCs w:val="15"/>
              </w:rPr>
              <w:t>前期差错 更正</w:t>
            </w:r>
          </w:p>
        </w:tc>
        <w:tc>
          <w:tcPr>
            <w:tcW w:w="1142" w:type="dxa"/>
            <w:tcBorders>
              <w:top w:val="single" w:sz="6" w:space="0" w:color="000000"/>
              <w:left w:val="single" w:sz="8" w:space="0" w:color="D2D2D2"/>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1039" w:hRule="exact"/>
        </w:trPr>
        <w:tc>
          <w:tcPr>
            <w:tcW w:w="6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1" w:lineRule="auto" w:before="75"/>
              <w:ind w:left="6" w:right="21"/>
              <w:jc w:val="both"/>
              <w:rPr>
                <w:rFonts w:ascii="宋体" w:hAnsi="宋体" w:cs="宋体" w:eastAsia="宋体" w:hint="default"/>
                <w:sz w:val="15"/>
                <w:szCs w:val="15"/>
              </w:rPr>
            </w:pPr>
            <w:r>
              <w:rPr>
                <w:rFonts w:ascii="宋体" w:hAnsi="宋体" w:cs="宋体" w:eastAsia="宋体" w:hint="default"/>
                <w:sz w:val="15"/>
                <w:szCs w:val="15"/>
              </w:rPr>
              <w:t>同一控制 下企业合 并</w:t>
            </w:r>
          </w:p>
        </w:tc>
        <w:tc>
          <w:tcPr>
            <w:tcW w:w="1142" w:type="dxa"/>
            <w:tcBorders>
              <w:top w:val="single" w:sz="6" w:space="0" w:color="000000"/>
              <w:left w:val="single" w:sz="8" w:space="0" w:color="D2D2D2"/>
              <w:bottom w:val="single" w:sz="12" w:space="0" w:color="000000"/>
              <w:right w:val="single" w:sz="6" w:space="0" w:color="000000"/>
            </w:tcBorders>
          </w:tcPr>
          <w:p>
            <w:pPr/>
          </w:p>
        </w:tc>
        <w:tc>
          <w:tcPr>
            <w:tcW w:w="409" w:type="dxa"/>
            <w:tcBorders>
              <w:top w:val="single" w:sz="6" w:space="0" w:color="000000"/>
              <w:left w:val="single" w:sz="6" w:space="0" w:color="000000"/>
              <w:bottom w:val="single" w:sz="12" w:space="0" w:color="000000"/>
              <w:right w:val="single" w:sz="6" w:space="0" w:color="000000"/>
            </w:tcBorders>
          </w:tcPr>
          <w:p>
            <w:pPr/>
          </w:p>
        </w:tc>
        <w:tc>
          <w:tcPr>
            <w:tcW w:w="396" w:type="dxa"/>
            <w:tcBorders>
              <w:top w:val="single" w:sz="6" w:space="0" w:color="000000"/>
              <w:left w:val="single" w:sz="6" w:space="0" w:color="000000"/>
              <w:bottom w:val="single" w:sz="12" w:space="0" w:color="000000"/>
              <w:right w:val="single" w:sz="6" w:space="0" w:color="000000"/>
            </w:tcBorders>
          </w:tcPr>
          <w:p>
            <w:pPr/>
          </w:p>
        </w:tc>
        <w:tc>
          <w:tcPr>
            <w:tcW w:w="313" w:type="dxa"/>
            <w:tcBorders>
              <w:top w:val="single" w:sz="6" w:space="0" w:color="000000"/>
              <w:left w:val="single" w:sz="6" w:space="0" w:color="000000"/>
              <w:bottom w:val="single" w:sz="12" w:space="0" w:color="000000"/>
              <w:right w:val="single" w:sz="6" w:space="0" w:color="000000"/>
            </w:tcBorders>
          </w:tcPr>
          <w:p>
            <w:pPr/>
          </w:p>
        </w:tc>
        <w:tc>
          <w:tcPr>
            <w:tcW w:w="1337" w:type="dxa"/>
            <w:tcBorders>
              <w:top w:val="single" w:sz="6" w:space="0" w:color="000000"/>
              <w:left w:val="single" w:sz="6" w:space="0" w:color="000000"/>
              <w:bottom w:val="single" w:sz="12" w:space="0" w:color="000000"/>
              <w:right w:val="single" w:sz="6" w:space="0" w:color="000000"/>
            </w:tcBorders>
          </w:tcPr>
          <w:p>
            <w:pPr/>
          </w:p>
        </w:tc>
        <w:tc>
          <w:tcPr>
            <w:tcW w:w="1132" w:type="dxa"/>
            <w:tcBorders>
              <w:top w:val="single" w:sz="6" w:space="0" w:color="000000"/>
              <w:left w:val="single" w:sz="6" w:space="0" w:color="000000"/>
              <w:bottom w:val="single" w:sz="12" w:space="0" w:color="000000"/>
              <w:right w:val="single" w:sz="6" w:space="0" w:color="000000"/>
            </w:tcBorders>
          </w:tcPr>
          <w:p>
            <w:pPr/>
          </w:p>
        </w:tc>
        <w:tc>
          <w:tcPr>
            <w:tcW w:w="368" w:type="dxa"/>
            <w:tcBorders>
              <w:top w:val="single" w:sz="6" w:space="0" w:color="000000"/>
              <w:left w:val="single" w:sz="6" w:space="0" w:color="000000"/>
              <w:bottom w:val="single" w:sz="12" w:space="0" w:color="000000"/>
              <w:right w:val="single" w:sz="6" w:space="0" w:color="000000"/>
            </w:tcBorders>
          </w:tcPr>
          <w:p>
            <w:pPr/>
          </w:p>
        </w:tc>
        <w:tc>
          <w:tcPr>
            <w:tcW w:w="395" w:type="dxa"/>
            <w:tcBorders>
              <w:top w:val="single" w:sz="6" w:space="0" w:color="000000"/>
              <w:left w:val="single" w:sz="6" w:space="0" w:color="000000"/>
              <w:bottom w:val="single" w:sz="12" w:space="0" w:color="000000"/>
              <w:right w:val="single" w:sz="6" w:space="0" w:color="000000"/>
            </w:tcBorders>
          </w:tcPr>
          <w:p>
            <w:pPr/>
          </w:p>
        </w:tc>
        <w:tc>
          <w:tcPr>
            <w:tcW w:w="1078" w:type="dxa"/>
            <w:tcBorders>
              <w:top w:val="single" w:sz="6" w:space="0" w:color="000000"/>
              <w:left w:val="single" w:sz="6" w:space="0" w:color="000000"/>
              <w:bottom w:val="single" w:sz="12" w:space="0" w:color="000000"/>
              <w:right w:val="single" w:sz="6" w:space="0" w:color="000000"/>
            </w:tcBorders>
          </w:tcPr>
          <w:p>
            <w:pPr/>
          </w:p>
        </w:tc>
        <w:tc>
          <w:tcPr>
            <w:tcW w:w="532" w:type="dxa"/>
            <w:tcBorders>
              <w:top w:val="single" w:sz="6" w:space="0" w:color="000000"/>
              <w:left w:val="single" w:sz="6" w:space="0" w:color="000000"/>
              <w:bottom w:val="single" w:sz="12" w:space="0" w:color="000000"/>
              <w:right w:val="single" w:sz="6" w:space="0" w:color="000000"/>
            </w:tcBorders>
          </w:tcPr>
          <w:p>
            <w:pPr/>
          </w:p>
        </w:tc>
        <w:tc>
          <w:tcPr>
            <w:tcW w:w="1187" w:type="dxa"/>
            <w:tcBorders>
              <w:top w:val="single" w:sz="6" w:space="0" w:color="000000"/>
              <w:left w:val="single" w:sz="6" w:space="0" w:color="000000"/>
              <w:bottom w:val="single" w:sz="12" w:space="0" w:color="000000"/>
              <w:right w:val="single" w:sz="6" w:space="0" w:color="000000"/>
            </w:tcBorders>
          </w:tcPr>
          <w:p>
            <w:pPr/>
          </w:p>
        </w:tc>
        <w:tc>
          <w:tcPr>
            <w:tcW w:w="1118" w:type="dxa"/>
            <w:tcBorders>
              <w:top w:val="single" w:sz="6" w:space="0" w:color="000000"/>
              <w:left w:val="single" w:sz="6" w:space="0" w:color="000000"/>
              <w:bottom w:val="single" w:sz="12" w:space="0" w:color="000000"/>
              <w:right w:val="single" w:sz="6" w:space="0" w:color="000000"/>
            </w:tcBorders>
          </w:tcPr>
          <w:p>
            <w:pPr/>
          </w:p>
        </w:tc>
        <w:tc>
          <w:tcPr>
            <w:tcW w:w="1295"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580" w:bottom="700" w:left="2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668"/>
        <w:gridCol w:w="1132"/>
        <w:gridCol w:w="409"/>
        <w:gridCol w:w="396"/>
        <w:gridCol w:w="313"/>
        <w:gridCol w:w="1337"/>
        <w:gridCol w:w="1132"/>
        <w:gridCol w:w="368"/>
        <w:gridCol w:w="395"/>
        <w:gridCol w:w="1078"/>
        <w:gridCol w:w="532"/>
        <w:gridCol w:w="1187"/>
        <w:gridCol w:w="1118"/>
        <w:gridCol w:w="1295"/>
      </w:tblGrid>
      <w:tr>
        <w:trPr>
          <w:trHeight w:val="415" w:hRule="exact"/>
        </w:trPr>
        <w:tc>
          <w:tcPr>
            <w:tcW w:w="6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1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2" w:type="dxa"/>
            <w:tcBorders>
              <w:top w:val="single" w:sz="12" w:space="0" w:color="000000"/>
              <w:left w:val="single" w:sz="6" w:space="0" w:color="000000"/>
              <w:bottom w:val="single" w:sz="6" w:space="0" w:color="000000"/>
              <w:right w:val="single" w:sz="6" w:space="0" w:color="000000"/>
            </w:tcBorders>
          </w:tcPr>
          <w:p>
            <w:pPr/>
          </w:p>
        </w:tc>
        <w:tc>
          <w:tcPr>
            <w:tcW w:w="409" w:type="dxa"/>
            <w:tcBorders>
              <w:top w:val="single" w:sz="12" w:space="0" w:color="000000"/>
              <w:left w:val="single" w:sz="6" w:space="0" w:color="000000"/>
              <w:bottom w:val="single" w:sz="6" w:space="0" w:color="000000"/>
              <w:right w:val="single" w:sz="6" w:space="0" w:color="000000"/>
            </w:tcBorders>
          </w:tcPr>
          <w:p>
            <w:pPr/>
          </w:p>
        </w:tc>
        <w:tc>
          <w:tcPr>
            <w:tcW w:w="396" w:type="dxa"/>
            <w:tcBorders>
              <w:top w:val="single" w:sz="12" w:space="0" w:color="000000"/>
              <w:left w:val="single" w:sz="6" w:space="0" w:color="000000"/>
              <w:bottom w:val="single" w:sz="6" w:space="0" w:color="000000"/>
              <w:right w:val="single" w:sz="6" w:space="0" w:color="000000"/>
            </w:tcBorders>
          </w:tcPr>
          <w:p>
            <w:pPr/>
          </w:p>
        </w:tc>
        <w:tc>
          <w:tcPr>
            <w:tcW w:w="313" w:type="dxa"/>
            <w:tcBorders>
              <w:top w:val="single" w:sz="12" w:space="0" w:color="000000"/>
              <w:left w:val="single" w:sz="6" w:space="0" w:color="000000"/>
              <w:bottom w:val="single" w:sz="6" w:space="0" w:color="000000"/>
              <w:right w:val="single" w:sz="6" w:space="0" w:color="000000"/>
            </w:tcBorders>
          </w:tcPr>
          <w:p>
            <w:pPr/>
          </w:p>
        </w:tc>
        <w:tc>
          <w:tcPr>
            <w:tcW w:w="1337" w:type="dxa"/>
            <w:tcBorders>
              <w:top w:val="single" w:sz="12" w:space="0" w:color="000000"/>
              <w:left w:val="single" w:sz="6" w:space="0" w:color="000000"/>
              <w:bottom w:val="single" w:sz="6" w:space="0" w:color="000000"/>
              <w:right w:val="single" w:sz="6" w:space="0" w:color="000000"/>
            </w:tcBorders>
          </w:tcPr>
          <w:p>
            <w:pPr/>
          </w:p>
        </w:tc>
        <w:tc>
          <w:tcPr>
            <w:tcW w:w="1132" w:type="dxa"/>
            <w:tcBorders>
              <w:top w:val="single" w:sz="12" w:space="0" w:color="000000"/>
              <w:left w:val="single" w:sz="6" w:space="0" w:color="000000"/>
              <w:bottom w:val="single" w:sz="6" w:space="0" w:color="000000"/>
              <w:right w:val="single" w:sz="6" w:space="0" w:color="000000"/>
            </w:tcBorders>
          </w:tcPr>
          <w:p>
            <w:pPr/>
          </w:p>
        </w:tc>
        <w:tc>
          <w:tcPr>
            <w:tcW w:w="368" w:type="dxa"/>
            <w:tcBorders>
              <w:top w:val="single" w:sz="12" w:space="0" w:color="000000"/>
              <w:left w:val="single" w:sz="6" w:space="0" w:color="000000"/>
              <w:bottom w:val="single" w:sz="6" w:space="0" w:color="000000"/>
              <w:right w:val="single" w:sz="6" w:space="0" w:color="000000"/>
            </w:tcBorders>
          </w:tcPr>
          <w:p>
            <w:pPr/>
          </w:p>
        </w:tc>
        <w:tc>
          <w:tcPr>
            <w:tcW w:w="395" w:type="dxa"/>
            <w:tcBorders>
              <w:top w:val="single" w:sz="12" w:space="0" w:color="000000"/>
              <w:left w:val="single" w:sz="6" w:space="0" w:color="000000"/>
              <w:bottom w:val="single" w:sz="6" w:space="0" w:color="000000"/>
              <w:right w:val="single" w:sz="6" w:space="0" w:color="000000"/>
            </w:tcBorders>
          </w:tcPr>
          <w:p>
            <w:pPr/>
          </w:p>
        </w:tc>
        <w:tc>
          <w:tcPr>
            <w:tcW w:w="1078" w:type="dxa"/>
            <w:tcBorders>
              <w:top w:val="single" w:sz="12" w:space="0" w:color="000000"/>
              <w:left w:val="single" w:sz="6" w:space="0" w:color="000000"/>
              <w:bottom w:val="single" w:sz="6" w:space="0" w:color="000000"/>
              <w:right w:val="single" w:sz="6" w:space="0" w:color="000000"/>
            </w:tcBorders>
          </w:tcPr>
          <w:p>
            <w:pPr/>
          </w:p>
        </w:tc>
        <w:tc>
          <w:tcPr>
            <w:tcW w:w="532" w:type="dxa"/>
            <w:tcBorders>
              <w:top w:val="single" w:sz="12" w:space="0" w:color="000000"/>
              <w:left w:val="single" w:sz="6" w:space="0" w:color="000000"/>
              <w:bottom w:val="single" w:sz="6" w:space="0" w:color="000000"/>
              <w:right w:val="single" w:sz="6" w:space="0" w:color="000000"/>
            </w:tcBorders>
          </w:tcPr>
          <w:p>
            <w:pPr/>
          </w:p>
        </w:tc>
        <w:tc>
          <w:tcPr>
            <w:tcW w:w="1187" w:type="dxa"/>
            <w:tcBorders>
              <w:top w:val="single" w:sz="12" w:space="0" w:color="000000"/>
              <w:left w:val="single" w:sz="6" w:space="0" w:color="000000"/>
              <w:bottom w:val="single" w:sz="6" w:space="0" w:color="000000"/>
              <w:right w:val="single" w:sz="6" w:space="0" w:color="000000"/>
            </w:tcBorders>
          </w:tcPr>
          <w:p>
            <w:pPr/>
          </w:p>
        </w:tc>
        <w:tc>
          <w:tcPr>
            <w:tcW w:w="1118" w:type="dxa"/>
            <w:tcBorders>
              <w:top w:val="single" w:sz="12" w:space="0" w:color="000000"/>
              <w:left w:val="single" w:sz="6" w:space="0" w:color="000000"/>
              <w:bottom w:val="single" w:sz="6" w:space="0" w:color="000000"/>
              <w:right w:val="single" w:sz="6" w:space="0" w:color="000000"/>
            </w:tcBorders>
          </w:tcPr>
          <w:p>
            <w:pPr/>
          </w:p>
        </w:tc>
        <w:tc>
          <w:tcPr>
            <w:tcW w:w="1295" w:type="dxa"/>
            <w:tcBorders>
              <w:top w:val="single" w:sz="12" w:space="0" w:color="000000"/>
              <w:left w:val="single" w:sz="6" w:space="0" w:color="000000"/>
              <w:bottom w:val="single" w:sz="6" w:space="0" w:color="000000"/>
              <w:right w:val="single" w:sz="12" w:space="0" w:color="000000"/>
            </w:tcBorders>
          </w:tcPr>
          <w:p>
            <w:pPr/>
          </w:p>
        </w:tc>
      </w:tr>
      <w:tr>
        <w:trPr>
          <w:trHeight w:val="719"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12" w:right="31"/>
              <w:jc w:val="left"/>
              <w:rPr>
                <w:rFonts w:ascii="宋体" w:hAnsi="宋体" w:cs="宋体" w:eastAsia="宋体" w:hint="default"/>
                <w:sz w:val="15"/>
                <w:szCs w:val="15"/>
              </w:rPr>
            </w:pPr>
            <w:r>
              <w:rPr>
                <w:rFonts w:ascii="宋体" w:hAnsi="宋体" w:cs="宋体" w:eastAsia="宋体" w:hint="default"/>
                <w:sz w:val="15"/>
                <w:szCs w:val="15"/>
              </w:rPr>
              <w:t>二、本年 期初余额</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166,121,848.00</w:t>
            </w: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1,036,932,346.20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8" w:right="0"/>
              <w:jc w:val="center"/>
              <w:rPr>
                <w:rFonts w:ascii="宋体" w:hAnsi="宋体" w:cs="宋体" w:eastAsia="宋体" w:hint="default"/>
                <w:sz w:val="15"/>
                <w:szCs w:val="15"/>
              </w:rPr>
            </w:pPr>
            <w:r>
              <w:rPr>
                <w:rFonts w:ascii="宋体"/>
                <w:sz w:val="15"/>
              </w:rPr>
              <w:t>95,452,000.00</w:t>
            </w: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68" w:right="0"/>
              <w:jc w:val="left"/>
              <w:rPr>
                <w:rFonts w:ascii="宋体" w:hAnsi="宋体" w:cs="宋体" w:eastAsia="宋体" w:hint="default"/>
                <w:sz w:val="15"/>
                <w:szCs w:val="15"/>
              </w:rPr>
            </w:pPr>
            <w:r>
              <w:rPr>
                <w:rFonts w:ascii="宋体"/>
                <w:sz w:val="15"/>
              </w:rPr>
              <w:t>21,281,039.35</w:t>
            </w: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280,439,222.81</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103,426,416.81</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2"/>
              <w:jc w:val="right"/>
              <w:rPr>
                <w:rFonts w:ascii="宋体" w:hAnsi="宋体" w:cs="宋体" w:eastAsia="宋体" w:hint="default"/>
                <w:sz w:val="15"/>
                <w:szCs w:val="15"/>
              </w:rPr>
            </w:pPr>
            <w:r>
              <w:rPr>
                <w:rFonts w:ascii="宋体"/>
                <w:spacing w:val="-1"/>
                <w:sz w:val="15"/>
              </w:rPr>
              <w:t>1,512,748,873.17</w:t>
            </w:r>
          </w:p>
        </w:tc>
      </w:tr>
      <w:tr>
        <w:trPr>
          <w:trHeight w:val="1967"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12" w:right="31"/>
              <w:jc w:val="left"/>
              <w:rPr>
                <w:rFonts w:ascii="宋体" w:hAnsi="宋体" w:cs="宋体" w:eastAsia="宋体" w:hint="default"/>
                <w:sz w:val="15"/>
                <w:szCs w:val="15"/>
              </w:rPr>
            </w:pPr>
            <w:r>
              <w:rPr>
                <w:rFonts w:ascii="宋体" w:hAnsi="宋体" w:cs="宋体" w:eastAsia="宋体" w:hint="default"/>
                <w:sz w:val="15"/>
                <w:szCs w:val="15"/>
              </w:rPr>
              <w:t>三、本期 增减变动 金额（减 少以 “－”号 填列）</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248,727,772.00</w:t>
            </w: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-267,733,192.67</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center"/>
              <w:rPr>
                <w:rFonts w:ascii="宋体" w:hAnsi="宋体" w:cs="宋体" w:eastAsia="宋体" w:hint="default"/>
                <w:sz w:val="15"/>
                <w:szCs w:val="15"/>
              </w:rPr>
            </w:pPr>
            <w:r>
              <w:rPr>
                <w:rFonts w:ascii="宋体"/>
                <w:sz w:val="15"/>
              </w:rPr>
              <w:t>-41,336,560.00</w:t>
            </w: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-397,299,030.67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-97,724,763.62</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-472,692,654.96</w:t>
            </w:r>
          </w:p>
        </w:tc>
      </w:tr>
      <w:tr>
        <w:trPr>
          <w:trHeight w:val="1031"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12" w:right="31"/>
              <w:jc w:val="both"/>
              <w:rPr>
                <w:rFonts w:ascii="宋体" w:hAnsi="宋体" w:cs="宋体" w:eastAsia="宋体" w:hint="default"/>
                <w:sz w:val="15"/>
                <w:szCs w:val="15"/>
              </w:rPr>
            </w:pPr>
            <w:r>
              <w:rPr>
                <w:rFonts w:ascii="宋体" w:hAnsi="宋体" w:cs="宋体" w:eastAsia="宋体" w:hint="default"/>
                <w:sz w:val="15"/>
                <w:szCs w:val="15"/>
              </w:rPr>
              <w:t>（一）综 合收益总 额</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-392,404,175.23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-3,361,217.64</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-395,765,392.87</w:t>
            </w:r>
          </w:p>
        </w:tc>
      </w:tr>
      <w:tr>
        <w:trPr>
          <w:trHeight w:val="1343"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12" w:right="31"/>
              <w:jc w:val="both"/>
              <w:rPr>
                <w:rFonts w:ascii="宋体" w:hAnsi="宋体" w:cs="宋体" w:eastAsia="宋体" w:hint="default"/>
                <w:sz w:val="15"/>
                <w:szCs w:val="15"/>
              </w:rPr>
            </w:pPr>
            <w:r>
              <w:rPr>
                <w:rFonts w:ascii="宋体" w:hAnsi="宋体" w:cs="宋体" w:eastAsia="宋体" w:hint="default"/>
                <w:sz w:val="15"/>
                <w:szCs w:val="15"/>
              </w:rPr>
              <w:t>（二）所 有者投入 和减少资 本</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-455,000.00</w:t>
            </w: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-18,550,420.67</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center"/>
              <w:rPr>
                <w:rFonts w:ascii="宋体" w:hAnsi="宋体" w:cs="宋体" w:eastAsia="宋体" w:hint="default"/>
                <w:sz w:val="15"/>
                <w:szCs w:val="15"/>
              </w:rPr>
            </w:pPr>
            <w:r>
              <w:rPr>
                <w:rFonts w:ascii="宋体"/>
                <w:sz w:val="15"/>
              </w:rPr>
              <w:t>-41,336,560.00</w:t>
            </w: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-91,933,637.84</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-69,602,498.51</w:t>
            </w:r>
          </w:p>
        </w:tc>
      </w:tr>
      <w:tr>
        <w:trPr>
          <w:trHeight w:val="1031"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12" w:right="18"/>
              <w:jc w:val="both"/>
              <w:rPr>
                <w:rFonts w:ascii="宋体" w:hAnsi="宋体" w:cs="宋体" w:eastAsia="宋体" w:hint="default"/>
                <w:sz w:val="15"/>
                <w:szCs w:val="15"/>
              </w:rPr>
            </w:pPr>
            <w:r>
              <w:rPr>
                <w:rFonts w:ascii="宋体" w:hAnsi="宋体" w:cs="宋体" w:eastAsia="宋体" w:hint="default"/>
                <w:spacing w:val="-13"/>
                <w:sz w:val="15"/>
                <w:szCs w:val="15"/>
              </w:rPr>
              <w:t>1</w:t>
            </w:r>
            <w:r>
              <w:rPr>
                <w:rFonts w:ascii="宋体" w:hAnsi="宋体" w:cs="宋体" w:eastAsia="宋体" w:hint="default"/>
                <w:spacing w:val="-13"/>
                <w:sz w:val="15"/>
                <w:szCs w:val="15"/>
              </w:rPr>
              <w:t>．所有者</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投入的普 通股</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-455,000.00</w:t>
            </w: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-3,090,360.00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99" w:right="0"/>
              <w:jc w:val="center"/>
              <w:rPr>
                <w:rFonts w:ascii="宋体" w:hAnsi="宋体" w:cs="宋体" w:eastAsia="宋体" w:hint="default"/>
                <w:sz w:val="15"/>
                <w:szCs w:val="15"/>
              </w:rPr>
            </w:pPr>
            <w:r>
              <w:rPr>
                <w:rFonts w:ascii="宋体"/>
                <w:sz w:val="15"/>
              </w:rPr>
              <w:t>-3,545,360.00</w:t>
            </w: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1344"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12" w:right="18"/>
              <w:jc w:val="both"/>
              <w:rPr>
                <w:rFonts w:ascii="宋体" w:hAnsi="宋体" w:cs="宋体" w:eastAsia="宋体" w:hint="default"/>
                <w:sz w:val="15"/>
                <w:szCs w:val="15"/>
              </w:rPr>
            </w:pPr>
            <w:r>
              <w:rPr>
                <w:rFonts w:ascii="宋体" w:hAnsi="宋体" w:cs="宋体" w:eastAsia="宋体" w:hint="default"/>
                <w:spacing w:val="-13"/>
                <w:sz w:val="15"/>
                <w:szCs w:val="15"/>
              </w:rPr>
              <w:t>2</w:t>
            </w:r>
            <w:r>
              <w:rPr>
                <w:rFonts w:ascii="宋体" w:hAnsi="宋体" w:cs="宋体" w:eastAsia="宋体" w:hint="default"/>
                <w:spacing w:val="-13"/>
                <w:sz w:val="15"/>
                <w:szCs w:val="15"/>
              </w:rPr>
              <w:t>．其他权</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益工具持 有者投入 资本</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12" w:right="18"/>
              <w:jc w:val="both"/>
              <w:rPr>
                <w:rFonts w:ascii="宋体" w:hAnsi="宋体" w:cs="宋体" w:eastAsia="宋体" w:hint="default"/>
                <w:sz w:val="15"/>
                <w:szCs w:val="15"/>
              </w:rPr>
            </w:pPr>
            <w:r>
              <w:rPr>
                <w:rFonts w:ascii="宋体" w:hAnsi="宋体" w:cs="宋体" w:eastAsia="宋体" w:hint="default"/>
                <w:spacing w:val="-13"/>
                <w:sz w:val="15"/>
                <w:szCs w:val="15"/>
              </w:rPr>
              <w:t>3</w:t>
            </w:r>
            <w:r>
              <w:rPr>
                <w:rFonts w:ascii="宋体" w:hAnsi="宋体" w:cs="宋体" w:eastAsia="宋体" w:hint="default"/>
                <w:spacing w:val="-13"/>
                <w:sz w:val="15"/>
                <w:szCs w:val="15"/>
              </w:rPr>
              <w:t>．股份支</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付计入所 有者权益 的金额</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3,343,383.10</w:t>
            </w: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176,340.71</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3,519,723.81</w:t>
            </w:r>
          </w:p>
        </w:tc>
      </w:tr>
      <w:tr>
        <w:trPr>
          <w:trHeight w:val="407"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1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-18,803,443.77</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3" w:right="0"/>
              <w:jc w:val="center"/>
              <w:rPr>
                <w:rFonts w:ascii="宋体" w:hAnsi="宋体" w:cs="宋体" w:eastAsia="宋体" w:hint="default"/>
                <w:sz w:val="15"/>
                <w:szCs w:val="15"/>
              </w:rPr>
            </w:pPr>
            <w:r>
              <w:rPr>
                <w:rFonts w:ascii="宋体"/>
                <w:sz w:val="15"/>
              </w:rPr>
              <w:t>-37,791,200.00</w:t>
            </w: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-92,109,978.55</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11"/>
              <w:jc w:val="right"/>
              <w:rPr>
                <w:rFonts w:ascii="宋体" w:hAnsi="宋体" w:cs="宋体" w:eastAsia="宋体" w:hint="default"/>
                <w:sz w:val="15"/>
                <w:szCs w:val="15"/>
              </w:rPr>
            </w:pPr>
            <w:r>
              <w:rPr>
                <w:rFonts w:ascii="宋体"/>
                <w:spacing w:val="-1"/>
                <w:sz w:val="15"/>
              </w:rPr>
              <w:t>-73,122,222.32</w:t>
            </w:r>
          </w:p>
        </w:tc>
      </w:tr>
      <w:tr>
        <w:trPr>
          <w:trHeight w:val="719"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4" w:lineRule="auto" w:before="74"/>
              <w:ind w:left="12" w:right="31"/>
              <w:jc w:val="left"/>
              <w:rPr>
                <w:rFonts w:ascii="宋体" w:hAnsi="宋体" w:cs="宋体" w:eastAsia="宋体" w:hint="default"/>
                <w:sz w:val="15"/>
                <w:szCs w:val="15"/>
              </w:rPr>
            </w:pPr>
            <w:r>
              <w:rPr>
                <w:rFonts w:ascii="宋体" w:hAnsi="宋体" w:cs="宋体" w:eastAsia="宋体" w:hint="default"/>
                <w:sz w:val="15"/>
                <w:szCs w:val="15"/>
              </w:rPr>
              <w:t>（三）利 润分配</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-4,894,855.44</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-2,429,908.14</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-7,324,763.58</w:t>
            </w:r>
          </w:p>
        </w:tc>
      </w:tr>
      <w:tr>
        <w:trPr>
          <w:trHeight w:val="719"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12" w:right="18"/>
              <w:jc w:val="left"/>
              <w:rPr>
                <w:rFonts w:ascii="宋体" w:hAnsi="宋体" w:cs="宋体" w:eastAsia="宋体" w:hint="default"/>
                <w:sz w:val="15"/>
                <w:szCs w:val="15"/>
              </w:rPr>
            </w:pPr>
            <w:r>
              <w:rPr>
                <w:rFonts w:ascii="宋体" w:hAnsi="宋体" w:cs="宋体" w:eastAsia="宋体" w:hint="default"/>
                <w:spacing w:val="-13"/>
                <w:sz w:val="15"/>
                <w:szCs w:val="15"/>
              </w:rPr>
              <w:t>1</w:t>
            </w:r>
            <w:r>
              <w:rPr>
                <w:rFonts w:ascii="宋体" w:hAnsi="宋体" w:cs="宋体" w:eastAsia="宋体" w:hint="default"/>
                <w:spacing w:val="-13"/>
                <w:sz w:val="15"/>
                <w:szCs w:val="15"/>
              </w:rPr>
              <w:t>．提取盈</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余公积</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12" w:right="18"/>
              <w:jc w:val="both"/>
              <w:rPr>
                <w:rFonts w:ascii="宋体" w:hAnsi="宋体" w:cs="宋体" w:eastAsia="宋体" w:hint="default"/>
                <w:sz w:val="15"/>
                <w:szCs w:val="15"/>
              </w:rPr>
            </w:pPr>
            <w:r>
              <w:rPr>
                <w:rFonts w:ascii="宋体" w:hAnsi="宋体" w:cs="宋体" w:eastAsia="宋体" w:hint="default"/>
                <w:spacing w:val="-13"/>
                <w:sz w:val="15"/>
                <w:szCs w:val="15"/>
              </w:rPr>
              <w:t>2</w:t>
            </w:r>
            <w:r>
              <w:rPr>
                <w:rFonts w:ascii="宋体" w:hAnsi="宋体" w:cs="宋体" w:eastAsia="宋体" w:hint="default"/>
                <w:spacing w:val="-13"/>
                <w:sz w:val="15"/>
                <w:szCs w:val="15"/>
              </w:rPr>
              <w:t>．提取一</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般风险准 备</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1344"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12" w:right="18"/>
              <w:jc w:val="both"/>
              <w:rPr>
                <w:rFonts w:ascii="宋体" w:hAnsi="宋体" w:cs="宋体" w:eastAsia="宋体" w:hint="default"/>
                <w:sz w:val="15"/>
                <w:szCs w:val="15"/>
              </w:rPr>
            </w:pPr>
            <w:r>
              <w:rPr>
                <w:rFonts w:ascii="宋体" w:hAnsi="宋体" w:cs="宋体" w:eastAsia="宋体" w:hint="default"/>
                <w:spacing w:val="-13"/>
                <w:sz w:val="15"/>
                <w:szCs w:val="15"/>
              </w:rPr>
              <w:t>3</w:t>
            </w:r>
            <w:r>
              <w:rPr>
                <w:rFonts w:ascii="宋体" w:hAnsi="宋体" w:cs="宋体" w:eastAsia="宋体" w:hint="default"/>
                <w:spacing w:val="-13"/>
                <w:sz w:val="15"/>
                <w:szCs w:val="15"/>
              </w:rPr>
              <w:t>．对所有</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者（或股 东）的分 配</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-4,894,855.44</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-2,429,908.14</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-7,324,763.58</w:t>
            </w:r>
          </w:p>
        </w:tc>
      </w:tr>
      <w:tr>
        <w:trPr>
          <w:trHeight w:val="415" w:hRule="exact"/>
        </w:trPr>
        <w:tc>
          <w:tcPr>
            <w:tcW w:w="6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74"/>
              <w:ind w:left="1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132" w:type="dxa"/>
            <w:tcBorders>
              <w:top w:val="single" w:sz="6" w:space="0" w:color="000000"/>
              <w:left w:val="single" w:sz="6" w:space="0" w:color="000000"/>
              <w:bottom w:val="single" w:sz="12" w:space="0" w:color="000000"/>
              <w:right w:val="single" w:sz="6" w:space="0" w:color="000000"/>
            </w:tcBorders>
          </w:tcPr>
          <w:p>
            <w:pPr/>
          </w:p>
        </w:tc>
        <w:tc>
          <w:tcPr>
            <w:tcW w:w="409" w:type="dxa"/>
            <w:tcBorders>
              <w:top w:val="single" w:sz="6" w:space="0" w:color="000000"/>
              <w:left w:val="single" w:sz="6" w:space="0" w:color="000000"/>
              <w:bottom w:val="single" w:sz="12" w:space="0" w:color="000000"/>
              <w:right w:val="single" w:sz="6" w:space="0" w:color="000000"/>
            </w:tcBorders>
          </w:tcPr>
          <w:p>
            <w:pPr/>
          </w:p>
        </w:tc>
        <w:tc>
          <w:tcPr>
            <w:tcW w:w="396" w:type="dxa"/>
            <w:tcBorders>
              <w:top w:val="single" w:sz="6" w:space="0" w:color="000000"/>
              <w:left w:val="single" w:sz="6" w:space="0" w:color="000000"/>
              <w:bottom w:val="single" w:sz="12" w:space="0" w:color="000000"/>
              <w:right w:val="single" w:sz="6" w:space="0" w:color="000000"/>
            </w:tcBorders>
          </w:tcPr>
          <w:p>
            <w:pPr/>
          </w:p>
        </w:tc>
        <w:tc>
          <w:tcPr>
            <w:tcW w:w="313" w:type="dxa"/>
            <w:tcBorders>
              <w:top w:val="single" w:sz="6" w:space="0" w:color="000000"/>
              <w:left w:val="single" w:sz="6" w:space="0" w:color="000000"/>
              <w:bottom w:val="single" w:sz="12" w:space="0" w:color="000000"/>
              <w:right w:val="single" w:sz="6" w:space="0" w:color="000000"/>
            </w:tcBorders>
          </w:tcPr>
          <w:p>
            <w:pPr/>
          </w:p>
        </w:tc>
        <w:tc>
          <w:tcPr>
            <w:tcW w:w="1337" w:type="dxa"/>
            <w:tcBorders>
              <w:top w:val="single" w:sz="6" w:space="0" w:color="000000"/>
              <w:left w:val="single" w:sz="6" w:space="0" w:color="000000"/>
              <w:bottom w:val="single" w:sz="12" w:space="0" w:color="000000"/>
              <w:right w:val="single" w:sz="6" w:space="0" w:color="000000"/>
            </w:tcBorders>
          </w:tcPr>
          <w:p>
            <w:pPr/>
          </w:p>
        </w:tc>
        <w:tc>
          <w:tcPr>
            <w:tcW w:w="1132" w:type="dxa"/>
            <w:tcBorders>
              <w:top w:val="single" w:sz="6" w:space="0" w:color="000000"/>
              <w:left w:val="single" w:sz="6" w:space="0" w:color="000000"/>
              <w:bottom w:val="single" w:sz="12" w:space="0" w:color="000000"/>
              <w:right w:val="single" w:sz="6" w:space="0" w:color="000000"/>
            </w:tcBorders>
          </w:tcPr>
          <w:p>
            <w:pPr/>
          </w:p>
        </w:tc>
        <w:tc>
          <w:tcPr>
            <w:tcW w:w="368" w:type="dxa"/>
            <w:tcBorders>
              <w:top w:val="single" w:sz="6" w:space="0" w:color="000000"/>
              <w:left w:val="single" w:sz="6" w:space="0" w:color="000000"/>
              <w:bottom w:val="single" w:sz="12" w:space="0" w:color="000000"/>
              <w:right w:val="single" w:sz="6" w:space="0" w:color="000000"/>
            </w:tcBorders>
          </w:tcPr>
          <w:p>
            <w:pPr/>
          </w:p>
        </w:tc>
        <w:tc>
          <w:tcPr>
            <w:tcW w:w="395" w:type="dxa"/>
            <w:tcBorders>
              <w:top w:val="single" w:sz="6" w:space="0" w:color="000000"/>
              <w:left w:val="single" w:sz="6" w:space="0" w:color="000000"/>
              <w:bottom w:val="single" w:sz="12" w:space="0" w:color="000000"/>
              <w:right w:val="single" w:sz="6" w:space="0" w:color="000000"/>
            </w:tcBorders>
          </w:tcPr>
          <w:p>
            <w:pPr/>
          </w:p>
        </w:tc>
        <w:tc>
          <w:tcPr>
            <w:tcW w:w="1078" w:type="dxa"/>
            <w:tcBorders>
              <w:top w:val="single" w:sz="6" w:space="0" w:color="000000"/>
              <w:left w:val="single" w:sz="6" w:space="0" w:color="000000"/>
              <w:bottom w:val="single" w:sz="12" w:space="0" w:color="000000"/>
              <w:right w:val="single" w:sz="6" w:space="0" w:color="000000"/>
            </w:tcBorders>
          </w:tcPr>
          <w:p>
            <w:pPr/>
          </w:p>
        </w:tc>
        <w:tc>
          <w:tcPr>
            <w:tcW w:w="532" w:type="dxa"/>
            <w:tcBorders>
              <w:top w:val="single" w:sz="6" w:space="0" w:color="000000"/>
              <w:left w:val="single" w:sz="6" w:space="0" w:color="000000"/>
              <w:bottom w:val="single" w:sz="12" w:space="0" w:color="000000"/>
              <w:right w:val="single" w:sz="6" w:space="0" w:color="000000"/>
            </w:tcBorders>
          </w:tcPr>
          <w:p>
            <w:pPr/>
          </w:p>
        </w:tc>
        <w:tc>
          <w:tcPr>
            <w:tcW w:w="1187" w:type="dxa"/>
            <w:tcBorders>
              <w:top w:val="single" w:sz="6" w:space="0" w:color="000000"/>
              <w:left w:val="single" w:sz="6" w:space="0" w:color="000000"/>
              <w:bottom w:val="single" w:sz="12" w:space="0" w:color="000000"/>
              <w:right w:val="single" w:sz="6" w:space="0" w:color="000000"/>
            </w:tcBorders>
          </w:tcPr>
          <w:p>
            <w:pPr/>
          </w:p>
        </w:tc>
        <w:tc>
          <w:tcPr>
            <w:tcW w:w="1118" w:type="dxa"/>
            <w:tcBorders>
              <w:top w:val="single" w:sz="6" w:space="0" w:color="000000"/>
              <w:left w:val="single" w:sz="6" w:space="0" w:color="000000"/>
              <w:bottom w:val="single" w:sz="12" w:space="0" w:color="000000"/>
              <w:right w:val="single" w:sz="6" w:space="0" w:color="000000"/>
            </w:tcBorders>
          </w:tcPr>
          <w:p>
            <w:pPr/>
          </w:p>
        </w:tc>
        <w:tc>
          <w:tcPr>
            <w:tcW w:w="1295"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0" w:top="1100" w:bottom="1180" w:left="2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9" w:type="dxa"/>
        <w:tblLayout w:type="fixed"/>
        <w:tblCellMar>
          <w:top w:w="0" w:type="dxa"/>
          <w:left w:w="0" w:type="dxa"/>
          <w:bottom w:w="0" w:type="dxa"/>
          <w:right w:w="0" w:type="dxa"/>
        </w:tblCellMar>
        <w:tblLook w:val="01E0"/>
      </w:tblPr>
      <w:tblGrid>
        <w:gridCol w:w="668"/>
        <w:gridCol w:w="1132"/>
        <w:gridCol w:w="409"/>
        <w:gridCol w:w="396"/>
        <w:gridCol w:w="313"/>
        <w:gridCol w:w="1337"/>
        <w:gridCol w:w="1132"/>
        <w:gridCol w:w="368"/>
        <w:gridCol w:w="395"/>
        <w:gridCol w:w="1078"/>
        <w:gridCol w:w="532"/>
        <w:gridCol w:w="1187"/>
        <w:gridCol w:w="1118"/>
        <w:gridCol w:w="1295"/>
      </w:tblGrid>
      <w:tr>
        <w:trPr>
          <w:trHeight w:val="1039" w:hRule="exact"/>
        </w:trPr>
        <w:tc>
          <w:tcPr>
            <w:tcW w:w="6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12" w:right="31"/>
              <w:jc w:val="both"/>
              <w:rPr>
                <w:rFonts w:ascii="宋体" w:hAnsi="宋体" w:cs="宋体" w:eastAsia="宋体" w:hint="default"/>
                <w:sz w:val="15"/>
                <w:szCs w:val="15"/>
              </w:rPr>
            </w:pPr>
            <w:r>
              <w:rPr>
                <w:rFonts w:ascii="宋体" w:hAnsi="宋体" w:cs="宋体" w:eastAsia="宋体" w:hint="default"/>
                <w:sz w:val="15"/>
                <w:szCs w:val="15"/>
              </w:rPr>
              <w:t>（四）所 有者权益 内部结转</w:t>
            </w:r>
          </w:p>
        </w:tc>
        <w:tc>
          <w:tcPr>
            <w:tcW w:w="11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6" w:right="0"/>
              <w:jc w:val="left"/>
              <w:rPr>
                <w:rFonts w:ascii="宋体" w:hAnsi="宋体" w:cs="宋体" w:eastAsia="宋体" w:hint="default"/>
                <w:sz w:val="15"/>
                <w:szCs w:val="15"/>
              </w:rPr>
            </w:pPr>
            <w:r>
              <w:rPr>
                <w:rFonts w:ascii="宋体"/>
                <w:sz w:val="15"/>
              </w:rPr>
              <w:t>249,182,772.00</w:t>
            </w:r>
          </w:p>
        </w:tc>
        <w:tc>
          <w:tcPr>
            <w:tcW w:w="409" w:type="dxa"/>
            <w:tcBorders>
              <w:top w:val="single" w:sz="12" w:space="0" w:color="000000"/>
              <w:left w:val="single" w:sz="6" w:space="0" w:color="000000"/>
              <w:bottom w:val="single" w:sz="6" w:space="0" w:color="000000"/>
              <w:right w:val="single" w:sz="6" w:space="0" w:color="000000"/>
            </w:tcBorders>
          </w:tcPr>
          <w:p>
            <w:pPr/>
          </w:p>
        </w:tc>
        <w:tc>
          <w:tcPr>
            <w:tcW w:w="396" w:type="dxa"/>
            <w:tcBorders>
              <w:top w:val="single" w:sz="12" w:space="0" w:color="000000"/>
              <w:left w:val="single" w:sz="6" w:space="0" w:color="000000"/>
              <w:bottom w:val="single" w:sz="6" w:space="0" w:color="000000"/>
              <w:right w:val="single" w:sz="6" w:space="0" w:color="000000"/>
            </w:tcBorders>
          </w:tcPr>
          <w:p>
            <w:pPr/>
          </w:p>
        </w:tc>
        <w:tc>
          <w:tcPr>
            <w:tcW w:w="313" w:type="dxa"/>
            <w:tcBorders>
              <w:top w:val="single" w:sz="12" w:space="0" w:color="000000"/>
              <w:left w:val="single" w:sz="6" w:space="0" w:color="000000"/>
              <w:bottom w:val="single" w:sz="6" w:space="0" w:color="000000"/>
              <w:right w:val="single" w:sz="6" w:space="0" w:color="000000"/>
            </w:tcBorders>
          </w:tcPr>
          <w:p>
            <w:pPr/>
          </w:p>
        </w:tc>
        <w:tc>
          <w:tcPr>
            <w:tcW w:w="13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-249,182,772.00</w:t>
            </w:r>
          </w:p>
        </w:tc>
        <w:tc>
          <w:tcPr>
            <w:tcW w:w="1132" w:type="dxa"/>
            <w:tcBorders>
              <w:top w:val="single" w:sz="12" w:space="0" w:color="000000"/>
              <w:left w:val="single" w:sz="6" w:space="0" w:color="000000"/>
              <w:bottom w:val="single" w:sz="6" w:space="0" w:color="000000"/>
              <w:right w:val="single" w:sz="6" w:space="0" w:color="000000"/>
            </w:tcBorders>
          </w:tcPr>
          <w:p>
            <w:pPr/>
          </w:p>
        </w:tc>
        <w:tc>
          <w:tcPr>
            <w:tcW w:w="368" w:type="dxa"/>
            <w:tcBorders>
              <w:top w:val="single" w:sz="12" w:space="0" w:color="000000"/>
              <w:left w:val="single" w:sz="6" w:space="0" w:color="000000"/>
              <w:bottom w:val="single" w:sz="6" w:space="0" w:color="000000"/>
              <w:right w:val="single" w:sz="6" w:space="0" w:color="000000"/>
            </w:tcBorders>
          </w:tcPr>
          <w:p>
            <w:pPr/>
          </w:p>
        </w:tc>
        <w:tc>
          <w:tcPr>
            <w:tcW w:w="395" w:type="dxa"/>
            <w:tcBorders>
              <w:top w:val="single" w:sz="12" w:space="0" w:color="000000"/>
              <w:left w:val="single" w:sz="6" w:space="0" w:color="000000"/>
              <w:bottom w:val="single" w:sz="6" w:space="0" w:color="000000"/>
              <w:right w:val="single" w:sz="6" w:space="0" w:color="000000"/>
            </w:tcBorders>
          </w:tcPr>
          <w:p>
            <w:pPr/>
          </w:p>
        </w:tc>
        <w:tc>
          <w:tcPr>
            <w:tcW w:w="1078" w:type="dxa"/>
            <w:tcBorders>
              <w:top w:val="single" w:sz="12" w:space="0" w:color="000000"/>
              <w:left w:val="single" w:sz="6" w:space="0" w:color="000000"/>
              <w:bottom w:val="single" w:sz="6" w:space="0" w:color="000000"/>
              <w:right w:val="single" w:sz="6" w:space="0" w:color="000000"/>
            </w:tcBorders>
          </w:tcPr>
          <w:p>
            <w:pPr/>
          </w:p>
        </w:tc>
        <w:tc>
          <w:tcPr>
            <w:tcW w:w="532" w:type="dxa"/>
            <w:tcBorders>
              <w:top w:val="single" w:sz="12" w:space="0" w:color="000000"/>
              <w:left w:val="single" w:sz="6" w:space="0" w:color="000000"/>
              <w:bottom w:val="single" w:sz="6" w:space="0" w:color="000000"/>
              <w:right w:val="single" w:sz="6" w:space="0" w:color="000000"/>
            </w:tcBorders>
          </w:tcPr>
          <w:p>
            <w:pPr/>
          </w:p>
        </w:tc>
        <w:tc>
          <w:tcPr>
            <w:tcW w:w="1187" w:type="dxa"/>
            <w:tcBorders>
              <w:top w:val="single" w:sz="12" w:space="0" w:color="000000"/>
              <w:left w:val="single" w:sz="6" w:space="0" w:color="000000"/>
              <w:bottom w:val="single" w:sz="6" w:space="0" w:color="000000"/>
              <w:right w:val="single" w:sz="6" w:space="0" w:color="000000"/>
            </w:tcBorders>
          </w:tcPr>
          <w:p>
            <w:pPr/>
          </w:p>
        </w:tc>
        <w:tc>
          <w:tcPr>
            <w:tcW w:w="1118" w:type="dxa"/>
            <w:tcBorders>
              <w:top w:val="single" w:sz="12" w:space="0" w:color="000000"/>
              <w:left w:val="single" w:sz="6" w:space="0" w:color="000000"/>
              <w:bottom w:val="single" w:sz="6" w:space="0" w:color="000000"/>
              <w:right w:val="single" w:sz="6" w:space="0" w:color="000000"/>
            </w:tcBorders>
          </w:tcPr>
          <w:p>
            <w:pPr/>
          </w:p>
        </w:tc>
        <w:tc>
          <w:tcPr>
            <w:tcW w:w="1295" w:type="dxa"/>
            <w:tcBorders>
              <w:top w:val="single" w:sz="12" w:space="0" w:color="000000"/>
              <w:left w:val="single" w:sz="6" w:space="0" w:color="000000"/>
              <w:bottom w:val="single" w:sz="6" w:space="0" w:color="000000"/>
              <w:right w:val="single" w:sz="12" w:space="0" w:color="000000"/>
            </w:tcBorders>
          </w:tcPr>
          <w:p>
            <w:pPr/>
          </w:p>
        </w:tc>
      </w:tr>
      <w:tr>
        <w:trPr>
          <w:trHeight w:val="1343"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12" w:right="18"/>
              <w:jc w:val="both"/>
              <w:rPr>
                <w:rFonts w:ascii="宋体" w:hAnsi="宋体" w:cs="宋体" w:eastAsia="宋体" w:hint="default"/>
                <w:sz w:val="15"/>
                <w:szCs w:val="15"/>
              </w:rPr>
            </w:pPr>
            <w:r>
              <w:rPr>
                <w:rFonts w:ascii="宋体" w:hAnsi="宋体" w:cs="宋体" w:eastAsia="宋体" w:hint="default"/>
                <w:spacing w:val="-13"/>
                <w:sz w:val="15"/>
                <w:szCs w:val="15"/>
              </w:rPr>
              <w:t>1</w:t>
            </w:r>
            <w:r>
              <w:rPr>
                <w:rFonts w:ascii="宋体" w:hAnsi="宋体" w:cs="宋体" w:eastAsia="宋体" w:hint="default"/>
                <w:spacing w:val="-13"/>
                <w:sz w:val="15"/>
                <w:szCs w:val="15"/>
              </w:rPr>
              <w:t>．资本公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积转增资 本（或股 本）</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46" w:right="0"/>
              <w:jc w:val="left"/>
              <w:rPr>
                <w:rFonts w:ascii="宋体" w:hAnsi="宋体" w:cs="宋体" w:eastAsia="宋体" w:hint="default"/>
                <w:sz w:val="15"/>
                <w:szCs w:val="15"/>
              </w:rPr>
            </w:pPr>
            <w:r>
              <w:rPr>
                <w:rFonts w:ascii="宋体"/>
                <w:sz w:val="15"/>
              </w:rPr>
              <w:t>249,182,772.00</w:t>
            </w: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-249,182,772.00</w:t>
            </w: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12" w:right="18"/>
              <w:jc w:val="both"/>
              <w:rPr>
                <w:rFonts w:ascii="宋体" w:hAnsi="宋体" w:cs="宋体" w:eastAsia="宋体" w:hint="default"/>
                <w:sz w:val="15"/>
                <w:szCs w:val="15"/>
              </w:rPr>
            </w:pPr>
            <w:r>
              <w:rPr>
                <w:rFonts w:ascii="宋体" w:hAnsi="宋体" w:cs="宋体" w:eastAsia="宋体" w:hint="default"/>
                <w:spacing w:val="-13"/>
                <w:sz w:val="15"/>
                <w:szCs w:val="15"/>
              </w:rPr>
              <w:t>2</w:t>
            </w:r>
            <w:r>
              <w:rPr>
                <w:rFonts w:ascii="宋体" w:hAnsi="宋体" w:cs="宋体" w:eastAsia="宋体" w:hint="default"/>
                <w:spacing w:val="-13"/>
                <w:sz w:val="15"/>
                <w:szCs w:val="15"/>
              </w:rPr>
              <w:t>．盈余公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积转增资 本（或股 本）</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12" w:right="18"/>
              <w:jc w:val="both"/>
              <w:rPr>
                <w:rFonts w:ascii="宋体" w:hAnsi="宋体" w:cs="宋体" w:eastAsia="宋体" w:hint="default"/>
                <w:sz w:val="15"/>
                <w:szCs w:val="15"/>
              </w:rPr>
            </w:pPr>
            <w:r>
              <w:rPr>
                <w:rFonts w:ascii="宋体" w:hAnsi="宋体" w:cs="宋体" w:eastAsia="宋体" w:hint="default"/>
                <w:spacing w:val="-13"/>
                <w:sz w:val="15"/>
                <w:szCs w:val="15"/>
              </w:rPr>
              <w:t>3</w:t>
            </w:r>
            <w:r>
              <w:rPr>
                <w:rFonts w:ascii="宋体" w:hAnsi="宋体" w:cs="宋体" w:eastAsia="宋体" w:hint="default"/>
                <w:spacing w:val="-13"/>
                <w:sz w:val="15"/>
                <w:szCs w:val="15"/>
              </w:rPr>
              <w:t>．盈余公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积弥补亏 损</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12" w:right="18"/>
              <w:jc w:val="both"/>
              <w:rPr>
                <w:rFonts w:ascii="宋体" w:hAnsi="宋体" w:cs="宋体" w:eastAsia="宋体" w:hint="default"/>
                <w:sz w:val="15"/>
                <w:szCs w:val="15"/>
              </w:rPr>
            </w:pPr>
            <w:r>
              <w:rPr>
                <w:rFonts w:ascii="宋体" w:hAnsi="宋体" w:cs="宋体" w:eastAsia="宋体" w:hint="default"/>
                <w:spacing w:val="-13"/>
                <w:sz w:val="15"/>
                <w:szCs w:val="15"/>
              </w:rPr>
              <w:t>4</w:t>
            </w:r>
            <w:r>
              <w:rPr>
                <w:rFonts w:ascii="宋体" w:hAnsi="宋体" w:cs="宋体" w:eastAsia="宋体" w:hint="default"/>
                <w:spacing w:val="-13"/>
                <w:sz w:val="15"/>
                <w:szCs w:val="15"/>
              </w:rPr>
              <w:t>．设定受</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益计划变 动额结转 留存收益</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12"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12" w:right="31"/>
              <w:jc w:val="left"/>
              <w:rPr>
                <w:rFonts w:ascii="宋体" w:hAnsi="宋体" w:cs="宋体" w:eastAsia="宋体" w:hint="default"/>
                <w:sz w:val="15"/>
                <w:szCs w:val="15"/>
              </w:rPr>
            </w:pPr>
            <w:r>
              <w:rPr>
                <w:rFonts w:ascii="宋体" w:hAnsi="宋体" w:cs="宋体" w:eastAsia="宋体" w:hint="default"/>
                <w:sz w:val="15"/>
                <w:szCs w:val="15"/>
              </w:rPr>
              <w:t>（五）专 项储备</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4"/>
              <w:ind w:left="12" w:right="18"/>
              <w:jc w:val="left"/>
              <w:rPr>
                <w:rFonts w:ascii="宋体" w:hAnsi="宋体" w:cs="宋体" w:eastAsia="宋体" w:hint="default"/>
                <w:sz w:val="15"/>
                <w:szCs w:val="15"/>
              </w:rPr>
            </w:pPr>
            <w:r>
              <w:rPr>
                <w:rFonts w:ascii="宋体" w:hAnsi="宋体" w:cs="宋体" w:eastAsia="宋体" w:hint="default"/>
                <w:spacing w:val="-13"/>
                <w:sz w:val="15"/>
                <w:szCs w:val="15"/>
              </w:rPr>
              <w:t>1</w:t>
            </w:r>
            <w:r>
              <w:rPr>
                <w:rFonts w:ascii="宋体" w:hAnsi="宋体" w:cs="宋体" w:eastAsia="宋体" w:hint="default"/>
                <w:spacing w:val="-13"/>
                <w:sz w:val="15"/>
                <w:szCs w:val="15"/>
              </w:rPr>
              <w:t>．本期提</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取</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4" w:lineRule="auto" w:before="74"/>
              <w:ind w:left="12" w:right="18"/>
              <w:jc w:val="left"/>
              <w:rPr>
                <w:rFonts w:ascii="宋体" w:hAnsi="宋体" w:cs="宋体" w:eastAsia="宋体" w:hint="default"/>
                <w:sz w:val="15"/>
                <w:szCs w:val="15"/>
              </w:rPr>
            </w:pPr>
            <w:r>
              <w:rPr>
                <w:rFonts w:ascii="宋体" w:hAnsi="宋体" w:cs="宋体" w:eastAsia="宋体" w:hint="default"/>
                <w:spacing w:val="-13"/>
                <w:sz w:val="15"/>
                <w:szCs w:val="15"/>
              </w:rPr>
              <w:t>2</w:t>
            </w:r>
            <w:r>
              <w:rPr>
                <w:rFonts w:ascii="宋体" w:hAnsi="宋体" w:cs="宋体" w:eastAsia="宋体" w:hint="default"/>
                <w:spacing w:val="-13"/>
                <w:sz w:val="15"/>
                <w:szCs w:val="15"/>
              </w:rPr>
              <w:t>．本期使</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用</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6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4" w:lineRule="auto" w:before="74"/>
              <w:ind w:left="12" w:right="31"/>
              <w:jc w:val="left"/>
              <w:rPr>
                <w:rFonts w:ascii="宋体" w:hAnsi="宋体" w:cs="宋体" w:eastAsia="宋体" w:hint="default"/>
                <w:sz w:val="15"/>
                <w:szCs w:val="15"/>
              </w:rPr>
            </w:pPr>
            <w:r>
              <w:rPr>
                <w:rFonts w:ascii="宋体" w:hAnsi="宋体" w:cs="宋体" w:eastAsia="宋体" w:hint="default"/>
                <w:sz w:val="15"/>
                <w:szCs w:val="15"/>
              </w:rPr>
              <w:t>（六）其 他</w:t>
            </w:r>
          </w:p>
        </w:tc>
        <w:tc>
          <w:tcPr>
            <w:tcW w:w="1132"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13"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368"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6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1" w:lineRule="auto" w:before="75"/>
              <w:ind w:left="12" w:right="31"/>
              <w:jc w:val="left"/>
              <w:rPr>
                <w:rFonts w:ascii="宋体" w:hAnsi="宋体" w:cs="宋体" w:eastAsia="宋体" w:hint="default"/>
                <w:sz w:val="15"/>
                <w:szCs w:val="15"/>
              </w:rPr>
            </w:pPr>
            <w:r>
              <w:rPr>
                <w:rFonts w:ascii="宋体" w:hAnsi="宋体" w:cs="宋体" w:eastAsia="宋体" w:hint="default"/>
                <w:sz w:val="15"/>
                <w:szCs w:val="15"/>
              </w:rPr>
              <w:t>四、本期 期末余额</w:t>
            </w:r>
          </w:p>
        </w:tc>
        <w:tc>
          <w:tcPr>
            <w:tcW w:w="1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6" w:right="0"/>
              <w:jc w:val="left"/>
              <w:rPr>
                <w:rFonts w:ascii="宋体" w:hAnsi="宋体" w:cs="宋体" w:eastAsia="宋体" w:hint="default"/>
                <w:sz w:val="15"/>
                <w:szCs w:val="15"/>
              </w:rPr>
            </w:pPr>
            <w:r>
              <w:rPr>
                <w:rFonts w:ascii="宋体"/>
                <w:sz w:val="15"/>
              </w:rPr>
              <w:t>414,849,620.00</w:t>
            </w:r>
          </w:p>
        </w:tc>
        <w:tc>
          <w:tcPr>
            <w:tcW w:w="409" w:type="dxa"/>
            <w:tcBorders>
              <w:top w:val="single" w:sz="6" w:space="0" w:color="000000"/>
              <w:left w:val="single" w:sz="6" w:space="0" w:color="000000"/>
              <w:bottom w:val="single" w:sz="12" w:space="0" w:color="000000"/>
              <w:right w:val="single" w:sz="6" w:space="0" w:color="000000"/>
            </w:tcBorders>
          </w:tcPr>
          <w:p>
            <w:pPr/>
          </w:p>
        </w:tc>
        <w:tc>
          <w:tcPr>
            <w:tcW w:w="396" w:type="dxa"/>
            <w:tcBorders>
              <w:top w:val="single" w:sz="6" w:space="0" w:color="000000"/>
              <w:left w:val="single" w:sz="6" w:space="0" w:color="000000"/>
              <w:bottom w:val="single" w:sz="12" w:space="0" w:color="000000"/>
              <w:right w:val="single" w:sz="6" w:space="0" w:color="000000"/>
            </w:tcBorders>
          </w:tcPr>
          <w:p>
            <w:pPr/>
          </w:p>
        </w:tc>
        <w:tc>
          <w:tcPr>
            <w:tcW w:w="313" w:type="dxa"/>
            <w:tcBorders>
              <w:top w:val="single" w:sz="6" w:space="0" w:color="000000"/>
              <w:left w:val="single" w:sz="6" w:space="0" w:color="000000"/>
              <w:bottom w:val="single" w:sz="12" w:space="0" w:color="000000"/>
              <w:right w:val="single" w:sz="6" w:space="0" w:color="000000"/>
            </w:tcBorders>
          </w:tcPr>
          <w:p>
            <w:pPr/>
          </w:p>
        </w:tc>
        <w:tc>
          <w:tcPr>
            <w:tcW w:w="1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769,199,153.53</w:t>
            </w:r>
          </w:p>
        </w:tc>
        <w:tc>
          <w:tcPr>
            <w:tcW w:w="1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21" w:right="0"/>
              <w:jc w:val="left"/>
              <w:rPr>
                <w:rFonts w:ascii="宋体" w:hAnsi="宋体" w:cs="宋体" w:eastAsia="宋体" w:hint="default"/>
                <w:sz w:val="15"/>
                <w:szCs w:val="15"/>
              </w:rPr>
            </w:pPr>
            <w:r>
              <w:rPr>
                <w:rFonts w:ascii="宋体"/>
                <w:sz w:val="15"/>
              </w:rPr>
              <w:t>54,115,440.00</w:t>
            </w:r>
          </w:p>
        </w:tc>
        <w:tc>
          <w:tcPr>
            <w:tcW w:w="368" w:type="dxa"/>
            <w:tcBorders>
              <w:top w:val="single" w:sz="6" w:space="0" w:color="000000"/>
              <w:left w:val="single" w:sz="6" w:space="0" w:color="000000"/>
              <w:bottom w:val="single" w:sz="12" w:space="0" w:color="000000"/>
              <w:right w:val="single" w:sz="6" w:space="0" w:color="000000"/>
            </w:tcBorders>
          </w:tcPr>
          <w:p>
            <w:pPr/>
          </w:p>
        </w:tc>
        <w:tc>
          <w:tcPr>
            <w:tcW w:w="395" w:type="dxa"/>
            <w:tcBorders>
              <w:top w:val="single" w:sz="6" w:space="0" w:color="000000"/>
              <w:left w:val="single" w:sz="6" w:space="0" w:color="000000"/>
              <w:bottom w:val="single" w:sz="12" w:space="0" w:color="000000"/>
              <w:right w:val="single" w:sz="6" w:space="0" w:color="000000"/>
            </w:tcBorders>
          </w:tcPr>
          <w:p>
            <w:pP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68" w:right="0"/>
              <w:jc w:val="left"/>
              <w:rPr>
                <w:rFonts w:ascii="宋体" w:hAnsi="宋体" w:cs="宋体" w:eastAsia="宋体" w:hint="default"/>
                <w:sz w:val="15"/>
                <w:szCs w:val="15"/>
              </w:rPr>
            </w:pPr>
            <w:r>
              <w:rPr>
                <w:rFonts w:ascii="宋体"/>
                <w:sz w:val="15"/>
              </w:rPr>
              <w:t>21,281,039.35</w:t>
            </w:r>
          </w:p>
        </w:tc>
        <w:tc>
          <w:tcPr>
            <w:tcW w:w="532" w:type="dxa"/>
            <w:tcBorders>
              <w:top w:val="single" w:sz="6" w:space="0" w:color="000000"/>
              <w:left w:val="single" w:sz="6" w:space="0" w:color="000000"/>
              <w:bottom w:val="single" w:sz="12" w:space="0" w:color="000000"/>
              <w:right w:val="single" w:sz="6" w:space="0" w:color="000000"/>
            </w:tcBorders>
          </w:tcPr>
          <w:p>
            <w:pPr/>
          </w:p>
        </w:tc>
        <w:tc>
          <w:tcPr>
            <w:tcW w:w="11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7" w:right="0"/>
              <w:jc w:val="left"/>
              <w:rPr>
                <w:rFonts w:ascii="宋体" w:hAnsi="宋体" w:cs="宋体" w:eastAsia="宋体" w:hint="default"/>
                <w:sz w:val="15"/>
                <w:szCs w:val="15"/>
              </w:rPr>
            </w:pPr>
            <w:r>
              <w:rPr>
                <w:rFonts w:ascii="宋体"/>
                <w:sz w:val="15"/>
              </w:rPr>
              <w:t>-116,859,807.86</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83" w:right="0"/>
              <w:jc w:val="left"/>
              <w:rPr>
                <w:rFonts w:ascii="宋体" w:hAnsi="宋体" w:cs="宋体" w:eastAsia="宋体" w:hint="default"/>
                <w:sz w:val="15"/>
                <w:szCs w:val="15"/>
              </w:rPr>
            </w:pPr>
            <w:r>
              <w:rPr>
                <w:rFonts w:ascii="宋体"/>
                <w:sz w:val="15"/>
              </w:rPr>
              <w:t>5,701,653.19</w:t>
            </w:r>
          </w:p>
        </w:tc>
        <w:tc>
          <w:tcPr>
            <w:tcW w:w="12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58" w:right="0"/>
              <w:jc w:val="left"/>
              <w:rPr>
                <w:rFonts w:ascii="宋体" w:hAnsi="宋体" w:cs="宋体" w:eastAsia="宋体" w:hint="default"/>
                <w:sz w:val="15"/>
                <w:szCs w:val="15"/>
              </w:rPr>
            </w:pPr>
            <w:r>
              <w:rPr>
                <w:rFonts w:ascii="宋体"/>
                <w:sz w:val="15"/>
              </w:rPr>
              <w:t>1,040,056,218.21</w:t>
            </w:r>
          </w:p>
        </w:tc>
      </w:tr>
    </w:tbl>
    <w:p>
      <w:pPr>
        <w:spacing w:line="240" w:lineRule="auto" w:before="8"/>
        <w:rPr>
          <w:rFonts w:ascii="Times New Roman" w:hAnsi="Times New Roman" w:cs="Times New Roman" w:eastAsia="Times New Roman" w:hint="default"/>
          <w:sz w:val="21"/>
          <w:szCs w:val="21"/>
        </w:rPr>
      </w:pPr>
    </w:p>
    <w:p>
      <w:pPr>
        <w:pStyle w:val="Heading4"/>
        <w:spacing w:line="240" w:lineRule="auto" w:before="35"/>
        <w:ind w:left="954" w:right="82"/>
        <w:jc w:val="left"/>
        <w:rPr>
          <w:b w:val="0"/>
          <w:bCs w:val="0"/>
        </w:rPr>
      </w:pPr>
      <w:bookmarkStart w:name="8、母公司所有者权益变动表" w:id="164"/>
      <w:bookmarkEnd w:id="164"/>
      <w:r>
        <w:rPr>
          <w:b w:val="0"/>
          <w:bCs w:val="0"/>
        </w:rPr>
      </w:r>
      <w:r>
        <w:rPr>
          <w:rFonts w:ascii="宋体" w:hAnsi="宋体" w:cs="宋体" w:eastAsia="宋体" w:hint="default"/>
        </w:rPr>
        <w:t>8</w:t>
      </w:r>
      <w:r>
        <w:rPr/>
        <w:t>、母公司所有者权益变动表</w:t>
      </w:r>
      <w:r>
        <w:rPr>
          <w:b w:val="0"/>
          <w:bCs w:val="0"/>
        </w:rPr>
      </w:r>
    </w:p>
    <w:p>
      <w:pPr>
        <w:spacing w:line="240" w:lineRule="auto" w:before="5"/>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77" w:footer="1000" w:top="1100" w:bottom="1180" w:left="180" w:right="0"/>
        </w:sectPr>
      </w:pPr>
    </w:p>
    <w:p>
      <w:pPr>
        <w:pStyle w:val="BodyText"/>
        <w:spacing w:line="240" w:lineRule="auto" w:before="35"/>
        <w:ind w:left="954" w:right="-2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935" w:right="1111"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580" w:bottom="700" w:left="180" w:right="0"/>
          <w:cols w:num="2" w:equalWidth="0">
            <w:col w:w="1795" w:space="7125"/>
            <w:col w:w="2810"/>
          </w:cols>
        </w:sectPr>
      </w:pPr>
    </w:p>
    <w:p>
      <w:pPr>
        <w:spacing w:line="240" w:lineRule="auto" w:before="1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568"/>
        <w:gridCol w:w="1157"/>
        <w:gridCol w:w="371"/>
        <w:gridCol w:w="423"/>
        <w:gridCol w:w="263"/>
        <w:gridCol w:w="1155"/>
        <w:gridCol w:w="1132"/>
        <w:gridCol w:w="559"/>
        <w:gridCol w:w="437"/>
        <w:gridCol w:w="1269"/>
        <w:gridCol w:w="1472"/>
        <w:gridCol w:w="1487"/>
      </w:tblGrid>
      <w:tr>
        <w:trPr>
          <w:trHeight w:val="415" w:hRule="exact"/>
        </w:trPr>
        <w:tc>
          <w:tcPr>
            <w:tcW w:w="1568" w:type="dxa"/>
            <w:vMerge w:val="restart"/>
            <w:tcBorders>
              <w:top w:val="single" w:sz="12" w:space="0" w:color="000000"/>
              <w:left w:val="single" w:sz="12" w:space="0" w:color="000000"/>
              <w:right w:val="single" w:sz="6" w:space="0" w:color="000000"/>
            </w:tcBorders>
            <w:shd w:val="clear" w:color="auto" w:fill="D2D2D2"/>
          </w:tcPr>
          <w:p>
            <w:pPr/>
          </w:p>
        </w:tc>
        <w:tc>
          <w:tcPr>
            <w:tcW w:w="9724"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74"/>
              <w:ind w:left="9"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187" w:hRule="exact"/>
        </w:trPr>
        <w:tc>
          <w:tcPr>
            <w:tcW w:w="1568" w:type="dxa"/>
            <w:vMerge/>
            <w:tcBorders>
              <w:left w:val="single" w:sz="12" w:space="0" w:color="000000"/>
              <w:bottom w:val="nil" w:sz="6" w:space="0" w:color="auto"/>
              <w:right w:val="single" w:sz="6" w:space="0" w:color="000000"/>
            </w:tcBorders>
            <w:shd w:val="clear" w:color="auto" w:fill="D2D2D2"/>
          </w:tcPr>
          <w:p>
            <w:pPr/>
          </w:p>
        </w:tc>
        <w:tc>
          <w:tcPr>
            <w:tcW w:w="1157" w:type="dxa"/>
            <w:vMerge w:val="restart"/>
            <w:tcBorders>
              <w:top w:val="single" w:sz="6" w:space="0" w:color="000000"/>
              <w:left w:val="single" w:sz="6" w:space="0" w:color="000000"/>
              <w:right w:val="single" w:sz="6" w:space="0" w:color="000000"/>
            </w:tcBorders>
            <w:shd w:val="clear" w:color="auto" w:fill="D2D2D2"/>
          </w:tcPr>
          <w:p>
            <w:pPr/>
          </w:p>
        </w:tc>
        <w:tc>
          <w:tcPr>
            <w:tcW w:w="105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4"/>
              <w:ind w:left="70"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55" w:type="dxa"/>
            <w:vMerge w:val="restart"/>
            <w:tcBorders>
              <w:top w:val="single" w:sz="6" w:space="0" w:color="000000"/>
              <w:left w:val="single" w:sz="6" w:space="0" w:color="000000"/>
              <w:right w:val="single" w:sz="6" w:space="0" w:color="000000"/>
            </w:tcBorders>
            <w:shd w:val="clear" w:color="auto" w:fill="D2D2D2"/>
          </w:tcPr>
          <w:p>
            <w:pPr/>
          </w:p>
        </w:tc>
        <w:tc>
          <w:tcPr>
            <w:tcW w:w="1132" w:type="dxa"/>
            <w:vMerge w:val="restart"/>
            <w:tcBorders>
              <w:top w:val="single" w:sz="6" w:space="0" w:color="000000"/>
              <w:left w:val="single" w:sz="6" w:space="0" w:color="000000"/>
              <w:right w:val="single" w:sz="6" w:space="0" w:color="000000"/>
            </w:tcBorders>
            <w:shd w:val="clear" w:color="auto" w:fill="D2D2D2"/>
          </w:tcPr>
          <w:p>
            <w:pPr/>
          </w:p>
        </w:tc>
        <w:tc>
          <w:tcPr>
            <w:tcW w:w="559" w:type="dxa"/>
            <w:tcBorders>
              <w:top w:val="single" w:sz="6" w:space="0" w:color="000000"/>
              <w:left w:val="single" w:sz="6" w:space="0" w:color="000000"/>
              <w:bottom w:val="nil" w:sz="6" w:space="0" w:color="auto"/>
              <w:right w:val="single" w:sz="6" w:space="0" w:color="000000"/>
            </w:tcBorders>
            <w:shd w:val="clear" w:color="auto" w:fill="D2D2D2"/>
          </w:tcPr>
          <w:p>
            <w:pPr/>
          </w:p>
        </w:tc>
        <w:tc>
          <w:tcPr>
            <w:tcW w:w="437" w:type="dxa"/>
            <w:tcBorders>
              <w:top w:val="single" w:sz="6" w:space="0" w:color="000000"/>
              <w:left w:val="single" w:sz="6" w:space="0" w:color="000000"/>
              <w:bottom w:val="nil" w:sz="6" w:space="0" w:color="auto"/>
              <w:right w:val="single" w:sz="6" w:space="0" w:color="000000"/>
            </w:tcBorders>
            <w:shd w:val="clear" w:color="auto" w:fill="D2D2D2"/>
          </w:tcPr>
          <w:p>
            <w:pPr/>
          </w:p>
        </w:tc>
        <w:tc>
          <w:tcPr>
            <w:tcW w:w="1269" w:type="dxa"/>
            <w:vMerge w:val="restart"/>
            <w:tcBorders>
              <w:top w:val="single" w:sz="6" w:space="0" w:color="000000"/>
              <w:left w:val="single" w:sz="6" w:space="0" w:color="000000"/>
              <w:right w:val="single" w:sz="6" w:space="0" w:color="000000"/>
            </w:tcBorders>
            <w:shd w:val="clear" w:color="auto" w:fill="D2D2D2"/>
          </w:tcPr>
          <w:p>
            <w:pPr/>
          </w:p>
        </w:tc>
        <w:tc>
          <w:tcPr>
            <w:tcW w:w="1472" w:type="dxa"/>
            <w:vMerge w:val="restart"/>
            <w:tcBorders>
              <w:top w:val="single" w:sz="6" w:space="0" w:color="000000"/>
              <w:left w:val="single" w:sz="6" w:space="0" w:color="000000"/>
              <w:right w:val="single" w:sz="6" w:space="0" w:color="000000"/>
            </w:tcBorders>
            <w:shd w:val="clear" w:color="auto" w:fill="D2D2D2"/>
          </w:tcPr>
          <w:p>
            <w:pPr/>
          </w:p>
        </w:tc>
        <w:tc>
          <w:tcPr>
            <w:tcW w:w="1487" w:type="dxa"/>
            <w:vMerge w:val="restart"/>
            <w:tcBorders>
              <w:top w:val="single" w:sz="6" w:space="0" w:color="000000"/>
              <w:left w:val="single" w:sz="6" w:space="0" w:color="000000"/>
              <w:right w:val="single" w:sz="12" w:space="0" w:color="000000"/>
            </w:tcBorders>
            <w:shd w:val="clear" w:color="auto" w:fill="D2D2D2"/>
          </w:tcPr>
          <w:p>
            <w:pPr/>
          </w:p>
        </w:tc>
      </w:tr>
      <w:tr>
        <w:trPr>
          <w:trHeight w:val="192" w:hRule="exact"/>
        </w:trPr>
        <w:tc>
          <w:tcPr>
            <w:tcW w:w="1568"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0"/>
              <w:ind w:right="5"/>
              <w:jc w:val="center"/>
              <w:rPr>
                <w:rFonts w:ascii="宋体" w:hAnsi="宋体" w:cs="宋体" w:eastAsia="宋体" w:hint="default"/>
                <w:sz w:val="15"/>
                <w:szCs w:val="15"/>
              </w:rPr>
            </w:pPr>
            <w:r>
              <w:rPr>
                <w:rFonts w:ascii="宋体" w:hAnsi="宋体" w:cs="宋体" w:eastAsia="宋体" w:hint="default"/>
                <w:sz w:val="15"/>
                <w:szCs w:val="15"/>
              </w:rPr>
              <w:t>项目</w:t>
            </w:r>
          </w:p>
        </w:tc>
        <w:tc>
          <w:tcPr>
            <w:tcW w:w="1157" w:type="dxa"/>
            <w:vMerge/>
            <w:tcBorders>
              <w:left w:val="single" w:sz="6" w:space="0" w:color="000000"/>
              <w:bottom w:val="nil" w:sz="6" w:space="0" w:color="auto"/>
              <w:right w:val="single" w:sz="6" w:space="0" w:color="000000"/>
            </w:tcBorders>
            <w:shd w:val="clear" w:color="auto" w:fill="D2D2D2"/>
          </w:tcPr>
          <w:p>
            <w:pPr/>
          </w:p>
        </w:tc>
        <w:tc>
          <w:tcPr>
            <w:tcW w:w="1057" w:type="dxa"/>
            <w:gridSpan w:val="3"/>
            <w:vMerge/>
            <w:tcBorders>
              <w:left w:val="single" w:sz="6" w:space="0" w:color="000000"/>
              <w:bottom w:val="single" w:sz="6" w:space="0" w:color="000000"/>
              <w:right w:val="single" w:sz="6" w:space="0" w:color="000000"/>
            </w:tcBorders>
            <w:shd w:val="clear" w:color="auto" w:fill="D2D2D2"/>
          </w:tcPr>
          <w:p>
            <w:pPr/>
          </w:p>
        </w:tc>
        <w:tc>
          <w:tcPr>
            <w:tcW w:w="1155" w:type="dxa"/>
            <w:vMerge/>
            <w:tcBorders>
              <w:left w:val="single" w:sz="6" w:space="0" w:color="000000"/>
              <w:bottom w:val="nil" w:sz="6" w:space="0" w:color="auto"/>
              <w:right w:val="single" w:sz="6" w:space="0" w:color="000000"/>
            </w:tcBorders>
            <w:shd w:val="clear" w:color="auto" w:fill="D2D2D2"/>
          </w:tcPr>
          <w:p>
            <w:pPr/>
          </w:p>
        </w:tc>
        <w:tc>
          <w:tcPr>
            <w:tcW w:w="1132" w:type="dxa"/>
            <w:vMerge/>
            <w:tcBorders>
              <w:left w:val="single" w:sz="6" w:space="0" w:color="000000"/>
              <w:bottom w:val="nil" w:sz="6" w:space="0" w:color="auto"/>
              <w:right w:val="single" w:sz="6" w:space="0" w:color="000000"/>
            </w:tcBorders>
            <w:shd w:val="clear" w:color="auto" w:fill="D2D2D2"/>
          </w:tcPr>
          <w:p>
            <w:pPr/>
          </w:p>
        </w:tc>
        <w:tc>
          <w:tcPr>
            <w:tcW w:w="559"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98"/>
              <w:ind w:left="47" w:right="44"/>
              <w:jc w:val="left"/>
              <w:rPr>
                <w:rFonts w:ascii="宋体" w:hAnsi="宋体" w:cs="宋体" w:eastAsia="宋体" w:hint="default"/>
                <w:sz w:val="15"/>
                <w:szCs w:val="15"/>
              </w:rPr>
            </w:pPr>
            <w:r>
              <w:rPr>
                <w:rFonts w:ascii="宋体" w:hAnsi="宋体" w:cs="宋体" w:eastAsia="宋体" w:hint="default"/>
                <w:sz w:val="15"/>
                <w:szCs w:val="15"/>
              </w:rPr>
              <w:t>其他综 合收益</w:t>
            </w:r>
          </w:p>
        </w:tc>
        <w:tc>
          <w:tcPr>
            <w:tcW w:w="437"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98"/>
              <w:ind w:left="61" w:right="59"/>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269" w:type="dxa"/>
            <w:vMerge/>
            <w:tcBorders>
              <w:left w:val="single" w:sz="6" w:space="0" w:color="000000"/>
              <w:bottom w:val="nil" w:sz="6" w:space="0" w:color="auto"/>
              <w:right w:val="single" w:sz="6" w:space="0" w:color="000000"/>
            </w:tcBorders>
            <w:shd w:val="clear" w:color="auto" w:fill="D2D2D2"/>
          </w:tcPr>
          <w:p>
            <w:pPr/>
          </w:p>
        </w:tc>
        <w:tc>
          <w:tcPr>
            <w:tcW w:w="1472" w:type="dxa"/>
            <w:vMerge/>
            <w:tcBorders>
              <w:left w:val="single" w:sz="6" w:space="0" w:color="000000"/>
              <w:bottom w:val="nil" w:sz="6" w:space="0" w:color="auto"/>
              <w:right w:val="single" w:sz="6" w:space="0" w:color="000000"/>
            </w:tcBorders>
            <w:shd w:val="clear" w:color="auto" w:fill="D2D2D2"/>
          </w:tcPr>
          <w:p>
            <w:pPr/>
          </w:p>
        </w:tc>
        <w:tc>
          <w:tcPr>
            <w:tcW w:w="1487" w:type="dxa"/>
            <w:vMerge/>
            <w:tcBorders>
              <w:left w:val="single" w:sz="6" w:space="0" w:color="000000"/>
              <w:bottom w:val="nil" w:sz="6" w:space="0" w:color="auto"/>
              <w:right w:val="single" w:sz="12" w:space="0" w:color="000000"/>
            </w:tcBorders>
            <w:shd w:val="clear" w:color="auto" w:fill="D2D2D2"/>
          </w:tcPr>
          <w:p>
            <w:pPr/>
          </w:p>
        </w:tc>
      </w:tr>
      <w:tr>
        <w:trPr>
          <w:trHeight w:val="176" w:hRule="exact"/>
        </w:trPr>
        <w:tc>
          <w:tcPr>
            <w:tcW w:w="1568" w:type="dxa"/>
            <w:vMerge/>
            <w:tcBorders>
              <w:left w:val="single" w:sz="12" w:space="0" w:color="000000"/>
              <w:bottom w:val="nil" w:sz="6" w:space="0" w:color="auto"/>
              <w:right w:val="single" w:sz="6" w:space="0" w:color="000000"/>
            </w:tcBorders>
            <w:shd w:val="clear" w:color="auto" w:fill="D2D2D2"/>
          </w:tcPr>
          <w:p>
            <w:pPr/>
          </w:p>
        </w:tc>
        <w:tc>
          <w:tcPr>
            <w:tcW w:w="115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3"/>
              <w:ind w:right="7"/>
              <w:jc w:val="center"/>
              <w:rPr>
                <w:rFonts w:ascii="宋体" w:hAnsi="宋体" w:cs="宋体" w:eastAsia="宋体" w:hint="default"/>
                <w:sz w:val="15"/>
                <w:szCs w:val="15"/>
              </w:rPr>
            </w:pPr>
            <w:r>
              <w:rPr>
                <w:rFonts w:ascii="宋体" w:hAnsi="宋体" w:cs="宋体" w:eastAsia="宋体" w:hint="default"/>
                <w:sz w:val="15"/>
                <w:szCs w:val="15"/>
              </w:rPr>
              <w:t>股本</w:t>
            </w:r>
          </w:p>
        </w:tc>
        <w:tc>
          <w:tcPr>
            <w:tcW w:w="371" w:type="dxa"/>
            <w:vMerge w:val="restart"/>
            <w:tcBorders>
              <w:top w:val="single" w:sz="6" w:space="0" w:color="000000"/>
              <w:left w:val="single" w:sz="6" w:space="0" w:color="000000"/>
              <w:right w:val="single" w:sz="6" w:space="0" w:color="000000"/>
            </w:tcBorders>
            <w:shd w:val="clear" w:color="auto" w:fill="D2D2D2"/>
          </w:tcPr>
          <w:p>
            <w:pPr>
              <w:pStyle w:val="TableParagraph"/>
              <w:spacing w:line="384" w:lineRule="auto" w:before="102"/>
              <w:ind w:left="98" w:right="31" w:hanging="76"/>
              <w:jc w:val="left"/>
              <w:rPr>
                <w:rFonts w:ascii="宋体" w:hAnsi="宋体" w:cs="宋体" w:eastAsia="宋体" w:hint="default"/>
                <w:sz w:val="15"/>
                <w:szCs w:val="15"/>
              </w:rPr>
            </w:pPr>
            <w:r>
              <w:rPr>
                <w:rFonts w:ascii="宋体" w:hAnsi="宋体" w:cs="宋体" w:eastAsia="宋体" w:hint="default"/>
                <w:sz w:val="15"/>
                <w:szCs w:val="15"/>
              </w:rPr>
              <w:t>优先 股</w:t>
            </w:r>
          </w:p>
        </w:tc>
        <w:tc>
          <w:tcPr>
            <w:tcW w:w="423" w:type="dxa"/>
            <w:vMerge w:val="restart"/>
            <w:tcBorders>
              <w:top w:val="single" w:sz="6" w:space="0" w:color="000000"/>
              <w:left w:val="single" w:sz="6" w:space="0" w:color="000000"/>
              <w:right w:val="single" w:sz="6" w:space="0" w:color="000000"/>
            </w:tcBorders>
            <w:shd w:val="clear" w:color="auto" w:fill="D2D2D2"/>
          </w:tcPr>
          <w:p>
            <w:pPr>
              <w:pStyle w:val="TableParagraph"/>
              <w:spacing w:line="384" w:lineRule="auto" w:before="102"/>
              <w:ind w:left="128" w:right="52" w:hanging="75"/>
              <w:jc w:val="left"/>
              <w:rPr>
                <w:rFonts w:ascii="宋体" w:hAnsi="宋体" w:cs="宋体" w:eastAsia="宋体" w:hint="default"/>
                <w:sz w:val="15"/>
                <w:szCs w:val="15"/>
              </w:rPr>
            </w:pPr>
            <w:r>
              <w:rPr>
                <w:rFonts w:ascii="宋体" w:hAnsi="宋体" w:cs="宋体" w:eastAsia="宋体" w:hint="default"/>
                <w:sz w:val="15"/>
                <w:szCs w:val="15"/>
              </w:rPr>
              <w:t>永续 债</w:t>
            </w:r>
          </w:p>
        </w:tc>
        <w:tc>
          <w:tcPr>
            <w:tcW w:w="263" w:type="dxa"/>
            <w:vMerge w:val="restart"/>
            <w:tcBorders>
              <w:top w:val="single" w:sz="6" w:space="0" w:color="000000"/>
              <w:left w:val="single" w:sz="6" w:space="0" w:color="000000"/>
              <w:right w:val="single" w:sz="6" w:space="0" w:color="000000"/>
            </w:tcBorders>
            <w:shd w:val="clear" w:color="auto" w:fill="D2D2D2"/>
          </w:tcPr>
          <w:p>
            <w:pPr>
              <w:pStyle w:val="TableParagraph"/>
              <w:spacing w:line="384" w:lineRule="auto" w:before="102"/>
              <w:ind w:left="54" w:right="41"/>
              <w:jc w:val="left"/>
              <w:rPr>
                <w:rFonts w:ascii="宋体" w:hAnsi="宋体" w:cs="宋体" w:eastAsia="宋体" w:hint="default"/>
                <w:sz w:val="15"/>
                <w:szCs w:val="15"/>
              </w:rPr>
            </w:pPr>
            <w:r>
              <w:rPr>
                <w:rFonts w:ascii="宋体" w:hAnsi="宋体" w:cs="宋体" w:eastAsia="宋体" w:hint="default"/>
                <w:sz w:val="15"/>
                <w:szCs w:val="15"/>
              </w:rPr>
              <w:t>其 他</w:t>
            </w:r>
          </w:p>
        </w:tc>
        <w:tc>
          <w:tcPr>
            <w:tcW w:w="115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3"/>
              <w:ind w:left="27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3"/>
              <w:ind w:left="18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559" w:type="dxa"/>
            <w:vMerge/>
            <w:tcBorders>
              <w:left w:val="single" w:sz="6" w:space="0" w:color="000000"/>
              <w:right w:val="single" w:sz="6" w:space="0" w:color="000000"/>
            </w:tcBorders>
            <w:shd w:val="clear" w:color="auto" w:fill="D2D2D2"/>
          </w:tcPr>
          <w:p>
            <w:pPr/>
          </w:p>
        </w:tc>
        <w:tc>
          <w:tcPr>
            <w:tcW w:w="437" w:type="dxa"/>
            <w:vMerge/>
            <w:tcBorders>
              <w:left w:val="single" w:sz="6" w:space="0" w:color="000000"/>
              <w:right w:val="single" w:sz="6" w:space="0" w:color="000000"/>
            </w:tcBorders>
            <w:shd w:val="clear" w:color="auto" w:fill="D2D2D2"/>
          </w:tcPr>
          <w:p>
            <w:pPr/>
          </w:p>
        </w:tc>
        <w:tc>
          <w:tcPr>
            <w:tcW w:w="126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3"/>
              <w:ind w:left="32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7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3"/>
              <w:ind w:left="35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8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63"/>
              <w:ind w:left="211"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03" w:hRule="exact"/>
        </w:trPr>
        <w:tc>
          <w:tcPr>
            <w:tcW w:w="1568" w:type="dxa"/>
            <w:vMerge w:val="restart"/>
            <w:tcBorders>
              <w:top w:val="nil" w:sz="6" w:space="0" w:color="auto"/>
              <w:left w:val="single" w:sz="12" w:space="0" w:color="000000"/>
              <w:right w:val="single" w:sz="6" w:space="0" w:color="000000"/>
            </w:tcBorders>
            <w:shd w:val="clear" w:color="auto" w:fill="D2D2D2"/>
          </w:tcPr>
          <w:p>
            <w:pPr/>
          </w:p>
        </w:tc>
        <w:tc>
          <w:tcPr>
            <w:tcW w:w="1157" w:type="dxa"/>
            <w:vMerge/>
            <w:tcBorders>
              <w:left w:val="single" w:sz="6" w:space="0" w:color="000000"/>
              <w:bottom w:val="nil" w:sz="6" w:space="0" w:color="auto"/>
              <w:right w:val="single" w:sz="6" w:space="0" w:color="000000"/>
            </w:tcBorders>
            <w:shd w:val="clear" w:color="auto" w:fill="D2D2D2"/>
          </w:tcPr>
          <w:p>
            <w:pPr/>
          </w:p>
        </w:tc>
        <w:tc>
          <w:tcPr>
            <w:tcW w:w="371" w:type="dxa"/>
            <w:vMerge/>
            <w:tcBorders>
              <w:left w:val="single" w:sz="6" w:space="0" w:color="000000"/>
              <w:right w:val="single" w:sz="6" w:space="0" w:color="000000"/>
            </w:tcBorders>
            <w:shd w:val="clear" w:color="auto" w:fill="D2D2D2"/>
          </w:tcPr>
          <w:p>
            <w:pPr/>
          </w:p>
        </w:tc>
        <w:tc>
          <w:tcPr>
            <w:tcW w:w="423" w:type="dxa"/>
            <w:vMerge/>
            <w:tcBorders>
              <w:left w:val="single" w:sz="6" w:space="0" w:color="000000"/>
              <w:right w:val="single" w:sz="6" w:space="0" w:color="000000"/>
            </w:tcBorders>
            <w:shd w:val="clear" w:color="auto" w:fill="D2D2D2"/>
          </w:tcPr>
          <w:p>
            <w:pPr/>
          </w:p>
        </w:tc>
        <w:tc>
          <w:tcPr>
            <w:tcW w:w="263" w:type="dxa"/>
            <w:vMerge/>
            <w:tcBorders>
              <w:left w:val="single" w:sz="6" w:space="0" w:color="000000"/>
              <w:right w:val="single" w:sz="6" w:space="0" w:color="000000"/>
            </w:tcBorders>
            <w:shd w:val="clear" w:color="auto" w:fill="D2D2D2"/>
          </w:tcPr>
          <w:p>
            <w:pPr/>
          </w:p>
        </w:tc>
        <w:tc>
          <w:tcPr>
            <w:tcW w:w="1155" w:type="dxa"/>
            <w:vMerge/>
            <w:tcBorders>
              <w:left w:val="single" w:sz="6" w:space="0" w:color="000000"/>
              <w:bottom w:val="nil" w:sz="6" w:space="0" w:color="auto"/>
              <w:right w:val="single" w:sz="6" w:space="0" w:color="000000"/>
            </w:tcBorders>
            <w:shd w:val="clear" w:color="auto" w:fill="D2D2D2"/>
          </w:tcPr>
          <w:p>
            <w:pPr/>
          </w:p>
        </w:tc>
        <w:tc>
          <w:tcPr>
            <w:tcW w:w="1132" w:type="dxa"/>
            <w:vMerge/>
            <w:tcBorders>
              <w:left w:val="single" w:sz="6" w:space="0" w:color="000000"/>
              <w:bottom w:val="nil" w:sz="6" w:space="0" w:color="auto"/>
              <w:right w:val="single" w:sz="6" w:space="0" w:color="000000"/>
            </w:tcBorders>
            <w:shd w:val="clear" w:color="auto" w:fill="D2D2D2"/>
          </w:tcPr>
          <w:p>
            <w:pPr/>
          </w:p>
        </w:tc>
        <w:tc>
          <w:tcPr>
            <w:tcW w:w="559" w:type="dxa"/>
            <w:vMerge/>
            <w:tcBorders>
              <w:left w:val="single" w:sz="6" w:space="0" w:color="000000"/>
              <w:right w:val="single" w:sz="6" w:space="0" w:color="000000"/>
            </w:tcBorders>
            <w:shd w:val="clear" w:color="auto" w:fill="D2D2D2"/>
          </w:tcPr>
          <w:p>
            <w:pPr/>
          </w:p>
        </w:tc>
        <w:tc>
          <w:tcPr>
            <w:tcW w:w="437" w:type="dxa"/>
            <w:vMerge/>
            <w:tcBorders>
              <w:left w:val="single" w:sz="6" w:space="0" w:color="000000"/>
              <w:right w:val="single" w:sz="6" w:space="0" w:color="000000"/>
            </w:tcBorders>
            <w:shd w:val="clear" w:color="auto" w:fill="D2D2D2"/>
          </w:tcPr>
          <w:p>
            <w:pPr/>
          </w:p>
        </w:tc>
        <w:tc>
          <w:tcPr>
            <w:tcW w:w="1269" w:type="dxa"/>
            <w:vMerge/>
            <w:tcBorders>
              <w:left w:val="single" w:sz="6" w:space="0" w:color="000000"/>
              <w:bottom w:val="nil" w:sz="6" w:space="0" w:color="auto"/>
              <w:right w:val="single" w:sz="6" w:space="0" w:color="000000"/>
            </w:tcBorders>
            <w:shd w:val="clear" w:color="auto" w:fill="D2D2D2"/>
          </w:tcPr>
          <w:p>
            <w:pPr/>
          </w:p>
        </w:tc>
        <w:tc>
          <w:tcPr>
            <w:tcW w:w="1472" w:type="dxa"/>
            <w:vMerge/>
            <w:tcBorders>
              <w:left w:val="single" w:sz="6" w:space="0" w:color="000000"/>
              <w:bottom w:val="nil" w:sz="6" w:space="0" w:color="auto"/>
              <w:right w:val="single" w:sz="6" w:space="0" w:color="000000"/>
            </w:tcBorders>
            <w:shd w:val="clear" w:color="auto" w:fill="D2D2D2"/>
          </w:tcPr>
          <w:p>
            <w:pPr/>
          </w:p>
        </w:tc>
        <w:tc>
          <w:tcPr>
            <w:tcW w:w="1487" w:type="dxa"/>
            <w:vMerge/>
            <w:tcBorders>
              <w:left w:val="single" w:sz="6" w:space="0" w:color="000000"/>
              <w:bottom w:val="nil" w:sz="6" w:space="0" w:color="auto"/>
              <w:right w:val="single" w:sz="12" w:space="0" w:color="000000"/>
            </w:tcBorders>
            <w:shd w:val="clear" w:color="auto" w:fill="D2D2D2"/>
          </w:tcPr>
          <w:p>
            <w:pPr/>
          </w:p>
        </w:tc>
      </w:tr>
      <w:tr>
        <w:trPr>
          <w:trHeight w:val="156" w:hRule="exact"/>
        </w:trPr>
        <w:tc>
          <w:tcPr>
            <w:tcW w:w="1568" w:type="dxa"/>
            <w:vMerge/>
            <w:tcBorders>
              <w:left w:val="single" w:sz="12" w:space="0" w:color="000000"/>
              <w:right w:val="single" w:sz="6" w:space="0" w:color="000000"/>
            </w:tcBorders>
            <w:shd w:val="clear" w:color="auto" w:fill="D2D2D2"/>
          </w:tcPr>
          <w:p>
            <w:pPr/>
          </w:p>
        </w:tc>
        <w:tc>
          <w:tcPr>
            <w:tcW w:w="1157" w:type="dxa"/>
            <w:vMerge w:val="restart"/>
            <w:tcBorders>
              <w:top w:val="nil" w:sz="6" w:space="0" w:color="auto"/>
              <w:left w:val="single" w:sz="6" w:space="0" w:color="000000"/>
              <w:right w:val="single" w:sz="6" w:space="0" w:color="000000"/>
            </w:tcBorders>
            <w:shd w:val="clear" w:color="auto" w:fill="D2D2D2"/>
          </w:tcPr>
          <w:p>
            <w:pPr/>
          </w:p>
        </w:tc>
        <w:tc>
          <w:tcPr>
            <w:tcW w:w="371" w:type="dxa"/>
            <w:vMerge/>
            <w:tcBorders>
              <w:left w:val="single" w:sz="6" w:space="0" w:color="000000"/>
              <w:right w:val="single" w:sz="6" w:space="0" w:color="000000"/>
            </w:tcBorders>
            <w:shd w:val="clear" w:color="auto" w:fill="D2D2D2"/>
          </w:tcPr>
          <w:p>
            <w:pPr/>
          </w:p>
        </w:tc>
        <w:tc>
          <w:tcPr>
            <w:tcW w:w="423" w:type="dxa"/>
            <w:vMerge/>
            <w:tcBorders>
              <w:left w:val="single" w:sz="6" w:space="0" w:color="000000"/>
              <w:right w:val="single" w:sz="6" w:space="0" w:color="000000"/>
            </w:tcBorders>
            <w:shd w:val="clear" w:color="auto" w:fill="D2D2D2"/>
          </w:tcPr>
          <w:p>
            <w:pPr/>
          </w:p>
        </w:tc>
        <w:tc>
          <w:tcPr>
            <w:tcW w:w="263" w:type="dxa"/>
            <w:vMerge/>
            <w:tcBorders>
              <w:left w:val="single" w:sz="6" w:space="0" w:color="000000"/>
              <w:right w:val="single" w:sz="6" w:space="0" w:color="000000"/>
            </w:tcBorders>
            <w:shd w:val="clear" w:color="auto" w:fill="D2D2D2"/>
          </w:tcPr>
          <w:p>
            <w:pPr/>
          </w:p>
        </w:tc>
        <w:tc>
          <w:tcPr>
            <w:tcW w:w="1155" w:type="dxa"/>
            <w:vMerge w:val="restart"/>
            <w:tcBorders>
              <w:top w:val="nil" w:sz="6" w:space="0" w:color="auto"/>
              <w:left w:val="single" w:sz="6" w:space="0" w:color="000000"/>
              <w:right w:val="single" w:sz="6" w:space="0" w:color="000000"/>
            </w:tcBorders>
            <w:shd w:val="clear" w:color="auto" w:fill="D2D2D2"/>
          </w:tcPr>
          <w:p>
            <w:pPr/>
          </w:p>
        </w:tc>
        <w:tc>
          <w:tcPr>
            <w:tcW w:w="1132" w:type="dxa"/>
            <w:vMerge w:val="restart"/>
            <w:tcBorders>
              <w:top w:val="nil" w:sz="6" w:space="0" w:color="auto"/>
              <w:left w:val="single" w:sz="6" w:space="0" w:color="000000"/>
              <w:right w:val="single" w:sz="6" w:space="0" w:color="000000"/>
            </w:tcBorders>
            <w:shd w:val="clear" w:color="auto" w:fill="D2D2D2"/>
          </w:tcPr>
          <w:p>
            <w:pPr/>
          </w:p>
        </w:tc>
        <w:tc>
          <w:tcPr>
            <w:tcW w:w="559" w:type="dxa"/>
            <w:vMerge/>
            <w:tcBorders>
              <w:left w:val="single" w:sz="6" w:space="0" w:color="000000"/>
              <w:bottom w:val="nil" w:sz="6" w:space="0" w:color="auto"/>
              <w:right w:val="single" w:sz="6" w:space="0" w:color="000000"/>
            </w:tcBorders>
            <w:shd w:val="clear" w:color="auto" w:fill="D2D2D2"/>
          </w:tcPr>
          <w:p>
            <w:pPr/>
          </w:p>
        </w:tc>
        <w:tc>
          <w:tcPr>
            <w:tcW w:w="437" w:type="dxa"/>
            <w:vMerge/>
            <w:tcBorders>
              <w:left w:val="single" w:sz="6" w:space="0" w:color="000000"/>
              <w:bottom w:val="nil" w:sz="6" w:space="0" w:color="auto"/>
              <w:right w:val="single" w:sz="6" w:space="0" w:color="000000"/>
            </w:tcBorders>
            <w:shd w:val="clear" w:color="auto" w:fill="D2D2D2"/>
          </w:tcPr>
          <w:p>
            <w:pPr/>
          </w:p>
        </w:tc>
        <w:tc>
          <w:tcPr>
            <w:tcW w:w="1269" w:type="dxa"/>
            <w:vMerge w:val="restart"/>
            <w:tcBorders>
              <w:top w:val="nil" w:sz="6" w:space="0" w:color="auto"/>
              <w:left w:val="single" w:sz="6" w:space="0" w:color="000000"/>
              <w:right w:val="single" w:sz="6" w:space="0" w:color="000000"/>
            </w:tcBorders>
            <w:shd w:val="clear" w:color="auto" w:fill="D2D2D2"/>
          </w:tcPr>
          <w:p>
            <w:pPr/>
          </w:p>
        </w:tc>
        <w:tc>
          <w:tcPr>
            <w:tcW w:w="1472" w:type="dxa"/>
            <w:vMerge w:val="restart"/>
            <w:tcBorders>
              <w:top w:val="nil" w:sz="6" w:space="0" w:color="auto"/>
              <w:left w:val="single" w:sz="6" w:space="0" w:color="000000"/>
              <w:right w:val="single" w:sz="6" w:space="0" w:color="000000"/>
            </w:tcBorders>
            <w:shd w:val="clear" w:color="auto" w:fill="D2D2D2"/>
          </w:tcPr>
          <w:p>
            <w:pPr/>
          </w:p>
        </w:tc>
        <w:tc>
          <w:tcPr>
            <w:tcW w:w="1487" w:type="dxa"/>
            <w:vMerge w:val="restart"/>
            <w:tcBorders>
              <w:top w:val="nil" w:sz="6" w:space="0" w:color="auto"/>
              <w:left w:val="single" w:sz="6" w:space="0" w:color="000000"/>
              <w:right w:val="single" w:sz="12" w:space="0" w:color="000000"/>
            </w:tcBorders>
            <w:shd w:val="clear" w:color="auto" w:fill="D2D2D2"/>
          </w:tcPr>
          <w:p>
            <w:pPr/>
          </w:p>
        </w:tc>
      </w:tr>
      <w:tr>
        <w:trPr>
          <w:trHeight w:val="211" w:hRule="exact"/>
        </w:trPr>
        <w:tc>
          <w:tcPr>
            <w:tcW w:w="1568" w:type="dxa"/>
            <w:vMerge/>
            <w:tcBorders>
              <w:left w:val="single" w:sz="12" w:space="0" w:color="000000"/>
              <w:bottom w:val="single" w:sz="6" w:space="0" w:color="000000"/>
              <w:right w:val="single" w:sz="6" w:space="0" w:color="000000"/>
            </w:tcBorders>
            <w:shd w:val="clear" w:color="auto" w:fill="D2D2D2"/>
          </w:tcPr>
          <w:p>
            <w:pPr/>
          </w:p>
        </w:tc>
        <w:tc>
          <w:tcPr>
            <w:tcW w:w="1157" w:type="dxa"/>
            <w:vMerge/>
            <w:tcBorders>
              <w:left w:val="single" w:sz="6" w:space="0" w:color="000000"/>
              <w:bottom w:val="single" w:sz="6" w:space="0" w:color="000000"/>
              <w:right w:val="single" w:sz="6" w:space="0" w:color="000000"/>
            </w:tcBorders>
            <w:shd w:val="clear" w:color="auto" w:fill="D2D2D2"/>
          </w:tcPr>
          <w:p>
            <w:pPr/>
          </w:p>
        </w:tc>
        <w:tc>
          <w:tcPr>
            <w:tcW w:w="371" w:type="dxa"/>
            <w:vMerge/>
            <w:tcBorders>
              <w:left w:val="single" w:sz="6" w:space="0" w:color="000000"/>
              <w:bottom w:val="single" w:sz="6" w:space="0" w:color="000000"/>
              <w:right w:val="single" w:sz="6" w:space="0" w:color="000000"/>
            </w:tcBorders>
            <w:shd w:val="clear" w:color="auto" w:fill="D2D2D2"/>
          </w:tcPr>
          <w:p>
            <w:pPr/>
          </w:p>
        </w:tc>
        <w:tc>
          <w:tcPr>
            <w:tcW w:w="423" w:type="dxa"/>
            <w:vMerge/>
            <w:tcBorders>
              <w:left w:val="single" w:sz="6" w:space="0" w:color="000000"/>
              <w:bottom w:val="single" w:sz="6" w:space="0" w:color="000000"/>
              <w:right w:val="single" w:sz="6" w:space="0" w:color="000000"/>
            </w:tcBorders>
            <w:shd w:val="clear" w:color="auto" w:fill="D2D2D2"/>
          </w:tcPr>
          <w:p>
            <w:pPr/>
          </w:p>
        </w:tc>
        <w:tc>
          <w:tcPr>
            <w:tcW w:w="263" w:type="dxa"/>
            <w:vMerge/>
            <w:tcBorders>
              <w:left w:val="single" w:sz="6" w:space="0" w:color="000000"/>
              <w:bottom w:val="single" w:sz="6" w:space="0" w:color="000000"/>
              <w:right w:val="single" w:sz="6" w:space="0" w:color="000000"/>
            </w:tcBorders>
            <w:shd w:val="clear" w:color="auto" w:fill="D2D2D2"/>
          </w:tcPr>
          <w:p>
            <w:pPr/>
          </w:p>
        </w:tc>
        <w:tc>
          <w:tcPr>
            <w:tcW w:w="1155" w:type="dxa"/>
            <w:vMerge/>
            <w:tcBorders>
              <w:left w:val="single" w:sz="6" w:space="0" w:color="000000"/>
              <w:bottom w:val="single" w:sz="6" w:space="0" w:color="000000"/>
              <w:right w:val="single" w:sz="6" w:space="0" w:color="000000"/>
            </w:tcBorders>
            <w:shd w:val="clear" w:color="auto" w:fill="D2D2D2"/>
          </w:tcPr>
          <w:p>
            <w:pPr/>
          </w:p>
        </w:tc>
        <w:tc>
          <w:tcPr>
            <w:tcW w:w="1132" w:type="dxa"/>
            <w:vMerge/>
            <w:tcBorders>
              <w:left w:val="single" w:sz="6" w:space="0" w:color="000000"/>
              <w:bottom w:val="single" w:sz="6" w:space="0" w:color="000000"/>
              <w:right w:val="single" w:sz="6" w:space="0" w:color="000000"/>
            </w:tcBorders>
            <w:shd w:val="clear" w:color="auto" w:fill="D2D2D2"/>
          </w:tcPr>
          <w:p>
            <w:pPr/>
          </w:p>
        </w:tc>
        <w:tc>
          <w:tcPr>
            <w:tcW w:w="559" w:type="dxa"/>
            <w:tcBorders>
              <w:top w:val="nil" w:sz="6" w:space="0" w:color="auto"/>
              <w:left w:val="single" w:sz="6" w:space="0" w:color="000000"/>
              <w:bottom w:val="single" w:sz="6" w:space="0" w:color="000000"/>
              <w:right w:val="single" w:sz="6" w:space="0" w:color="000000"/>
            </w:tcBorders>
            <w:shd w:val="clear" w:color="auto" w:fill="D2D2D2"/>
          </w:tcPr>
          <w:p>
            <w:pPr/>
          </w:p>
        </w:tc>
        <w:tc>
          <w:tcPr>
            <w:tcW w:w="43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69" w:type="dxa"/>
            <w:vMerge/>
            <w:tcBorders>
              <w:left w:val="single" w:sz="6" w:space="0" w:color="000000"/>
              <w:bottom w:val="single" w:sz="6" w:space="0" w:color="000000"/>
              <w:right w:val="single" w:sz="6" w:space="0" w:color="000000"/>
            </w:tcBorders>
            <w:shd w:val="clear" w:color="auto" w:fill="D2D2D2"/>
          </w:tcPr>
          <w:p>
            <w:pPr/>
          </w:p>
        </w:tc>
        <w:tc>
          <w:tcPr>
            <w:tcW w:w="1472" w:type="dxa"/>
            <w:vMerge/>
            <w:tcBorders>
              <w:left w:val="single" w:sz="6" w:space="0" w:color="000000"/>
              <w:bottom w:val="single" w:sz="6" w:space="0" w:color="000000"/>
              <w:right w:val="single" w:sz="6" w:space="0" w:color="000000"/>
            </w:tcBorders>
            <w:shd w:val="clear" w:color="auto" w:fill="D2D2D2"/>
          </w:tcPr>
          <w:p>
            <w:pPr/>
          </w:p>
        </w:tc>
        <w:tc>
          <w:tcPr>
            <w:tcW w:w="1487" w:type="dxa"/>
            <w:vMerge/>
            <w:tcBorders>
              <w:left w:val="single" w:sz="6" w:space="0" w:color="000000"/>
              <w:bottom w:val="single" w:sz="6" w:space="0" w:color="000000"/>
              <w:right w:val="single" w:sz="12" w:space="0" w:color="000000"/>
            </w:tcBorders>
            <w:shd w:val="clear" w:color="auto" w:fill="D2D2D2"/>
          </w:tcPr>
          <w:p>
            <w:pPr/>
          </w:p>
        </w:tc>
      </w:tr>
      <w:tr>
        <w:trPr>
          <w:trHeight w:val="415" w:hRule="exact"/>
        </w:trPr>
        <w:tc>
          <w:tcPr>
            <w:tcW w:w="15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74"/>
              <w:ind w:left="1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5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74"/>
              <w:ind w:left="51" w:right="0"/>
              <w:jc w:val="left"/>
              <w:rPr>
                <w:rFonts w:ascii="宋体" w:hAnsi="宋体" w:cs="宋体" w:eastAsia="宋体" w:hint="default"/>
                <w:sz w:val="15"/>
                <w:szCs w:val="15"/>
              </w:rPr>
            </w:pPr>
            <w:r>
              <w:rPr>
                <w:rFonts w:ascii="宋体"/>
                <w:sz w:val="15"/>
              </w:rPr>
              <w:t>414,849,620.00</w:t>
            </w:r>
          </w:p>
        </w:tc>
        <w:tc>
          <w:tcPr>
            <w:tcW w:w="371" w:type="dxa"/>
            <w:tcBorders>
              <w:top w:val="single" w:sz="6" w:space="0" w:color="000000"/>
              <w:left w:val="single" w:sz="6" w:space="0" w:color="000000"/>
              <w:bottom w:val="single" w:sz="12" w:space="0" w:color="000000"/>
              <w:right w:val="single" w:sz="6" w:space="0" w:color="000000"/>
            </w:tcBorders>
          </w:tcPr>
          <w:p>
            <w:pPr/>
          </w:p>
        </w:tc>
        <w:tc>
          <w:tcPr>
            <w:tcW w:w="423" w:type="dxa"/>
            <w:tcBorders>
              <w:top w:val="single" w:sz="6" w:space="0" w:color="000000"/>
              <w:left w:val="single" w:sz="6" w:space="0" w:color="000000"/>
              <w:bottom w:val="single" w:sz="12" w:space="0" w:color="000000"/>
              <w:right w:val="single" w:sz="6" w:space="0" w:color="000000"/>
            </w:tcBorders>
          </w:tcPr>
          <w:p>
            <w:pPr/>
          </w:p>
        </w:tc>
        <w:tc>
          <w:tcPr>
            <w:tcW w:w="263" w:type="dxa"/>
            <w:tcBorders>
              <w:top w:val="single" w:sz="6" w:space="0" w:color="000000"/>
              <w:left w:val="single" w:sz="6" w:space="0" w:color="000000"/>
              <w:bottom w:val="single" w:sz="12" w:space="0" w:color="000000"/>
              <w:right w:val="single" w:sz="6" w:space="0" w:color="000000"/>
            </w:tcBorders>
          </w:tcPr>
          <w:p>
            <w:pPr/>
          </w:p>
        </w:tc>
        <w:tc>
          <w:tcPr>
            <w:tcW w:w="11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68" w:right="0"/>
              <w:jc w:val="left"/>
              <w:rPr>
                <w:rFonts w:ascii="宋体" w:hAnsi="宋体" w:cs="宋体" w:eastAsia="宋体" w:hint="default"/>
                <w:sz w:val="15"/>
                <w:szCs w:val="15"/>
              </w:rPr>
            </w:pPr>
            <w:r>
              <w:rPr>
                <w:rFonts w:ascii="宋体"/>
                <w:sz w:val="15"/>
              </w:rPr>
              <w:t>789,626,643.62</w:t>
            </w:r>
          </w:p>
        </w:tc>
        <w:tc>
          <w:tcPr>
            <w:tcW w:w="1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15"/>
                <w:szCs w:val="15"/>
              </w:rPr>
            </w:pPr>
            <w:r>
              <w:rPr>
                <w:rFonts w:ascii="宋体"/>
                <w:sz w:val="15"/>
              </w:rPr>
              <w:t>54,115,440.00</w:t>
            </w:r>
          </w:p>
        </w:tc>
        <w:tc>
          <w:tcPr>
            <w:tcW w:w="559" w:type="dxa"/>
            <w:tcBorders>
              <w:top w:val="single" w:sz="6" w:space="0" w:color="000000"/>
              <w:left w:val="single" w:sz="6" w:space="0" w:color="000000"/>
              <w:bottom w:val="single" w:sz="12" w:space="0" w:color="000000"/>
              <w:right w:val="single" w:sz="6" w:space="0" w:color="000000"/>
            </w:tcBorders>
          </w:tcPr>
          <w:p>
            <w:pPr/>
          </w:p>
        </w:tc>
        <w:tc>
          <w:tcPr>
            <w:tcW w:w="437" w:type="dxa"/>
            <w:tcBorders>
              <w:top w:val="single" w:sz="6" w:space="0" w:color="000000"/>
              <w:left w:val="single" w:sz="6" w:space="0" w:color="000000"/>
              <w:bottom w:val="single" w:sz="12" w:space="0" w:color="000000"/>
              <w:right w:val="single" w:sz="6" w:space="0" w:color="000000"/>
            </w:tcBorders>
          </w:tcPr>
          <w:p>
            <w:pPr/>
          </w:p>
        </w:tc>
        <w:tc>
          <w:tcPr>
            <w:tcW w:w="1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259" w:right="0"/>
              <w:jc w:val="left"/>
              <w:rPr>
                <w:rFonts w:ascii="宋体" w:hAnsi="宋体" w:cs="宋体" w:eastAsia="宋体" w:hint="default"/>
                <w:sz w:val="15"/>
                <w:szCs w:val="15"/>
              </w:rPr>
            </w:pPr>
            <w:r>
              <w:rPr>
                <w:rFonts w:ascii="宋体"/>
                <w:sz w:val="15"/>
              </w:rPr>
              <w:t>21,281,039.35</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311" w:right="0"/>
              <w:jc w:val="left"/>
              <w:rPr>
                <w:rFonts w:ascii="宋体" w:hAnsi="宋体" w:cs="宋体" w:eastAsia="宋体" w:hint="default"/>
                <w:sz w:val="15"/>
                <w:szCs w:val="15"/>
              </w:rPr>
            </w:pPr>
            <w:r>
              <w:rPr>
                <w:rFonts w:ascii="宋体"/>
                <w:sz w:val="15"/>
              </w:rPr>
              <w:t>-165,863,503.08</w:t>
            </w:r>
          </w:p>
        </w:tc>
        <w:tc>
          <w:tcPr>
            <w:tcW w:w="14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left="251" w:right="0"/>
              <w:jc w:val="left"/>
              <w:rPr>
                <w:rFonts w:ascii="宋体" w:hAnsi="宋体" w:cs="宋体" w:eastAsia="宋体" w:hint="default"/>
                <w:sz w:val="15"/>
                <w:szCs w:val="15"/>
              </w:rPr>
            </w:pPr>
            <w:r>
              <w:rPr>
                <w:rFonts w:ascii="宋体"/>
                <w:sz w:val="15"/>
              </w:rPr>
              <w:t>1,005,778,359.89</w:t>
            </w:r>
          </w:p>
        </w:tc>
      </w:tr>
    </w:tbl>
    <w:p>
      <w:pPr>
        <w:spacing w:after="0" w:line="240" w:lineRule="auto"/>
        <w:jc w:val="left"/>
        <w:rPr>
          <w:rFonts w:ascii="宋体" w:hAnsi="宋体" w:cs="宋体" w:eastAsia="宋体" w:hint="default"/>
          <w:sz w:val="15"/>
          <w:szCs w:val="15"/>
        </w:rPr>
        <w:sectPr>
          <w:type w:val="continuous"/>
          <w:pgSz w:w="11910" w:h="16840"/>
          <w:pgMar w:top="1580" w:bottom="700" w:left="1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551"/>
        <w:gridCol w:w="1156"/>
        <w:gridCol w:w="382"/>
        <w:gridCol w:w="422"/>
        <w:gridCol w:w="274"/>
        <w:gridCol w:w="1145"/>
        <w:gridCol w:w="1132"/>
        <w:gridCol w:w="559"/>
        <w:gridCol w:w="437"/>
        <w:gridCol w:w="1269"/>
        <w:gridCol w:w="1472"/>
        <w:gridCol w:w="1487"/>
      </w:tblGrid>
      <w:tr>
        <w:trPr>
          <w:trHeight w:val="419" w:hRule="exact"/>
        </w:trPr>
        <w:tc>
          <w:tcPr>
            <w:tcW w:w="15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7"/>
              <w:ind w:right="20"/>
              <w:jc w:val="right"/>
              <w:rPr>
                <w:rFonts w:ascii="宋体" w:hAnsi="宋体" w:cs="宋体" w:eastAsia="宋体" w:hint="default"/>
                <w:sz w:val="15"/>
                <w:szCs w:val="15"/>
              </w:rPr>
            </w:pPr>
            <w:r>
              <w:rPr>
                <w:rFonts w:ascii="宋体" w:hAnsi="宋体" w:cs="宋体" w:eastAsia="宋体" w:hint="default"/>
                <w:sz w:val="15"/>
                <w:szCs w:val="15"/>
              </w:rPr>
              <w:t>加：会计政策变更</w:t>
            </w:r>
          </w:p>
        </w:tc>
        <w:tc>
          <w:tcPr>
            <w:tcW w:w="1156" w:type="dxa"/>
            <w:tcBorders>
              <w:top w:val="single" w:sz="12" w:space="0" w:color="000000"/>
              <w:left w:val="single" w:sz="14" w:space="0" w:color="D2D2D2"/>
              <w:bottom w:val="single" w:sz="6" w:space="0" w:color="000000"/>
              <w:right w:val="single" w:sz="6" w:space="0" w:color="000000"/>
            </w:tcBorders>
          </w:tcPr>
          <w:p>
            <w:pPr/>
          </w:p>
        </w:tc>
        <w:tc>
          <w:tcPr>
            <w:tcW w:w="382" w:type="dxa"/>
            <w:tcBorders>
              <w:top w:val="single" w:sz="12" w:space="0" w:color="000000"/>
              <w:left w:val="single" w:sz="6" w:space="0" w:color="000000"/>
              <w:bottom w:val="single" w:sz="6" w:space="0" w:color="000000"/>
              <w:right w:val="single" w:sz="6" w:space="0" w:color="000000"/>
            </w:tcBorders>
          </w:tcPr>
          <w:p>
            <w:pPr/>
          </w:p>
        </w:tc>
        <w:tc>
          <w:tcPr>
            <w:tcW w:w="422" w:type="dxa"/>
            <w:tcBorders>
              <w:top w:val="single" w:sz="12" w:space="0" w:color="000000"/>
              <w:left w:val="single" w:sz="6" w:space="0" w:color="000000"/>
              <w:bottom w:val="single" w:sz="6" w:space="0" w:color="000000"/>
              <w:right w:val="single" w:sz="6" w:space="0" w:color="000000"/>
            </w:tcBorders>
          </w:tcPr>
          <w:p>
            <w:pPr/>
          </w:p>
        </w:tc>
        <w:tc>
          <w:tcPr>
            <w:tcW w:w="274" w:type="dxa"/>
            <w:tcBorders>
              <w:top w:val="single" w:sz="12" w:space="0" w:color="000000"/>
              <w:left w:val="single" w:sz="6" w:space="0" w:color="000000"/>
              <w:bottom w:val="single" w:sz="6" w:space="0" w:color="000000"/>
              <w:right w:val="single" w:sz="6" w:space="0" w:color="000000"/>
            </w:tcBorders>
          </w:tcPr>
          <w:p>
            <w:pPr/>
          </w:p>
        </w:tc>
        <w:tc>
          <w:tcPr>
            <w:tcW w:w="1145" w:type="dxa"/>
            <w:tcBorders>
              <w:top w:val="single" w:sz="12" w:space="0" w:color="000000"/>
              <w:left w:val="single" w:sz="6" w:space="0" w:color="000000"/>
              <w:bottom w:val="single" w:sz="6" w:space="0" w:color="000000"/>
              <w:right w:val="single" w:sz="6" w:space="0" w:color="000000"/>
            </w:tcBorders>
          </w:tcPr>
          <w:p>
            <w:pPr/>
          </w:p>
        </w:tc>
        <w:tc>
          <w:tcPr>
            <w:tcW w:w="1132" w:type="dxa"/>
            <w:tcBorders>
              <w:top w:val="single" w:sz="12" w:space="0" w:color="000000"/>
              <w:left w:val="single" w:sz="6" w:space="0" w:color="000000"/>
              <w:bottom w:val="single" w:sz="6" w:space="0" w:color="000000"/>
              <w:right w:val="single" w:sz="6" w:space="0" w:color="000000"/>
            </w:tcBorders>
          </w:tcPr>
          <w:p>
            <w:pPr/>
          </w:p>
        </w:tc>
        <w:tc>
          <w:tcPr>
            <w:tcW w:w="559" w:type="dxa"/>
            <w:tcBorders>
              <w:top w:val="single" w:sz="12" w:space="0" w:color="000000"/>
              <w:left w:val="single" w:sz="6" w:space="0" w:color="000000"/>
              <w:bottom w:val="single" w:sz="6" w:space="0" w:color="000000"/>
              <w:right w:val="single" w:sz="6" w:space="0" w:color="000000"/>
            </w:tcBorders>
          </w:tcPr>
          <w:p>
            <w:pPr/>
          </w:p>
        </w:tc>
        <w:tc>
          <w:tcPr>
            <w:tcW w:w="437" w:type="dxa"/>
            <w:tcBorders>
              <w:top w:val="single" w:sz="12" w:space="0" w:color="000000"/>
              <w:left w:val="single" w:sz="6" w:space="0" w:color="000000"/>
              <w:bottom w:val="single" w:sz="6" w:space="0" w:color="000000"/>
              <w:right w:val="single" w:sz="6" w:space="0" w:color="000000"/>
            </w:tcBorders>
          </w:tcPr>
          <w:p>
            <w:pPr/>
          </w:p>
        </w:tc>
        <w:tc>
          <w:tcPr>
            <w:tcW w:w="1269" w:type="dxa"/>
            <w:tcBorders>
              <w:top w:val="single" w:sz="12" w:space="0" w:color="000000"/>
              <w:left w:val="single" w:sz="6" w:space="0" w:color="000000"/>
              <w:bottom w:val="single" w:sz="6" w:space="0" w:color="000000"/>
              <w:right w:val="single" w:sz="6" w:space="0" w:color="000000"/>
            </w:tcBorders>
          </w:tcPr>
          <w:p>
            <w:pPr/>
          </w:p>
        </w:tc>
        <w:tc>
          <w:tcPr>
            <w:tcW w:w="1472" w:type="dxa"/>
            <w:tcBorders>
              <w:top w:val="single" w:sz="12" w:space="0" w:color="000000"/>
              <w:left w:val="single" w:sz="6" w:space="0" w:color="000000"/>
              <w:bottom w:val="single" w:sz="6" w:space="0" w:color="000000"/>
              <w:right w:val="single" w:sz="6" w:space="0" w:color="000000"/>
            </w:tcBorders>
          </w:tcPr>
          <w:p>
            <w:pPr/>
          </w:p>
        </w:tc>
        <w:tc>
          <w:tcPr>
            <w:tcW w:w="1487" w:type="dxa"/>
            <w:tcBorders>
              <w:top w:val="single" w:sz="12" w:space="0" w:color="000000"/>
              <w:left w:val="single" w:sz="6" w:space="0" w:color="000000"/>
              <w:bottom w:val="single" w:sz="6" w:space="0" w:color="000000"/>
              <w:right w:val="single" w:sz="12" w:space="0" w:color="000000"/>
            </w:tcBorders>
          </w:tcPr>
          <w:p>
            <w:pPr/>
          </w:p>
        </w:tc>
      </w:tr>
      <w:tr>
        <w:trPr>
          <w:trHeight w:val="412"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7"/>
              <w:ind w:right="20"/>
              <w:jc w:val="right"/>
              <w:rPr>
                <w:rFonts w:ascii="宋体" w:hAnsi="宋体" w:cs="宋体" w:eastAsia="宋体" w:hint="default"/>
                <w:sz w:val="15"/>
                <w:szCs w:val="15"/>
              </w:rPr>
            </w:pPr>
            <w:r>
              <w:rPr>
                <w:rFonts w:ascii="宋体" w:hAnsi="宋体" w:cs="宋体" w:eastAsia="宋体" w:hint="default"/>
                <w:sz w:val="15"/>
                <w:szCs w:val="15"/>
              </w:rPr>
              <w:t>前期差错更正</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8"/>
              <w:ind w:right="15"/>
              <w:jc w:val="center"/>
              <w:rPr>
                <w:rFonts w:ascii="宋体" w:hAnsi="宋体" w:cs="宋体" w:eastAsia="宋体" w:hint="default"/>
                <w:sz w:val="15"/>
                <w:szCs w:val="15"/>
              </w:rPr>
            </w:pPr>
            <w:r>
              <w:rPr>
                <w:rFonts w:ascii="宋体" w:hAnsi="宋体" w:cs="宋体" w:eastAsia="宋体" w:hint="default"/>
                <w:sz w:val="15"/>
                <w:szCs w:val="15"/>
              </w:rPr>
              <w:t>其他</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73"/>
              <w:ind w:left="40" w:right="0"/>
              <w:jc w:val="center"/>
              <w:rPr>
                <w:rFonts w:ascii="宋体" w:hAnsi="宋体" w:cs="宋体" w:eastAsia="宋体" w:hint="default"/>
                <w:sz w:val="15"/>
                <w:szCs w:val="15"/>
              </w:rPr>
            </w:pPr>
            <w:r>
              <w:rPr>
                <w:rFonts w:ascii="宋体"/>
                <w:sz w:val="15"/>
              </w:rPr>
              <w:t>414,849,620.00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6" w:right="0"/>
              <w:jc w:val="center"/>
              <w:rPr>
                <w:rFonts w:ascii="宋体" w:hAnsi="宋体" w:cs="宋体" w:eastAsia="宋体" w:hint="default"/>
                <w:sz w:val="15"/>
                <w:szCs w:val="15"/>
              </w:rPr>
            </w:pPr>
            <w:r>
              <w:rPr>
                <w:rFonts w:ascii="宋体"/>
                <w:sz w:val="15"/>
              </w:rPr>
              <w:t>789,626,643.62</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5"/>
                <w:szCs w:val="15"/>
              </w:rPr>
            </w:pPr>
            <w:r>
              <w:rPr>
                <w:rFonts w:ascii="宋体"/>
                <w:spacing w:val="-1"/>
                <w:sz w:val="15"/>
              </w:rPr>
              <w:t>54,115,440.00</w:t>
            </w: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9"/>
              <w:jc w:val="right"/>
              <w:rPr>
                <w:rFonts w:ascii="宋体" w:hAnsi="宋体" w:cs="宋体" w:eastAsia="宋体" w:hint="default"/>
                <w:sz w:val="15"/>
                <w:szCs w:val="15"/>
              </w:rPr>
            </w:pPr>
            <w:r>
              <w:rPr>
                <w:rFonts w:ascii="宋体"/>
                <w:spacing w:val="-1"/>
                <w:sz w:val="15"/>
              </w:rPr>
              <w:t>21,281,039.35</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9"/>
              <w:jc w:val="right"/>
              <w:rPr>
                <w:rFonts w:ascii="宋体" w:hAnsi="宋体" w:cs="宋体" w:eastAsia="宋体" w:hint="default"/>
                <w:sz w:val="15"/>
                <w:szCs w:val="15"/>
              </w:rPr>
            </w:pPr>
            <w:r>
              <w:rPr>
                <w:rFonts w:ascii="宋体"/>
                <w:spacing w:val="-1"/>
                <w:sz w:val="15"/>
              </w:rPr>
              <w:t>-165,863,503.08</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12"/>
              <w:jc w:val="right"/>
              <w:rPr>
                <w:rFonts w:ascii="宋体" w:hAnsi="宋体" w:cs="宋体" w:eastAsia="宋体" w:hint="default"/>
                <w:sz w:val="15"/>
                <w:szCs w:val="15"/>
              </w:rPr>
            </w:pPr>
            <w:r>
              <w:rPr>
                <w:rFonts w:ascii="宋体"/>
                <w:spacing w:val="-1"/>
                <w:sz w:val="15"/>
              </w:rPr>
              <w:t>1,005,778,359.89</w:t>
            </w:r>
          </w:p>
        </w:tc>
      </w:tr>
      <w:tr>
        <w:trPr>
          <w:trHeight w:val="1031"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三、本期增减变动金额</w:t>
            </w:r>
          </w:p>
          <w:p>
            <w:pPr>
              <w:pStyle w:val="TableParagraph"/>
              <w:spacing w:line="381" w:lineRule="auto" w:before="115"/>
              <w:ind w:left="6" w:right="170"/>
              <w:jc w:val="left"/>
              <w:rPr>
                <w:rFonts w:ascii="宋体" w:hAnsi="宋体" w:cs="宋体" w:eastAsia="宋体" w:hint="default"/>
                <w:sz w:val="15"/>
                <w:szCs w:val="15"/>
              </w:rPr>
            </w:pPr>
            <w:r>
              <w:rPr>
                <w:rFonts w:ascii="宋体" w:hAnsi="宋体" w:cs="宋体" w:eastAsia="宋体" w:hint="default"/>
                <w:sz w:val="15"/>
                <w:szCs w:val="15"/>
              </w:rPr>
              <w:t>（减少以“－”号填 列）</w:t>
            </w:r>
          </w:p>
        </w:tc>
        <w:tc>
          <w:tcPr>
            <w:tcW w:w="11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16" w:right="0"/>
              <w:jc w:val="center"/>
              <w:rPr>
                <w:rFonts w:ascii="宋体" w:hAnsi="宋体" w:cs="宋体" w:eastAsia="宋体" w:hint="default"/>
                <w:sz w:val="15"/>
                <w:szCs w:val="15"/>
              </w:rPr>
            </w:pPr>
            <w:r>
              <w:rPr>
                <w:rFonts w:ascii="宋体"/>
                <w:sz w:val="15"/>
              </w:rPr>
              <w:t>-3,731,250.00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6" w:right="0"/>
              <w:jc w:val="center"/>
              <w:rPr>
                <w:rFonts w:ascii="宋体" w:hAnsi="宋体" w:cs="宋体" w:eastAsia="宋体" w:hint="default"/>
                <w:sz w:val="15"/>
                <w:szCs w:val="15"/>
              </w:rPr>
            </w:pPr>
            <w:r>
              <w:rPr>
                <w:rFonts w:ascii="宋体"/>
                <w:sz w:val="15"/>
              </w:rPr>
              <w:t>-29,960,488.94</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-29,073,900.00</w:t>
            </w: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-6,744,103.06</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-11,361,942.00</w:t>
            </w: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-6,744,103.06</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10"/>
              <w:jc w:val="right"/>
              <w:rPr>
                <w:rFonts w:ascii="宋体" w:hAnsi="宋体" w:cs="宋体" w:eastAsia="宋体" w:hint="default"/>
                <w:sz w:val="15"/>
                <w:szCs w:val="15"/>
              </w:rPr>
            </w:pPr>
            <w:r>
              <w:rPr>
                <w:rFonts w:ascii="宋体"/>
                <w:spacing w:val="-1"/>
                <w:sz w:val="15"/>
              </w:rPr>
              <w:t>-6,744,103.06</w:t>
            </w:r>
          </w:p>
        </w:tc>
      </w:tr>
      <w:tr>
        <w:trPr>
          <w:trHeight w:val="719"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4" w:lineRule="auto" w:before="74"/>
              <w:ind w:left="6" w:right="20"/>
              <w:jc w:val="left"/>
              <w:rPr>
                <w:rFonts w:ascii="宋体" w:hAnsi="宋体" w:cs="宋体" w:eastAsia="宋体" w:hint="default"/>
                <w:sz w:val="15"/>
                <w:szCs w:val="15"/>
              </w:rPr>
            </w:pPr>
            <w:r>
              <w:rPr>
                <w:rFonts w:ascii="宋体" w:hAnsi="宋体" w:cs="宋体" w:eastAsia="宋体" w:hint="default"/>
                <w:sz w:val="15"/>
                <w:szCs w:val="15"/>
              </w:rPr>
              <w:t>（二）所有者投入和减 少资本</w:t>
            </w:r>
          </w:p>
        </w:tc>
        <w:tc>
          <w:tcPr>
            <w:tcW w:w="11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16" w:right="0"/>
              <w:jc w:val="center"/>
              <w:rPr>
                <w:rFonts w:ascii="宋体" w:hAnsi="宋体" w:cs="宋体" w:eastAsia="宋体" w:hint="default"/>
                <w:sz w:val="15"/>
                <w:szCs w:val="15"/>
              </w:rPr>
            </w:pPr>
            <w:r>
              <w:rPr>
                <w:rFonts w:ascii="宋体"/>
                <w:sz w:val="15"/>
              </w:rPr>
              <w:t>-3,731,250.00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6" w:right="0"/>
              <w:jc w:val="center"/>
              <w:rPr>
                <w:rFonts w:ascii="宋体" w:hAnsi="宋体" w:cs="宋体" w:eastAsia="宋体" w:hint="default"/>
                <w:sz w:val="15"/>
                <w:szCs w:val="15"/>
              </w:rPr>
            </w:pPr>
            <w:r>
              <w:rPr>
                <w:rFonts w:ascii="宋体"/>
                <w:sz w:val="15"/>
              </w:rPr>
              <w:t>-29,960,488.94</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-29,073,900.00</w:t>
            </w: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-4,617,838.94</w:t>
            </w: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63"/>
                <w:sz w:val="15"/>
                <w:szCs w:val="15"/>
              </w:rPr>
              <w:t>．</w:t>
            </w:r>
            <w:r>
              <w:rPr>
                <w:rFonts w:ascii="宋体" w:hAnsi="宋体" w:cs="宋体" w:eastAsia="宋体" w:hint="default"/>
                <w:sz w:val="15"/>
                <w:szCs w:val="15"/>
              </w:rPr>
              <w:t>所有者投入的</w:t>
            </w:r>
            <w:r>
              <w:rPr>
                <w:rFonts w:ascii="宋体" w:hAnsi="宋体" w:cs="宋体" w:eastAsia="宋体" w:hint="default"/>
                <w:spacing w:val="-2"/>
                <w:sz w:val="15"/>
                <w:szCs w:val="15"/>
              </w:rPr>
              <w:t>普</w:t>
            </w:r>
            <w:r>
              <w:rPr>
                <w:rFonts w:ascii="宋体" w:hAnsi="宋体" w:cs="宋体" w:eastAsia="宋体" w:hint="default"/>
                <w:sz w:val="15"/>
                <w:szCs w:val="15"/>
              </w:rPr>
              <w:t>通股</w:t>
            </w:r>
          </w:p>
        </w:tc>
        <w:tc>
          <w:tcPr>
            <w:tcW w:w="11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74"/>
              <w:ind w:left="116" w:right="0"/>
              <w:jc w:val="center"/>
              <w:rPr>
                <w:rFonts w:ascii="宋体" w:hAnsi="宋体" w:cs="宋体" w:eastAsia="宋体" w:hint="default"/>
                <w:sz w:val="15"/>
                <w:szCs w:val="15"/>
              </w:rPr>
            </w:pPr>
            <w:r>
              <w:rPr>
                <w:rFonts w:ascii="宋体"/>
                <w:sz w:val="15"/>
              </w:rPr>
              <w:t>-3,731,250.00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6" w:right="0"/>
              <w:jc w:val="center"/>
              <w:rPr>
                <w:rFonts w:ascii="宋体" w:hAnsi="宋体" w:cs="宋体" w:eastAsia="宋体" w:hint="default"/>
                <w:sz w:val="15"/>
                <w:szCs w:val="15"/>
              </w:rPr>
            </w:pPr>
            <w:r>
              <w:rPr>
                <w:rFonts w:ascii="宋体"/>
                <w:sz w:val="15"/>
              </w:rPr>
              <w:t>-25,342,650.00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-29,073,900.00</w:t>
            </w: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8"/>
              <w:jc w:val="left"/>
              <w:rPr>
                <w:rFonts w:ascii="宋体" w:hAnsi="宋体" w:cs="宋体" w:eastAsia="宋体" w:hint="default"/>
                <w:sz w:val="15"/>
                <w:szCs w:val="15"/>
              </w:rPr>
            </w:pPr>
            <w:r>
              <w:rPr>
                <w:rFonts w:ascii="宋体" w:hAnsi="宋体" w:cs="宋体" w:eastAsia="宋体" w:hint="default"/>
                <w:spacing w:val="-6"/>
                <w:sz w:val="15"/>
                <w:szCs w:val="15"/>
              </w:rPr>
              <w:t>2</w:t>
            </w:r>
            <w:r>
              <w:rPr>
                <w:rFonts w:ascii="宋体" w:hAnsi="宋体" w:cs="宋体" w:eastAsia="宋体" w:hint="default"/>
                <w:spacing w:val="-6"/>
                <w:sz w:val="15"/>
                <w:szCs w:val="15"/>
              </w:rPr>
              <w:t>．其他权益工具持有者</w:t>
            </w:r>
            <w:r>
              <w:rPr>
                <w:rFonts w:ascii="宋体" w:hAnsi="宋体" w:cs="宋体" w:eastAsia="宋体" w:hint="default"/>
                <w:sz w:val="15"/>
                <w:szCs w:val="15"/>
              </w:rPr>
              <w:t> 投入资本</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8"/>
              <w:jc w:val="left"/>
              <w:rPr>
                <w:rFonts w:ascii="宋体" w:hAnsi="宋体" w:cs="宋体" w:eastAsia="宋体" w:hint="default"/>
                <w:sz w:val="15"/>
                <w:szCs w:val="15"/>
              </w:rPr>
            </w:pPr>
            <w:r>
              <w:rPr>
                <w:rFonts w:ascii="宋体" w:hAnsi="宋体" w:cs="宋体" w:eastAsia="宋体" w:hint="default"/>
                <w:spacing w:val="-6"/>
                <w:sz w:val="15"/>
                <w:szCs w:val="15"/>
              </w:rPr>
              <w:t>3</w:t>
            </w:r>
            <w:r>
              <w:rPr>
                <w:rFonts w:ascii="宋体" w:hAnsi="宋体" w:cs="宋体" w:eastAsia="宋体" w:hint="default"/>
                <w:spacing w:val="-6"/>
                <w:sz w:val="15"/>
                <w:szCs w:val="15"/>
              </w:rPr>
              <w:t>．股份支付计入所有者</w:t>
            </w:r>
            <w:r>
              <w:rPr>
                <w:rFonts w:ascii="宋体" w:hAnsi="宋体" w:cs="宋体" w:eastAsia="宋体" w:hint="default"/>
                <w:sz w:val="15"/>
                <w:szCs w:val="15"/>
              </w:rPr>
              <w:t> 权益的金额</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12" w:right="0"/>
              <w:jc w:val="center"/>
              <w:rPr>
                <w:rFonts w:ascii="宋体" w:hAnsi="宋体" w:cs="宋体" w:eastAsia="宋体" w:hint="default"/>
                <w:sz w:val="15"/>
                <w:szCs w:val="15"/>
              </w:rPr>
            </w:pPr>
            <w:r>
              <w:rPr>
                <w:rFonts w:ascii="宋体"/>
                <w:sz w:val="15"/>
              </w:rPr>
              <w:t>-3,609,933.81</w:t>
            </w: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-3,609,933.81</w:t>
            </w: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12" w:right="0"/>
              <w:jc w:val="center"/>
              <w:rPr>
                <w:rFonts w:ascii="宋体" w:hAnsi="宋体" w:cs="宋体" w:eastAsia="宋体" w:hint="default"/>
                <w:sz w:val="15"/>
                <w:szCs w:val="15"/>
              </w:rPr>
            </w:pPr>
            <w:r>
              <w:rPr>
                <w:rFonts w:ascii="宋体"/>
                <w:sz w:val="15"/>
              </w:rPr>
              <w:t>-1,007,905.13</w:t>
            </w: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10"/>
              <w:jc w:val="right"/>
              <w:rPr>
                <w:rFonts w:ascii="宋体" w:hAnsi="宋体" w:cs="宋体" w:eastAsia="宋体" w:hint="default"/>
                <w:sz w:val="15"/>
                <w:szCs w:val="15"/>
              </w:rPr>
            </w:pPr>
            <w:r>
              <w:rPr>
                <w:rFonts w:ascii="宋体"/>
                <w:spacing w:val="-1"/>
                <w:sz w:val="15"/>
              </w:rPr>
              <w:t>-1,007,905.13</w:t>
            </w: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51" w:type="dxa"/>
            <w:tcBorders>
              <w:top w:val="single" w:sz="6" w:space="0" w:color="000000"/>
              <w:left w:val="single" w:sz="12" w:space="0" w:color="000000"/>
              <w:bottom w:val="single" w:sz="6" w:space="0" w:color="000000"/>
              <w:right w:val="single" w:sz="14" w:space="0" w:color="FFFFFF"/>
            </w:tcBorders>
            <w:shd w:val="clear" w:color="auto" w:fill="D2D2D2"/>
          </w:tcPr>
          <w:p>
            <w:pPr>
              <w:pStyle w:val="TableParagraph"/>
              <w:spacing w:line="381" w:lineRule="auto" w:before="76"/>
              <w:ind w:left="6" w:right="-63"/>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 的分配</w:t>
            </w:r>
          </w:p>
        </w:tc>
        <w:tc>
          <w:tcPr>
            <w:tcW w:w="1156" w:type="dxa"/>
            <w:tcBorders>
              <w:top w:val="single" w:sz="6" w:space="0" w:color="000000"/>
              <w:left w:val="single" w:sz="9" w:space="0" w:color="FFFFFF"/>
              <w:bottom w:val="single" w:sz="6" w:space="0" w:color="000000"/>
              <w:right w:val="single" w:sz="6" w:space="0" w:color="000000"/>
            </w:tcBorders>
          </w:tcPr>
          <w:p>
            <w:pPr>
              <w:pStyle w:val="TableParagraph"/>
              <w:spacing w:line="196" w:lineRule="exact"/>
              <w:ind w:left="6" w:right="-52"/>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position w:val="-3"/>
                <w:sz w:val="19"/>
                <w:szCs w:val="19"/>
              </w:rPr>
              <w:pict>
                <v:group style="width:56.65pt;height:9.8pt;mso-position-horizontal-relative:char;mso-position-vertical-relative:line" coordorigin="0,0" coordsize="1133,196">
                  <v:group style="position:absolute;left:0;top:0;width:1133;height:196" coordorigin="0,0" coordsize="1133,196">
                    <v:shape style="position:absolute;left:0;top:0;width:1133;height:196" coordorigin="0,0" coordsize="1133,196" path="m0,196l1133,196,1133,0,0,0,0,196xe" filled="true" fillcolor="#ffffff" stroked="false">
                      <v:path arrowok="t"/>
                      <v:fill type="solid"/>
                    </v:shape>
                  </v:group>
                </v:group>
              </w:pict>
            </w:r>
            <w:r>
              <w:rPr>
                <w:rFonts w:ascii="Times New Roman" w:hAnsi="Times New Roman" w:cs="Times New Roman" w:eastAsia="Times New Roman" w:hint="default"/>
                <w:position w:val="-3"/>
                <w:sz w:val="19"/>
                <w:szCs w:val="19"/>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20"/>
              <w:jc w:val="left"/>
              <w:rPr>
                <w:rFonts w:ascii="宋体" w:hAnsi="宋体" w:cs="宋体" w:eastAsia="宋体" w:hint="default"/>
                <w:sz w:val="15"/>
                <w:szCs w:val="15"/>
              </w:rPr>
            </w:pPr>
            <w:r>
              <w:rPr>
                <w:rFonts w:ascii="宋体" w:hAnsi="宋体" w:cs="宋体" w:eastAsia="宋体" w:hint="default"/>
                <w:sz w:val="15"/>
                <w:szCs w:val="15"/>
              </w:rPr>
              <w:t>（四）所有者权益内部 结转</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w:t>
            </w:r>
          </w:p>
          <w:p>
            <w:pPr>
              <w:pStyle w:val="TableParagraph"/>
              <w:spacing w:line="240" w:lineRule="auto" w:before="115"/>
              <w:ind w:left="6"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w:t>
            </w:r>
          </w:p>
          <w:p>
            <w:pPr>
              <w:pStyle w:val="TableParagraph"/>
              <w:spacing w:line="240" w:lineRule="auto" w:before="117"/>
              <w:ind w:left="6"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8"/>
              <w:jc w:val="left"/>
              <w:rPr>
                <w:rFonts w:ascii="宋体" w:hAnsi="宋体" w:cs="宋体" w:eastAsia="宋体" w:hint="default"/>
                <w:sz w:val="15"/>
                <w:szCs w:val="15"/>
              </w:rPr>
            </w:pPr>
            <w:r>
              <w:rPr>
                <w:rFonts w:ascii="宋体" w:hAnsi="宋体" w:cs="宋体" w:eastAsia="宋体" w:hint="default"/>
                <w:spacing w:val="-6"/>
                <w:sz w:val="15"/>
                <w:szCs w:val="15"/>
              </w:rPr>
              <w:t>4</w:t>
            </w:r>
            <w:r>
              <w:rPr>
                <w:rFonts w:ascii="宋体" w:hAnsi="宋体" w:cs="宋体" w:eastAsia="宋体" w:hint="default"/>
                <w:spacing w:val="-6"/>
                <w:sz w:val="15"/>
                <w:szCs w:val="15"/>
              </w:rPr>
              <w:t>．设定受益计划变动额</w:t>
            </w:r>
            <w:r>
              <w:rPr>
                <w:rFonts w:ascii="宋体" w:hAnsi="宋体" w:cs="宋体" w:eastAsia="宋体" w:hint="default"/>
                <w:sz w:val="15"/>
                <w:szCs w:val="15"/>
              </w:rPr>
              <w:t> 结转留存收益</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55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5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5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74"/>
              <w:ind w:left="40" w:right="0"/>
              <w:jc w:val="center"/>
              <w:rPr>
                <w:rFonts w:ascii="宋体" w:hAnsi="宋体" w:cs="宋体" w:eastAsia="宋体" w:hint="default"/>
                <w:sz w:val="15"/>
                <w:szCs w:val="15"/>
              </w:rPr>
            </w:pPr>
            <w:r>
              <w:rPr>
                <w:rFonts w:ascii="宋体"/>
                <w:sz w:val="15"/>
              </w:rPr>
              <w:t>411,118,370.00</w:t>
            </w:r>
          </w:p>
        </w:tc>
        <w:tc>
          <w:tcPr>
            <w:tcW w:w="382" w:type="dxa"/>
            <w:tcBorders>
              <w:top w:val="single" w:sz="6" w:space="0" w:color="000000"/>
              <w:left w:val="single" w:sz="6" w:space="0" w:color="000000"/>
              <w:bottom w:val="single" w:sz="12" w:space="0" w:color="000000"/>
              <w:right w:val="single" w:sz="6" w:space="0" w:color="000000"/>
            </w:tcBorders>
          </w:tcPr>
          <w:p>
            <w:pPr/>
          </w:p>
        </w:tc>
        <w:tc>
          <w:tcPr>
            <w:tcW w:w="422" w:type="dxa"/>
            <w:tcBorders>
              <w:top w:val="single" w:sz="6" w:space="0" w:color="000000"/>
              <w:left w:val="single" w:sz="6" w:space="0" w:color="000000"/>
              <w:bottom w:val="single" w:sz="12" w:space="0" w:color="000000"/>
              <w:right w:val="single" w:sz="6" w:space="0" w:color="000000"/>
            </w:tcBorders>
          </w:tcPr>
          <w:p>
            <w:pPr/>
          </w:p>
        </w:tc>
        <w:tc>
          <w:tcPr>
            <w:tcW w:w="274" w:type="dxa"/>
            <w:tcBorders>
              <w:top w:val="single" w:sz="6" w:space="0" w:color="000000"/>
              <w:left w:val="single" w:sz="6" w:space="0" w:color="000000"/>
              <w:bottom w:val="single" w:sz="12" w:space="0" w:color="000000"/>
              <w:right w:val="single" w:sz="6" w:space="0" w:color="000000"/>
            </w:tcBorders>
          </w:tcPr>
          <w:p>
            <w:pPr/>
          </w:p>
        </w:tc>
        <w:tc>
          <w:tcPr>
            <w:tcW w:w="11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36" w:right="0"/>
              <w:jc w:val="center"/>
              <w:rPr>
                <w:rFonts w:ascii="宋体" w:hAnsi="宋体" w:cs="宋体" w:eastAsia="宋体" w:hint="default"/>
                <w:sz w:val="15"/>
                <w:szCs w:val="15"/>
              </w:rPr>
            </w:pPr>
            <w:r>
              <w:rPr>
                <w:rFonts w:ascii="宋体"/>
                <w:sz w:val="15"/>
              </w:rPr>
              <w:t>759,666,154.68</w:t>
            </w:r>
          </w:p>
        </w:tc>
        <w:tc>
          <w:tcPr>
            <w:tcW w:w="1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25,041,540.00</w:t>
            </w:r>
          </w:p>
        </w:tc>
        <w:tc>
          <w:tcPr>
            <w:tcW w:w="559" w:type="dxa"/>
            <w:tcBorders>
              <w:top w:val="single" w:sz="6" w:space="0" w:color="000000"/>
              <w:left w:val="single" w:sz="6" w:space="0" w:color="000000"/>
              <w:bottom w:val="single" w:sz="12" w:space="0" w:color="000000"/>
              <w:right w:val="single" w:sz="6" w:space="0" w:color="000000"/>
            </w:tcBorders>
          </w:tcPr>
          <w:p>
            <w:pPr/>
          </w:p>
        </w:tc>
        <w:tc>
          <w:tcPr>
            <w:tcW w:w="437" w:type="dxa"/>
            <w:tcBorders>
              <w:top w:val="single" w:sz="6" w:space="0" w:color="000000"/>
              <w:left w:val="single" w:sz="6" w:space="0" w:color="000000"/>
              <w:bottom w:val="single" w:sz="12" w:space="0" w:color="000000"/>
              <w:right w:val="single" w:sz="6" w:space="0" w:color="000000"/>
            </w:tcBorders>
          </w:tcPr>
          <w:p>
            <w:pPr/>
          </w:p>
        </w:tc>
        <w:tc>
          <w:tcPr>
            <w:tcW w:w="1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21,281,039.35</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-172,607,606.14</w:t>
            </w:r>
          </w:p>
        </w:tc>
        <w:tc>
          <w:tcPr>
            <w:tcW w:w="14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right="10"/>
              <w:jc w:val="right"/>
              <w:rPr>
                <w:rFonts w:ascii="宋体" w:hAnsi="宋体" w:cs="宋体" w:eastAsia="宋体" w:hint="default"/>
                <w:sz w:val="15"/>
                <w:szCs w:val="15"/>
              </w:rPr>
            </w:pPr>
            <w:r>
              <w:rPr>
                <w:rFonts w:ascii="宋体"/>
                <w:spacing w:val="-1"/>
                <w:sz w:val="15"/>
              </w:rPr>
              <w:t>994,416,417.89</w:t>
            </w:r>
          </w:p>
        </w:tc>
      </w:tr>
    </w:tbl>
    <w:p>
      <w:pPr>
        <w:spacing w:after="0" w:line="240" w:lineRule="auto"/>
        <w:jc w:val="right"/>
        <w:rPr>
          <w:rFonts w:ascii="宋体" w:hAnsi="宋体" w:cs="宋体" w:eastAsia="宋体" w:hint="default"/>
          <w:sz w:val="15"/>
          <w:szCs w:val="15"/>
        </w:rPr>
        <w:sectPr>
          <w:pgSz w:w="11910" w:h="16840"/>
          <w:pgMar w:header="877" w:footer="1000" w:top="1100" w:bottom="1180" w:left="180" w:right="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pgSz w:w="11910" w:h="16840"/>
          <w:pgMar w:header="877" w:footer="1000" w:top="1100" w:bottom="1180" w:left="180" w:right="0"/>
        </w:sectPr>
      </w:pPr>
    </w:p>
    <w:p>
      <w:pPr>
        <w:pStyle w:val="BodyText"/>
        <w:spacing w:line="240" w:lineRule="auto" w:before="35"/>
        <w:ind w:left="954" w:right="-20"/>
        <w:jc w:val="left"/>
      </w:pPr>
      <w:r>
        <w:rPr/>
        <w:t>上期金额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935" w:right="1111"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580" w:bottom="700" w:left="180" w:right="0"/>
          <w:cols w:num="2" w:equalWidth="0">
            <w:col w:w="1795" w:space="7125"/>
            <w:col w:w="2810"/>
          </w:cols>
        </w:sectPr>
      </w:pP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51"/>
        <w:gridCol w:w="1156"/>
        <w:gridCol w:w="382"/>
        <w:gridCol w:w="422"/>
        <w:gridCol w:w="274"/>
        <w:gridCol w:w="1310"/>
        <w:gridCol w:w="1186"/>
        <w:gridCol w:w="518"/>
        <w:gridCol w:w="409"/>
        <w:gridCol w:w="1241"/>
        <w:gridCol w:w="1337"/>
        <w:gridCol w:w="1500"/>
      </w:tblGrid>
      <w:tr>
        <w:trPr>
          <w:trHeight w:val="413" w:hRule="exact"/>
        </w:trPr>
        <w:tc>
          <w:tcPr>
            <w:tcW w:w="1551" w:type="dxa"/>
            <w:vMerge w:val="restart"/>
            <w:tcBorders>
              <w:top w:val="single" w:sz="12" w:space="0" w:color="000000"/>
              <w:left w:val="single" w:sz="12" w:space="0" w:color="000000"/>
              <w:right w:val="single" w:sz="6" w:space="0" w:color="000000"/>
            </w:tcBorders>
            <w:shd w:val="clear" w:color="auto" w:fill="D2D2D2"/>
          </w:tcPr>
          <w:p>
            <w:pPr/>
          </w:p>
        </w:tc>
        <w:tc>
          <w:tcPr>
            <w:tcW w:w="9734"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74"/>
              <w:ind w:left="19"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188" w:hRule="exact"/>
        </w:trPr>
        <w:tc>
          <w:tcPr>
            <w:tcW w:w="1551" w:type="dxa"/>
            <w:vMerge/>
            <w:tcBorders>
              <w:left w:val="single" w:sz="12" w:space="0" w:color="000000"/>
              <w:bottom w:val="nil" w:sz="6" w:space="0" w:color="auto"/>
              <w:right w:val="single" w:sz="6" w:space="0" w:color="000000"/>
            </w:tcBorders>
            <w:shd w:val="clear" w:color="auto" w:fill="D2D2D2"/>
          </w:tcPr>
          <w:p>
            <w:pPr/>
          </w:p>
        </w:tc>
        <w:tc>
          <w:tcPr>
            <w:tcW w:w="1156" w:type="dxa"/>
            <w:vMerge w:val="restart"/>
            <w:tcBorders>
              <w:top w:val="single" w:sz="6" w:space="0" w:color="000000"/>
              <w:left w:val="single" w:sz="6" w:space="0" w:color="000000"/>
              <w:right w:val="single" w:sz="6" w:space="0" w:color="000000"/>
            </w:tcBorders>
            <w:shd w:val="clear" w:color="auto" w:fill="D2D2D2"/>
          </w:tcPr>
          <w:p>
            <w:pPr/>
          </w:p>
        </w:tc>
        <w:tc>
          <w:tcPr>
            <w:tcW w:w="1078"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6"/>
              <w:ind w:left="81"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310" w:type="dxa"/>
            <w:vMerge w:val="restart"/>
            <w:tcBorders>
              <w:top w:val="single" w:sz="6" w:space="0" w:color="000000"/>
              <w:left w:val="single" w:sz="6" w:space="0" w:color="000000"/>
              <w:right w:val="single" w:sz="6" w:space="0" w:color="000000"/>
            </w:tcBorders>
            <w:shd w:val="clear" w:color="auto" w:fill="D2D2D2"/>
          </w:tcPr>
          <w:p>
            <w:pPr/>
          </w:p>
        </w:tc>
        <w:tc>
          <w:tcPr>
            <w:tcW w:w="1186" w:type="dxa"/>
            <w:vMerge w:val="restart"/>
            <w:tcBorders>
              <w:top w:val="single" w:sz="6" w:space="0" w:color="000000"/>
              <w:left w:val="single" w:sz="6" w:space="0" w:color="000000"/>
              <w:right w:val="single" w:sz="6" w:space="0" w:color="000000"/>
            </w:tcBorders>
            <w:shd w:val="clear" w:color="auto" w:fill="D2D2D2"/>
          </w:tcPr>
          <w:p>
            <w:pPr/>
          </w:p>
        </w:tc>
        <w:tc>
          <w:tcPr>
            <w:tcW w:w="518" w:type="dxa"/>
            <w:tcBorders>
              <w:top w:val="single" w:sz="6" w:space="0" w:color="000000"/>
              <w:left w:val="single" w:sz="6" w:space="0" w:color="000000"/>
              <w:bottom w:val="nil" w:sz="6" w:space="0" w:color="auto"/>
              <w:right w:val="single" w:sz="6" w:space="0" w:color="000000"/>
            </w:tcBorders>
            <w:shd w:val="clear" w:color="auto" w:fill="D2D2D2"/>
          </w:tcPr>
          <w:p>
            <w:pPr/>
          </w:p>
        </w:tc>
        <w:tc>
          <w:tcPr>
            <w:tcW w:w="40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41" w:type="dxa"/>
            <w:vMerge w:val="restart"/>
            <w:tcBorders>
              <w:top w:val="single" w:sz="6" w:space="0" w:color="000000"/>
              <w:left w:val="single" w:sz="6" w:space="0" w:color="000000"/>
              <w:right w:val="single" w:sz="6" w:space="0" w:color="000000"/>
            </w:tcBorders>
            <w:shd w:val="clear" w:color="auto" w:fill="D2D2D2"/>
          </w:tcPr>
          <w:p>
            <w:pPr/>
          </w:p>
        </w:tc>
        <w:tc>
          <w:tcPr>
            <w:tcW w:w="1337" w:type="dxa"/>
            <w:vMerge w:val="restart"/>
            <w:tcBorders>
              <w:top w:val="single" w:sz="6" w:space="0" w:color="000000"/>
              <w:left w:val="single" w:sz="6" w:space="0" w:color="000000"/>
              <w:right w:val="single" w:sz="6" w:space="0" w:color="000000"/>
            </w:tcBorders>
            <w:shd w:val="clear" w:color="auto" w:fill="D2D2D2"/>
          </w:tcPr>
          <w:p>
            <w:pPr/>
          </w:p>
        </w:tc>
        <w:tc>
          <w:tcPr>
            <w:tcW w:w="1500" w:type="dxa"/>
            <w:vMerge w:val="restart"/>
            <w:tcBorders>
              <w:top w:val="single" w:sz="6" w:space="0" w:color="000000"/>
              <w:left w:val="single" w:sz="6" w:space="0" w:color="000000"/>
              <w:right w:val="single" w:sz="12" w:space="0" w:color="000000"/>
            </w:tcBorders>
            <w:shd w:val="clear" w:color="auto" w:fill="D2D2D2"/>
          </w:tcPr>
          <w:p>
            <w:pPr/>
          </w:p>
        </w:tc>
      </w:tr>
      <w:tr>
        <w:trPr>
          <w:trHeight w:val="192" w:hRule="exact"/>
        </w:trPr>
        <w:tc>
          <w:tcPr>
            <w:tcW w:w="155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5"/>
                <w:szCs w:val="15"/>
              </w:rPr>
            </w:pPr>
            <w:r>
              <w:rPr>
                <w:rFonts w:ascii="宋体" w:hAnsi="宋体" w:cs="宋体" w:eastAsia="宋体" w:hint="default"/>
                <w:sz w:val="15"/>
                <w:szCs w:val="15"/>
              </w:rPr>
              <w:t>项目</w:t>
            </w:r>
          </w:p>
        </w:tc>
        <w:tc>
          <w:tcPr>
            <w:tcW w:w="1156" w:type="dxa"/>
            <w:vMerge/>
            <w:tcBorders>
              <w:left w:val="single" w:sz="6" w:space="0" w:color="000000"/>
              <w:bottom w:val="nil" w:sz="6" w:space="0" w:color="auto"/>
              <w:right w:val="single" w:sz="6" w:space="0" w:color="000000"/>
            </w:tcBorders>
            <w:shd w:val="clear" w:color="auto" w:fill="D2D2D2"/>
          </w:tcPr>
          <w:p>
            <w:pPr/>
          </w:p>
        </w:tc>
        <w:tc>
          <w:tcPr>
            <w:tcW w:w="1078" w:type="dxa"/>
            <w:gridSpan w:val="3"/>
            <w:vMerge/>
            <w:tcBorders>
              <w:left w:val="single" w:sz="6" w:space="0" w:color="000000"/>
              <w:bottom w:val="single" w:sz="6" w:space="0" w:color="000000"/>
              <w:right w:val="single" w:sz="6" w:space="0" w:color="000000"/>
            </w:tcBorders>
            <w:shd w:val="clear" w:color="auto" w:fill="D2D2D2"/>
          </w:tcPr>
          <w:p>
            <w:pPr/>
          </w:p>
        </w:tc>
        <w:tc>
          <w:tcPr>
            <w:tcW w:w="1310" w:type="dxa"/>
            <w:vMerge/>
            <w:tcBorders>
              <w:left w:val="single" w:sz="6" w:space="0" w:color="000000"/>
              <w:bottom w:val="nil" w:sz="6" w:space="0" w:color="auto"/>
              <w:right w:val="single" w:sz="6" w:space="0" w:color="000000"/>
            </w:tcBorders>
            <w:shd w:val="clear" w:color="auto" w:fill="D2D2D2"/>
          </w:tcPr>
          <w:p>
            <w:pPr/>
          </w:p>
        </w:tc>
        <w:tc>
          <w:tcPr>
            <w:tcW w:w="1186" w:type="dxa"/>
            <w:vMerge/>
            <w:tcBorders>
              <w:left w:val="single" w:sz="6" w:space="0" w:color="000000"/>
              <w:bottom w:val="nil" w:sz="6" w:space="0" w:color="auto"/>
              <w:right w:val="single" w:sz="6" w:space="0" w:color="000000"/>
            </w:tcBorders>
            <w:shd w:val="clear" w:color="auto" w:fill="D2D2D2"/>
          </w:tcPr>
          <w:p>
            <w:pPr/>
          </w:p>
        </w:tc>
        <w:tc>
          <w:tcPr>
            <w:tcW w:w="518" w:type="dxa"/>
            <w:vMerge w:val="restart"/>
            <w:tcBorders>
              <w:top w:val="nil" w:sz="6" w:space="0" w:color="auto"/>
              <w:left w:val="single" w:sz="6" w:space="0" w:color="000000"/>
              <w:right w:val="single" w:sz="6" w:space="0" w:color="000000"/>
            </w:tcBorders>
            <w:shd w:val="clear" w:color="auto" w:fill="D2D2D2"/>
          </w:tcPr>
          <w:p>
            <w:pPr>
              <w:pStyle w:val="TableParagraph"/>
              <w:spacing w:line="384" w:lineRule="auto" w:before="98"/>
              <w:ind w:left="26" w:right="25"/>
              <w:jc w:val="left"/>
              <w:rPr>
                <w:rFonts w:ascii="宋体" w:hAnsi="宋体" w:cs="宋体" w:eastAsia="宋体" w:hint="default"/>
                <w:sz w:val="15"/>
                <w:szCs w:val="15"/>
              </w:rPr>
            </w:pPr>
            <w:r>
              <w:rPr>
                <w:rFonts w:ascii="宋体" w:hAnsi="宋体" w:cs="宋体" w:eastAsia="宋体" w:hint="default"/>
                <w:sz w:val="15"/>
                <w:szCs w:val="15"/>
              </w:rPr>
              <w:t>其他综 合收益</w:t>
            </w:r>
          </w:p>
        </w:tc>
        <w:tc>
          <w:tcPr>
            <w:tcW w:w="409" w:type="dxa"/>
            <w:vMerge w:val="restart"/>
            <w:tcBorders>
              <w:top w:val="nil" w:sz="6" w:space="0" w:color="auto"/>
              <w:left w:val="single" w:sz="6" w:space="0" w:color="000000"/>
              <w:right w:val="single" w:sz="6" w:space="0" w:color="000000"/>
            </w:tcBorders>
            <w:shd w:val="clear" w:color="auto" w:fill="D2D2D2"/>
          </w:tcPr>
          <w:p>
            <w:pPr>
              <w:pStyle w:val="TableParagraph"/>
              <w:spacing w:line="384" w:lineRule="auto" w:before="98"/>
              <w:ind w:left="46" w:right="47"/>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241" w:type="dxa"/>
            <w:vMerge/>
            <w:tcBorders>
              <w:left w:val="single" w:sz="6" w:space="0" w:color="000000"/>
              <w:bottom w:val="nil" w:sz="6" w:space="0" w:color="auto"/>
              <w:right w:val="single" w:sz="6" w:space="0" w:color="000000"/>
            </w:tcBorders>
            <w:shd w:val="clear" w:color="auto" w:fill="D2D2D2"/>
          </w:tcPr>
          <w:p>
            <w:pPr/>
          </w:p>
        </w:tc>
        <w:tc>
          <w:tcPr>
            <w:tcW w:w="1337" w:type="dxa"/>
            <w:vMerge/>
            <w:tcBorders>
              <w:left w:val="single" w:sz="6" w:space="0" w:color="000000"/>
              <w:bottom w:val="nil" w:sz="6" w:space="0" w:color="auto"/>
              <w:right w:val="single" w:sz="6" w:space="0" w:color="000000"/>
            </w:tcBorders>
            <w:shd w:val="clear" w:color="auto" w:fill="D2D2D2"/>
          </w:tcPr>
          <w:p>
            <w:pPr/>
          </w:p>
        </w:tc>
        <w:tc>
          <w:tcPr>
            <w:tcW w:w="1500" w:type="dxa"/>
            <w:vMerge/>
            <w:tcBorders>
              <w:left w:val="single" w:sz="6" w:space="0" w:color="000000"/>
              <w:bottom w:val="nil" w:sz="6" w:space="0" w:color="auto"/>
              <w:right w:val="single" w:sz="12" w:space="0" w:color="000000"/>
            </w:tcBorders>
            <w:shd w:val="clear" w:color="auto" w:fill="D2D2D2"/>
          </w:tcPr>
          <w:p>
            <w:pPr/>
          </w:p>
        </w:tc>
      </w:tr>
      <w:tr>
        <w:trPr>
          <w:trHeight w:val="176" w:hRule="exact"/>
        </w:trPr>
        <w:tc>
          <w:tcPr>
            <w:tcW w:w="1551" w:type="dxa"/>
            <w:vMerge/>
            <w:tcBorders>
              <w:left w:val="single" w:sz="12" w:space="0" w:color="000000"/>
              <w:bottom w:val="nil" w:sz="6" w:space="0" w:color="auto"/>
              <w:right w:val="single" w:sz="6" w:space="0" w:color="000000"/>
            </w:tcBorders>
            <w:shd w:val="clear" w:color="auto" w:fill="D2D2D2"/>
          </w:tcPr>
          <w:p>
            <w:pPr/>
          </w:p>
        </w:tc>
        <w:tc>
          <w:tcPr>
            <w:tcW w:w="115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2"/>
              <w:ind w:left="1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382"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103"/>
              <w:ind w:left="109" w:right="31" w:hanging="76"/>
              <w:jc w:val="left"/>
              <w:rPr>
                <w:rFonts w:ascii="宋体" w:hAnsi="宋体" w:cs="宋体" w:eastAsia="宋体" w:hint="default"/>
                <w:sz w:val="15"/>
                <w:szCs w:val="15"/>
              </w:rPr>
            </w:pPr>
            <w:r>
              <w:rPr>
                <w:rFonts w:ascii="宋体" w:hAnsi="宋体" w:cs="宋体" w:eastAsia="宋体" w:hint="default"/>
                <w:sz w:val="15"/>
                <w:szCs w:val="15"/>
              </w:rPr>
              <w:t>优先 股</w:t>
            </w:r>
          </w:p>
        </w:tc>
        <w:tc>
          <w:tcPr>
            <w:tcW w:w="422"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103"/>
              <w:ind w:left="128" w:right="53" w:hanging="75"/>
              <w:jc w:val="left"/>
              <w:rPr>
                <w:rFonts w:ascii="宋体" w:hAnsi="宋体" w:cs="宋体" w:eastAsia="宋体" w:hint="default"/>
                <w:sz w:val="15"/>
                <w:szCs w:val="15"/>
              </w:rPr>
            </w:pPr>
            <w:r>
              <w:rPr>
                <w:rFonts w:ascii="宋体" w:hAnsi="宋体" w:cs="宋体" w:eastAsia="宋体" w:hint="default"/>
                <w:sz w:val="15"/>
                <w:szCs w:val="15"/>
              </w:rPr>
              <w:t>永续 债</w:t>
            </w:r>
          </w:p>
        </w:tc>
        <w:tc>
          <w:tcPr>
            <w:tcW w:w="274"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103"/>
              <w:ind w:left="55" w:right="53"/>
              <w:jc w:val="left"/>
              <w:rPr>
                <w:rFonts w:ascii="宋体" w:hAnsi="宋体" w:cs="宋体" w:eastAsia="宋体" w:hint="default"/>
                <w:sz w:val="15"/>
                <w:szCs w:val="15"/>
              </w:rPr>
            </w:pPr>
            <w:r>
              <w:rPr>
                <w:rFonts w:ascii="宋体" w:hAnsi="宋体" w:cs="宋体" w:eastAsia="宋体" w:hint="default"/>
                <w:sz w:val="15"/>
                <w:szCs w:val="15"/>
              </w:rPr>
              <w:t>其 他</w:t>
            </w:r>
          </w:p>
        </w:tc>
        <w:tc>
          <w:tcPr>
            <w:tcW w:w="131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2"/>
              <w:ind w:left="34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8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2"/>
              <w:ind w:left="209"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518" w:type="dxa"/>
            <w:vMerge/>
            <w:tcBorders>
              <w:left w:val="single" w:sz="6" w:space="0" w:color="000000"/>
              <w:right w:val="single" w:sz="6" w:space="0" w:color="000000"/>
            </w:tcBorders>
            <w:shd w:val="clear" w:color="auto" w:fill="D2D2D2"/>
          </w:tcPr>
          <w:p>
            <w:pPr/>
          </w:p>
        </w:tc>
        <w:tc>
          <w:tcPr>
            <w:tcW w:w="409" w:type="dxa"/>
            <w:vMerge/>
            <w:tcBorders>
              <w:left w:val="single" w:sz="6" w:space="0" w:color="000000"/>
              <w:right w:val="single" w:sz="6" w:space="0" w:color="000000"/>
            </w:tcBorders>
            <w:shd w:val="clear" w:color="auto" w:fill="D2D2D2"/>
          </w:tcPr>
          <w:p>
            <w:pPr/>
          </w:p>
        </w:tc>
        <w:tc>
          <w:tcPr>
            <w:tcW w:w="12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2"/>
              <w:ind w:left="31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3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2"/>
              <w:ind w:left="28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00"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62"/>
              <w:ind w:left="21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04" w:hRule="exact"/>
        </w:trPr>
        <w:tc>
          <w:tcPr>
            <w:tcW w:w="1551" w:type="dxa"/>
            <w:vMerge w:val="restart"/>
            <w:tcBorders>
              <w:top w:val="nil" w:sz="6" w:space="0" w:color="auto"/>
              <w:left w:val="single" w:sz="12" w:space="0" w:color="000000"/>
              <w:right w:val="single" w:sz="6" w:space="0" w:color="000000"/>
            </w:tcBorders>
            <w:shd w:val="clear" w:color="auto" w:fill="D2D2D2"/>
          </w:tcPr>
          <w:p>
            <w:pPr/>
          </w:p>
        </w:tc>
        <w:tc>
          <w:tcPr>
            <w:tcW w:w="1156" w:type="dxa"/>
            <w:vMerge/>
            <w:tcBorders>
              <w:left w:val="single" w:sz="6" w:space="0" w:color="000000"/>
              <w:bottom w:val="nil" w:sz="6" w:space="0" w:color="auto"/>
              <w:right w:val="single" w:sz="6" w:space="0" w:color="000000"/>
            </w:tcBorders>
            <w:shd w:val="clear" w:color="auto" w:fill="D2D2D2"/>
          </w:tcPr>
          <w:p>
            <w:pPr/>
          </w:p>
        </w:tc>
        <w:tc>
          <w:tcPr>
            <w:tcW w:w="382" w:type="dxa"/>
            <w:vMerge/>
            <w:tcBorders>
              <w:left w:val="single" w:sz="6" w:space="0" w:color="000000"/>
              <w:right w:val="single" w:sz="6" w:space="0" w:color="000000"/>
            </w:tcBorders>
            <w:shd w:val="clear" w:color="auto" w:fill="D2D2D2"/>
          </w:tcPr>
          <w:p>
            <w:pPr/>
          </w:p>
        </w:tc>
        <w:tc>
          <w:tcPr>
            <w:tcW w:w="422" w:type="dxa"/>
            <w:vMerge/>
            <w:tcBorders>
              <w:left w:val="single" w:sz="6" w:space="0" w:color="000000"/>
              <w:right w:val="single" w:sz="6" w:space="0" w:color="000000"/>
            </w:tcBorders>
            <w:shd w:val="clear" w:color="auto" w:fill="D2D2D2"/>
          </w:tcPr>
          <w:p>
            <w:pPr/>
          </w:p>
        </w:tc>
        <w:tc>
          <w:tcPr>
            <w:tcW w:w="274" w:type="dxa"/>
            <w:vMerge/>
            <w:tcBorders>
              <w:left w:val="single" w:sz="6" w:space="0" w:color="000000"/>
              <w:right w:val="single" w:sz="6" w:space="0" w:color="000000"/>
            </w:tcBorders>
            <w:shd w:val="clear" w:color="auto" w:fill="D2D2D2"/>
          </w:tcPr>
          <w:p>
            <w:pPr/>
          </w:p>
        </w:tc>
        <w:tc>
          <w:tcPr>
            <w:tcW w:w="1310" w:type="dxa"/>
            <w:vMerge/>
            <w:tcBorders>
              <w:left w:val="single" w:sz="6" w:space="0" w:color="000000"/>
              <w:bottom w:val="nil" w:sz="6" w:space="0" w:color="auto"/>
              <w:right w:val="single" w:sz="6" w:space="0" w:color="000000"/>
            </w:tcBorders>
            <w:shd w:val="clear" w:color="auto" w:fill="D2D2D2"/>
          </w:tcPr>
          <w:p>
            <w:pPr/>
          </w:p>
        </w:tc>
        <w:tc>
          <w:tcPr>
            <w:tcW w:w="1186" w:type="dxa"/>
            <w:vMerge/>
            <w:tcBorders>
              <w:left w:val="single" w:sz="6" w:space="0" w:color="000000"/>
              <w:bottom w:val="nil" w:sz="6" w:space="0" w:color="auto"/>
              <w:right w:val="single" w:sz="6" w:space="0" w:color="000000"/>
            </w:tcBorders>
            <w:shd w:val="clear" w:color="auto" w:fill="D2D2D2"/>
          </w:tcPr>
          <w:p>
            <w:pPr/>
          </w:p>
        </w:tc>
        <w:tc>
          <w:tcPr>
            <w:tcW w:w="518" w:type="dxa"/>
            <w:vMerge/>
            <w:tcBorders>
              <w:left w:val="single" w:sz="6" w:space="0" w:color="000000"/>
              <w:right w:val="single" w:sz="6" w:space="0" w:color="000000"/>
            </w:tcBorders>
            <w:shd w:val="clear" w:color="auto" w:fill="D2D2D2"/>
          </w:tcPr>
          <w:p>
            <w:pPr/>
          </w:p>
        </w:tc>
        <w:tc>
          <w:tcPr>
            <w:tcW w:w="409" w:type="dxa"/>
            <w:vMerge/>
            <w:tcBorders>
              <w:left w:val="single" w:sz="6" w:space="0" w:color="000000"/>
              <w:right w:val="single" w:sz="6" w:space="0" w:color="000000"/>
            </w:tcBorders>
            <w:shd w:val="clear" w:color="auto" w:fill="D2D2D2"/>
          </w:tcPr>
          <w:p>
            <w:pPr/>
          </w:p>
        </w:tc>
        <w:tc>
          <w:tcPr>
            <w:tcW w:w="1241" w:type="dxa"/>
            <w:vMerge/>
            <w:tcBorders>
              <w:left w:val="single" w:sz="6" w:space="0" w:color="000000"/>
              <w:bottom w:val="nil" w:sz="6" w:space="0" w:color="auto"/>
              <w:right w:val="single" w:sz="6" w:space="0" w:color="000000"/>
            </w:tcBorders>
            <w:shd w:val="clear" w:color="auto" w:fill="D2D2D2"/>
          </w:tcPr>
          <w:p>
            <w:pPr/>
          </w:p>
        </w:tc>
        <w:tc>
          <w:tcPr>
            <w:tcW w:w="1337" w:type="dxa"/>
            <w:vMerge/>
            <w:tcBorders>
              <w:left w:val="single" w:sz="6" w:space="0" w:color="000000"/>
              <w:bottom w:val="nil" w:sz="6" w:space="0" w:color="auto"/>
              <w:right w:val="single" w:sz="6" w:space="0" w:color="000000"/>
            </w:tcBorders>
            <w:shd w:val="clear" w:color="auto" w:fill="D2D2D2"/>
          </w:tcPr>
          <w:p>
            <w:pPr/>
          </w:p>
        </w:tc>
        <w:tc>
          <w:tcPr>
            <w:tcW w:w="1500" w:type="dxa"/>
            <w:vMerge/>
            <w:tcBorders>
              <w:left w:val="single" w:sz="6" w:space="0" w:color="000000"/>
              <w:bottom w:val="nil" w:sz="6" w:space="0" w:color="auto"/>
              <w:right w:val="single" w:sz="12" w:space="0" w:color="000000"/>
            </w:tcBorders>
            <w:shd w:val="clear" w:color="auto" w:fill="D2D2D2"/>
          </w:tcPr>
          <w:p>
            <w:pPr/>
          </w:p>
        </w:tc>
      </w:tr>
      <w:tr>
        <w:trPr>
          <w:trHeight w:val="156" w:hRule="exact"/>
        </w:trPr>
        <w:tc>
          <w:tcPr>
            <w:tcW w:w="1551" w:type="dxa"/>
            <w:vMerge/>
            <w:tcBorders>
              <w:left w:val="single" w:sz="12" w:space="0" w:color="000000"/>
              <w:right w:val="single" w:sz="6" w:space="0" w:color="000000"/>
            </w:tcBorders>
            <w:shd w:val="clear" w:color="auto" w:fill="D2D2D2"/>
          </w:tcPr>
          <w:p>
            <w:pPr/>
          </w:p>
        </w:tc>
        <w:tc>
          <w:tcPr>
            <w:tcW w:w="1156" w:type="dxa"/>
            <w:vMerge w:val="restart"/>
            <w:tcBorders>
              <w:top w:val="nil" w:sz="6" w:space="0" w:color="auto"/>
              <w:left w:val="single" w:sz="6" w:space="0" w:color="000000"/>
              <w:right w:val="single" w:sz="6" w:space="0" w:color="000000"/>
            </w:tcBorders>
            <w:shd w:val="clear" w:color="auto" w:fill="D2D2D2"/>
          </w:tcPr>
          <w:p>
            <w:pPr/>
          </w:p>
        </w:tc>
        <w:tc>
          <w:tcPr>
            <w:tcW w:w="382" w:type="dxa"/>
            <w:vMerge/>
            <w:tcBorders>
              <w:left w:val="single" w:sz="6" w:space="0" w:color="000000"/>
              <w:right w:val="single" w:sz="6" w:space="0" w:color="000000"/>
            </w:tcBorders>
            <w:shd w:val="clear" w:color="auto" w:fill="D2D2D2"/>
          </w:tcPr>
          <w:p>
            <w:pPr/>
          </w:p>
        </w:tc>
        <w:tc>
          <w:tcPr>
            <w:tcW w:w="422" w:type="dxa"/>
            <w:vMerge/>
            <w:tcBorders>
              <w:left w:val="single" w:sz="6" w:space="0" w:color="000000"/>
              <w:right w:val="single" w:sz="6" w:space="0" w:color="000000"/>
            </w:tcBorders>
            <w:shd w:val="clear" w:color="auto" w:fill="D2D2D2"/>
          </w:tcPr>
          <w:p>
            <w:pPr/>
          </w:p>
        </w:tc>
        <w:tc>
          <w:tcPr>
            <w:tcW w:w="274" w:type="dxa"/>
            <w:vMerge/>
            <w:tcBorders>
              <w:left w:val="single" w:sz="6" w:space="0" w:color="000000"/>
              <w:right w:val="single" w:sz="6" w:space="0" w:color="000000"/>
            </w:tcBorders>
            <w:shd w:val="clear" w:color="auto" w:fill="D2D2D2"/>
          </w:tcPr>
          <w:p>
            <w:pPr/>
          </w:p>
        </w:tc>
        <w:tc>
          <w:tcPr>
            <w:tcW w:w="1310" w:type="dxa"/>
            <w:vMerge w:val="restart"/>
            <w:tcBorders>
              <w:top w:val="nil" w:sz="6" w:space="0" w:color="auto"/>
              <w:left w:val="single" w:sz="6" w:space="0" w:color="000000"/>
              <w:right w:val="single" w:sz="6" w:space="0" w:color="000000"/>
            </w:tcBorders>
            <w:shd w:val="clear" w:color="auto" w:fill="D2D2D2"/>
          </w:tcPr>
          <w:p>
            <w:pPr/>
          </w:p>
        </w:tc>
        <w:tc>
          <w:tcPr>
            <w:tcW w:w="1186" w:type="dxa"/>
            <w:vMerge w:val="restart"/>
            <w:tcBorders>
              <w:top w:val="nil" w:sz="6" w:space="0" w:color="auto"/>
              <w:left w:val="single" w:sz="6" w:space="0" w:color="000000"/>
              <w:right w:val="single" w:sz="6" w:space="0" w:color="000000"/>
            </w:tcBorders>
            <w:shd w:val="clear" w:color="auto" w:fill="D2D2D2"/>
          </w:tcPr>
          <w:p>
            <w:pPr/>
          </w:p>
        </w:tc>
        <w:tc>
          <w:tcPr>
            <w:tcW w:w="518" w:type="dxa"/>
            <w:vMerge/>
            <w:tcBorders>
              <w:left w:val="single" w:sz="6" w:space="0" w:color="000000"/>
              <w:bottom w:val="nil" w:sz="6" w:space="0" w:color="auto"/>
              <w:right w:val="single" w:sz="6" w:space="0" w:color="000000"/>
            </w:tcBorders>
            <w:shd w:val="clear" w:color="auto" w:fill="D2D2D2"/>
          </w:tcPr>
          <w:p>
            <w:pPr/>
          </w:p>
        </w:tc>
        <w:tc>
          <w:tcPr>
            <w:tcW w:w="409" w:type="dxa"/>
            <w:vMerge/>
            <w:tcBorders>
              <w:left w:val="single" w:sz="6" w:space="0" w:color="000000"/>
              <w:bottom w:val="nil" w:sz="6" w:space="0" w:color="auto"/>
              <w:right w:val="single" w:sz="6" w:space="0" w:color="000000"/>
            </w:tcBorders>
            <w:shd w:val="clear" w:color="auto" w:fill="D2D2D2"/>
          </w:tcPr>
          <w:p>
            <w:pPr/>
          </w:p>
        </w:tc>
        <w:tc>
          <w:tcPr>
            <w:tcW w:w="1241" w:type="dxa"/>
            <w:vMerge w:val="restart"/>
            <w:tcBorders>
              <w:top w:val="nil" w:sz="6" w:space="0" w:color="auto"/>
              <w:left w:val="single" w:sz="6" w:space="0" w:color="000000"/>
              <w:right w:val="single" w:sz="6" w:space="0" w:color="000000"/>
            </w:tcBorders>
            <w:shd w:val="clear" w:color="auto" w:fill="D2D2D2"/>
          </w:tcPr>
          <w:p>
            <w:pPr/>
          </w:p>
        </w:tc>
        <w:tc>
          <w:tcPr>
            <w:tcW w:w="1337" w:type="dxa"/>
            <w:vMerge w:val="restart"/>
            <w:tcBorders>
              <w:top w:val="nil" w:sz="6" w:space="0" w:color="auto"/>
              <w:left w:val="single" w:sz="6" w:space="0" w:color="000000"/>
              <w:right w:val="single" w:sz="6" w:space="0" w:color="000000"/>
            </w:tcBorders>
            <w:shd w:val="clear" w:color="auto" w:fill="D2D2D2"/>
          </w:tcPr>
          <w:p>
            <w:pPr/>
          </w:p>
        </w:tc>
        <w:tc>
          <w:tcPr>
            <w:tcW w:w="1500" w:type="dxa"/>
            <w:vMerge w:val="restart"/>
            <w:tcBorders>
              <w:top w:val="nil" w:sz="6" w:space="0" w:color="auto"/>
              <w:left w:val="single" w:sz="6" w:space="0" w:color="000000"/>
              <w:right w:val="single" w:sz="12" w:space="0" w:color="000000"/>
            </w:tcBorders>
            <w:shd w:val="clear" w:color="auto" w:fill="D2D2D2"/>
          </w:tcPr>
          <w:p>
            <w:pPr/>
          </w:p>
        </w:tc>
      </w:tr>
      <w:tr>
        <w:trPr>
          <w:trHeight w:val="211" w:hRule="exact"/>
        </w:trPr>
        <w:tc>
          <w:tcPr>
            <w:tcW w:w="1551" w:type="dxa"/>
            <w:vMerge/>
            <w:tcBorders>
              <w:left w:val="single" w:sz="12" w:space="0" w:color="000000"/>
              <w:bottom w:val="single" w:sz="6" w:space="0" w:color="000000"/>
              <w:right w:val="single" w:sz="6" w:space="0" w:color="000000"/>
            </w:tcBorders>
            <w:shd w:val="clear" w:color="auto" w:fill="D2D2D2"/>
          </w:tcPr>
          <w:p>
            <w:pPr/>
          </w:p>
        </w:tc>
        <w:tc>
          <w:tcPr>
            <w:tcW w:w="1156" w:type="dxa"/>
            <w:vMerge/>
            <w:tcBorders>
              <w:left w:val="single" w:sz="6" w:space="0" w:color="000000"/>
              <w:bottom w:val="single" w:sz="6" w:space="0" w:color="000000"/>
              <w:right w:val="single" w:sz="6" w:space="0" w:color="000000"/>
            </w:tcBorders>
            <w:shd w:val="clear" w:color="auto" w:fill="D2D2D2"/>
          </w:tcPr>
          <w:p>
            <w:pPr/>
          </w:p>
        </w:tc>
        <w:tc>
          <w:tcPr>
            <w:tcW w:w="382" w:type="dxa"/>
            <w:vMerge/>
            <w:tcBorders>
              <w:left w:val="single" w:sz="6" w:space="0" w:color="000000"/>
              <w:bottom w:val="single" w:sz="6" w:space="0" w:color="000000"/>
              <w:right w:val="single" w:sz="6" w:space="0" w:color="000000"/>
            </w:tcBorders>
            <w:shd w:val="clear" w:color="auto" w:fill="D2D2D2"/>
          </w:tcPr>
          <w:p>
            <w:pPr/>
          </w:p>
        </w:tc>
        <w:tc>
          <w:tcPr>
            <w:tcW w:w="422" w:type="dxa"/>
            <w:vMerge/>
            <w:tcBorders>
              <w:left w:val="single" w:sz="6" w:space="0" w:color="000000"/>
              <w:bottom w:val="single" w:sz="6" w:space="0" w:color="000000"/>
              <w:right w:val="single" w:sz="6" w:space="0" w:color="000000"/>
            </w:tcBorders>
            <w:shd w:val="clear" w:color="auto" w:fill="D2D2D2"/>
          </w:tcPr>
          <w:p>
            <w:pPr/>
          </w:p>
        </w:tc>
        <w:tc>
          <w:tcPr>
            <w:tcW w:w="274" w:type="dxa"/>
            <w:vMerge/>
            <w:tcBorders>
              <w:left w:val="single" w:sz="6" w:space="0" w:color="000000"/>
              <w:bottom w:val="single" w:sz="6" w:space="0" w:color="000000"/>
              <w:right w:val="single" w:sz="6" w:space="0" w:color="000000"/>
            </w:tcBorders>
            <w:shd w:val="clear" w:color="auto" w:fill="D2D2D2"/>
          </w:tcPr>
          <w:p>
            <w:pPr/>
          </w:p>
        </w:tc>
        <w:tc>
          <w:tcPr>
            <w:tcW w:w="1310"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518" w:type="dxa"/>
            <w:tcBorders>
              <w:top w:val="nil" w:sz="6" w:space="0" w:color="auto"/>
              <w:left w:val="single" w:sz="6" w:space="0" w:color="000000"/>
              <w:bottom w:val="single" w:sz="6" w:space="0" w:color="000000"/>
              <w:right w:val="single" w:sz="6" w:space="0" w:color="000000"/>
            </w:tcBorders>
            <w:shd w:val="clear" w:color="auto" w:fill="D2D2D2"/>
          </w:tcPr>
          <w:p>
            <w:pPr/>
          </w:p>
        </w:tc>
        <w:tc>
          <w:tcPr>
            <w:tcW w:w="4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41" w:type="dxa"/>
            <w:vMerge/>
            <w:tcBorders>
              <w:left w:val="single" w:sz="6" w:space="0" w:color="000000"/>
              <w:bottom w:val="single" w:sz="6" w:space="0" w:color="000000"/>
              <w:right w:val="single" w:sz="6" w:space="0" w:color="000000"/>
            </w:tcBorders>
            <w:shd w:val="clear" w:color="auto" w:fill="D2D2D2"/>
          </w:tcPr>
          <w:p>
            <w:pPr/>
          </w:p>
        </w:tc>
        <w:tc>
          <w:tcPr>
            <w:tcW w:w="1337" w:type="dxa"/>
            <w:vMerge/>
            <w:tcBorders>
              <w:left w:val="single" w:sz="6" w:space="0" w:color="000000"/>
              <w:bottom w:val="single" w:sz="6" w:space="0" w:color="000000"/>
              <w:right w:val="single" w:sz="6" w:space="0" w:color="000000"/>
            </w:tcBorders>
            <w:shd w:val="clear" w:color="auto" w:fill="D2D2D2"/>
          </w:tcPr>
          <w:p>
            <w:pPr/>
          </w:p>
        </w:tc>
        <w:tc>
          <w:tcPr>
            <w:tcW w:w="1500"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5"/>
                <w:szCs w:val="15"/>
              </w:rPr>
            </w:pPr>
            <w:r>
              <w:rPr>
                <w:rFonts w:ascii="宋体"/>
                <w:spacing w:val="-1"/>
                <w:sz w:val="15"/>
              </w:rPr>
              <w:t>166,121,848.00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spacing w:val="-1"/>
                <w:sz w:val="15"/>
              </w:rPr>
              <w:t>1,019,461,467.55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5"/>
                <w:szCs w:val="15"/>
              </w:rPr>
            </w:pPr>
            <w:r>
              <w:rPr>
                <w:rFonts w:ascii="宋体"/>
                <w:spacing w:val="-1"/>
                <w:sz w:val="15"/>
              </w:rPr>
              <w:t>95,452,000.00</w:t>
            </w: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9"/>
              <w:jc w:val="right"/>
              <w:rPr>
                <w:rFonts w:ascii="宋体" w:hAnsi="宋体" w:cs="宋体" w:eastAsia="宋体" w:hint="default"/>
                <w:sz w:val="15"/>
                <w:szCs w:val="15"/>
              </w:rPr>
            </w:pPr>
            <w:r>
              <w:rPr>
                <w:rFonts w:ascii="宋体"/>
                <w:spacing w:val="-1"/>
                <w:sz w:val="15"/>
              </w:rPr>
              <w:t>21,281,039.35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5"/>
                <w:szCs w:val="15"/>
              </w:rPr>
            </w:pPr>
            <w:r>
              <w:rPr>
                <w:rFonts w:ascii="宋体"/>
                <w:spacing w:val="-1"/>
                <w:sz w:val="15"/>
              </w:rPr>
              <w:t>104,297,698.76</w:t>
            </w:r>
          </w:p>
        </w:tc>
        <w:tc>
          <w:tcPr>
            <w:tcW w:w="15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12"/>
              <w:jc w:val="right"/>
              <w:rPr>
                <w:rFonts w:ascii="宋体" w:hAnsi="宋体" w:cs="宋体" w:eastAsia="宋体" w:hint="default"/>
                <w:sz w:val="15"/>
                <w:szCs w:val="15"/>
              </w:rPr>
            </w:pPr>
            <w:r>
              <w:rPr>
                <w:rFonts w:ascii="宋体"/>
                <w:spacing w:val="-1"/>
                <w:sz w:val="15"/>
              </w:rPr>
              <w:t>1,215,710,053.66</w:t>
            </w: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right="20"/>
              <w:jc w:val="right"/>
              <w:rPr>
                <w:rFonts w:ascii="宋体" w:hAnsi="宋体" w:cs="宋体" w:eastAsia="宋体" w:hint="default"/>
                <w:sz w:val="15"/>
                <w:szCs w:val="15"/>
              </w:rPr>
            </w:pPr>
            <w:r>
              <w:rPr>
                <w:rFonts w:ascii="宋体" w:hAnsi="宋体" w:cs="宋体" w:eastAsia="宋体" w:hint="default"/>
                <w:sz w:val="15"/>
                <w:szCs w:val="15"/>
              </w:rPr>
              <w:t>加：会计政策变更</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right="20"/>
              <w:jc w:val="right"/>
              <w:rPr>
                <w:rFonts w:ascii="宋体" w:hAnsi="宋体" w:cs="宋体" w:eastAsia="宋体" w:hint="default"/>
                <w:sz w:val="15"/>
                <w:szCs w:val="15"/>
              </w:rPr>
            </w:pPr>
            <w:r>
              <w:rPr>
                <w:rFonts w:ascii="宋体" w:hAnsi="宋体" w:cs="宋体" w:eastAsia="宋体" w:hint="default"/>
                <w:sz w:val="15"/>
                <w:szCs w:val="15"/>
              </w:rPr>
              <w:t>前期差错更正</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right="15"/>
              <w:jc w:val="center"/>
              <w:rPr>
                <w:rFonts w:ascii="宋体" w:hAnsi="宋体" w:cs="宋体" w:eastAsia="宋体" w:hint="default"/>
                <w:sz w:val="15"/>
                <w:szCs w:val="15"/>
              </w:rPr>
            </w:pPr>
            <w:r>
              <w:rPr>
                <w:rFonts w:ascii="宋体" w:hAnsi="宋体" w:cs="宋体" w:eastAsia="宋体" w:hint="default"/>
                <w:sz w:val="15"/>
                <w:szCs w:val="15"/>
              </w:rPr>
              <w:t>其他</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166,121,848.00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1,019,461,467.55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95,452,000.00</w:t>
            </w: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21,281,039.35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104,297,698.76</w:t>
            </w:r>
          </w:p>
        </w:tc>
        <w:tc>
          <w:tcPr>
            <w:tcW w:w="15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12"/>
              <w:jc w:val="right"/>
              <w:rPr>
                <w:rFonts w:ascii="宋体" w:hAnsi="宋体" w:cs="宋体" w:eastAsia="宋体" w:hint="default"/>
                <w:sz w:val="15"/>
                <w:szCs w:val="15"/>
              </w:rPr>
            </w:pPr>
            <w:r>
              <w:rPr>
                <w:rFonts w:ascii="宋体"/>
                <w:spacing w:val="-1"/>
                <w:sz w:val="15"/>
              </w:rPr>
              <w:t>1,215,710,053.66</w:t>
            </w:r>
          </w:p>
        </w:tc>
      </w:tr>
      <w:tr>
        <w:trPr>
          <w:trHeight w:val="1032"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三、本期增减变动金额</w:t>
            </w:r>
          </w:p>
          <w:p>
            <w:pPr>
              <w:pStyle w:val="TableParagraph"/>
              <w:spacing w:line="384" w:lineRule="auto" w:before="114"/>
              <w:ind w:left="6" w:right="170"/>
              <w:jc w:val="left"/>
              <w:rPr>
                <w:rFonts w:ascii="宋体" w:hAnsi="宋体" w:cs="宋体" w:eastAsia="宋体" w:hint="default"/>
                <w:sz w:val="15"/>
                <w:szCs w:val="15"/>
              </w:rPr>
            </w:pPr>
            <w:r>
              <w:rPr>
                <w:rFonts w:ascii="宋体" w:hAnsi="宋体" w:cs="宋体" w:eastAsia="宋体" w:hint="default"/>
                <w:sz w:val="15"/>
                <w:szCs w:val="15"/>
              </w:rPr>
              <w:t>（减少以“－”号填 列）</w:t>
            </w:r>
          </w:p>
        </w:tc>
        <w:tc>
          <w:tcPr>
            <w:tcW w:w="11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248,727,772.00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-229,834,823.93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-41,336,560.00</w:t>
            </w: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-270,161,201.84</w:t>
            </w:r>
          </w:p>
        </w:tc>
        <w:tc>
          <w:tcPr>
            <w:tcW w:w="15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-209,931,693.77</w:t>
            </w: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5"/>
                <w:szCs w:val="15"/>
              </w:rPr>
            </w:pPr>
            <w:r>
              <w:rPr>
                <w:rFonts w:ascii="宋体"/>
                <w:spacing w:val="-1"/>
                <w:sz w:val="15"/>
              </w:rPr>
              <w:t>-265,266,346.40</w:t>
            </w:r>
          </w:p>
        </w:tc>
        <w:tc>
          <w:tcPr>
            <w:tcW w:w="15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11"/>
              <w:jc w:val="right"/>
              <w:rPr>
                <w:rFonts w:ascii="宋体" w:hAnsi="宋体" w:cs="宋体" w:eastAsia="宋体" w:hint="default"/>
                <w:sz w:val="15"/>
                <w:szCs w:val="15"/>
              </w:rPr>
            </w:pPr>
            <w:r>
              <w:rPr>
                <w:rFonts w:ascii="宋体"/>
                <w:spacing w:val="-1"/>
                <w:sz w:val="15"/>
              </w:rPr>
              <w:t>-265,266,346.40</w:t>
            </w:r>
          </w:p>
        </w:tc>
      </w:tr>
      <w:tr>
        <w:trPr>
          <w:trHeight w:val="719"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4" w:lineRule="auto" w:before="74"/>
              <w:ind w:left="6" w:right="20"/>
              <w:jc w:val="left"/>
              <w:rPr>
                <w:rFonts w:ascii="宋体" w:hAnsi="宋体" w:cs="宋体" w:eastAsia="宋体" w:hint="default"/>
                <w:sz w:val="15"/>
                <w:szCs w:val="15"/>
              </w:rPr>
            </w:pPr>
            <w:r>
              <w:rPr>
                <w:rFonts w:ascii="宋体" w:hAnsi="宋体" w:cs="宋体" w:eastAsia="宋体" w:hint="default"/>
                <w:sz w:val="15"/>
                <w:szCs w:val="15"/>
              </w:rPr>
              <w:t>（二）所有者投入和减 少资本</w:t>
            </w:r>
          </w:p>
        </w:tc>
        <w:tc>
          <w:tcPr>
            <w:tcW w:w="11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-455,000.00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19,347,948.07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-41,336,560.00</w:t>
            </w: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60,229,508.07</w:t>
            </w: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63"/>
                <w:sz w:val="15"/>
                <w:szCs w:val="15"/>
              </w:rPr>
              <w:t>．</w:t>
            </w:r>
            <w:r>
              <w:rPr>
                <w:rFonts w:ascii="宋体" w:hAnsi="宋体" w:cs="宋体" w:eastAsia="宋体" w:hint="default"/>
                <w:sz w:val="15"/>
                <w:szCs w:val="15"/>
              </w:rPr>
              <w:t>所有者投入的</w:t>
            </w:r>
            <w:r>
              <w:rPr>
                <w:rFonts w:ascii="宋体" w:hAnsi="宋体" w:cs="宋体" w:eastAsia="宋体" w:hint="default"/>
                <w:spacing w:val="-2"/>
                <w:sz w:val="15"/>
                <w:szCs w:val="15"/>
              </w:rPr>
              <w:t>普</w:t>
            </w:r>
            <w:r>
              <w:rPr>
                <w:rFonts w:ascii="宋体" w:hAnsi="宋体" w:cs="宋体" w:eastAsia="宋体" w:hint="default"/>
                <w:sz w:val="15"/>
                <w:szCs w:val="15"/>
              </w:rPr>
              <w:t>通股</w:t>
            </w:r>
          </w:p>
        </w:tc>
        <w:tc>
          <w:tcPr>
            <w:tcW w:w="11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-455,000.00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-3,090,360.00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-3,545,360.00</w:t>
            </w: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6"/>
              <w:ind w:left="6" w:right="8"/>
              <w:jc w:val="left"/>
              <w:rPr>
                <w:rFonts w:ascii="宋体" w:hAnsi="宋体" w:cs="宋体" w:eastAsia="宋体" w:hint="default"/>
                <w:sz w:val="15"/>
                <w:szCs w:val="15"/>
              </w:rPr>
            </w:pPr>
            <w:r>
              <w:rPr>
                <w:rFonts w:ascii="宋体" w:hAnsi="宋体" w:cs="宋体" w:eastAsia="宋体" w:hint="default"/>
                <w:spacing w:val="-6"/>
                <w:sz w:val="15"/>
                <w:szCs w:val="15"/>
              </w:rPr>
              <w:t>2</w:t>
            </w:r>
            <w:r>
              <w:rPr>
                <w:rFonts w:ascii="宋体" w:hAnsi="宋体" w:cs="宋体" w:eastAsia="宋体" w:hint="default"/>
                <w:spacing w:val="-6"/>
                <w:sz w:val="15"/>
                <w:szCs w:val="15"/>
              </w:rPr>
              <w:t>．其他权益工具持有者</w:t>
            </w:r>
            <w:r>
              <w:rPr>
                <w:rFonts w:ascii="宋体" w:hAnsi="宋体" w:cs="宋体" w:eastAsia="宋体" w:hint="default"/>
                <w:sz w:val="15"/>
                <w:szCs w:val="15"/>
              </w:rPr>
              <w:t> 投入资本</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8"/>
              <w:jc w:val="left"/>
              <w:rPr>
                <w:rFonts w:ascii="宋体" w:hAnsi="宋体" w:cs="宋体" w:eastAsia="宋体" w:hint="default"/>
                <w:sz w:val="15"/>
                <w:szCs w:val="15"/>
              </w:rPr>
            </w:pPr>
            <w:r>
              <w:rPr>
                <w:rFonts w:ascii="宋体" w:hAnsi="宋体" w:cs="宋体" w:eastAsia="宋体" w:hint="default"/>
                <w:spacing w:val="-6"/>
                <w:sz w:val="15"/>
                <w:szCs w:val="15"/>
              </w:rPr>
              <w:t>3</w:t>
            </w:r>
            <w:r>
              <w:rPr>
                <w:rFonts w:ascii="宋体" w:hAnsi="宋体" w:cs="宋体" w:eastAsia="宋体" w:hint="default"/>
                <w:spacing w:val="-6"/>
                <w:sz w:val="15"/>
                <w:szCs w:val="15"/>
              </w:rPr>
              <w:t>．股份支付计入所有者</w:t>
            </w:r>
            <w:r>
              <w:rPr>
                <w:rFonts w:ascii="宋体" w:hAnsi="宋体" w:cs="宋体" w:eastAsia="宋体" w:hint="default"/>
                <w:sz w:val="15"/>
                <w:szCs w:val="15"/>
              </w:rPr>
              <w:t> 权益的金额</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3,851,730.38</w:t>
            </w: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3,851,730.38</w:t>
            </w:r>
          </w:p>
        </w:tc>
      </w:tr>
      <w:tr>
        <w:trPr>
          <w:trHeight w:val="408"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18,586,577.69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-37,791,200.00</w:t>
            </w: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11"/>
              <w:jc w:val="right"/>
              <w:rPr>
                <w:rFonts w:ascii="宋体" w:hAnsi="宋体" w:cs="宋体" w:eastAsia="宋体" w:hint="default"/>
                <w:sz w:val="15"/>
                <w:szCs w:val="15"/>
              </w:rPr>
            </w:pPr>
            <w:r>
              <w:rPr>
                <w:rFonts w:ascii="宋体"/>
                <w:spacing w:val="-1"/>
                <w:sz w:val="15"/>
              </w:rPr>
              <w:t>56,377,777.69</w:t>
            </w: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5"/>
                <w:szCs w:val="15"/>
              </w:rPr>
            </w:pPr>
            <w:r>
              <w:rPr>
                <w:rFonts w:ascii="宋体"/>
                <w:spacing w:val="-1"/>
                <w:sz w:val="15"/>
              </w:rPr>
              <w:t>-4,894,855.44</w:t>
            </w:r>
          </w:p>
        </w:tc>
        <w:tc>
          <w:tcPr>
            <w:tcW w:w="15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right="11"/>
              <w:jc w:val="right"/>
              <w:rPr>
                <w:rFonts w:ascii="宋体" w:hAnsi="宋体" w:cs="宋体" w:eastAsia="宋体" w:hint="default"/>
                <w:sz w:val="15"/>
                <w:szCs w:val="15"/>
              </w:rPr>
            </w:pPr>
            <w:r>
              <w:rPr>
                <w:rFonts w:ascii="宋体"/>
                <w:spacing w:val="-1"/>
                <w:sz w:val="15"/>
              </w:rPr>
              <w:t>-4,894,855.44</w:t>
            </w: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11"/>
              <w:jc w:val="right"/>
              <w:rPr>
                <w:rFonts w:ascii="宋体" w:hAnsi="宋体" w:cs="宋体" w:eastAsia="宋体" w:hint="default"/>
                <w:sz w:val="15"/>
                <w:szCs w:val="15"/>
              </w:rPr>
            </w:pPr>
            <w:r>
              <w:rPr>
                <w:rFonts w:ascii="宋体"/>
                <w:spacing w:val="-1"/>
                <w:sz w:val="15"/>
              </w:rPr>
              <w:t>0.00</w:t>
            </w:r>
          </w:p>
        </w:tc>
      </w:tr>
      <w:tr>
        <w:trPr>
          <w:trHeight w:val="719" w:hRule="exact"/>
        </w:trPr>
        <w:tc>
          <w:tcPr>
            <w:tcW w:w="1551" w:type="dxa"/>
            <w:tcBorders>
              <w:top w:val="single" w:sz="6" w:space="0" w:color="000000"/>
              <w:left w:val="single" w:sz="12" w:space="0" w:color="000000"/>
              <w:bottom w:val="single" w:sz="6" w:space="0" w:color="000000"/>
              <w:right w:val="single" w:sz="14" w:space="0" w:color="FFFFFF"/>
            </w:tcBorders>
            <w:shd w:val="clear" w:color="auto" w:fill="D2D2D2"/>
          </w:tcPr>
          <w:p>
            <w:pPr>
              <w:pStyle w:val="TableParagraph"/>
              <w:spacing w:line="384" w:lineRule="auto" w:before="74"/>
              <w:ind w:left="6" w:right="-63"/>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 的分配</w:t>
            </w:r>
          </w:p>
        </w:tc>
        <w:tc>
          <w:tcPr>
            <w:tcW w:w="1156" w:type="dxa"/>
            <w:tcBorders>
              <w:top w:val="single" w:sz="6" w:space="0" w:color="000000"/>
              <w:left w:val="single" w:sz="9" w:space="0" w:color="FFFFFF"/>
              <w:bottom w:val="single" w:sz="6" w:space="0" w:color="000000"/>
              <w:right w:val="single" w:sz="6" w:space="0" w:color="000000"/>
            </w:tcBorders>
          </w:tcPr>
          <w:p>
            <w:pPr>
              <w:pStyle w:val="TableParagraph"/>
              <w:spacing w:line="196" w:lineRule="exact"/>
              <w:ind w:left="6" w:right="-52"/>
              <w:jc w:val="left"/>
              <w:rPr>
                <w:rFonts w:ascii="宋体" w:hAnsi="宋体" w:cs="宋体" w:eastAsia="宋体" w:hint="default"/>
                <w:sz w:val="19"/>
                <w:szCs w:val="19"/>
              </w:rPr>
            </w:pPr>
            <w:r>
              <w:rPr>
                <w:rFonts w:ascii="宋体" w:hAnsi="宋体" w:cs="宋体" w:eastAsia="宋体" w:hint="default"/>
                <w:position w:val="-3"/>
                <w:sz w:val="19"/>
                <w:szCs w:val="19"/>
              </w:rPr>
              <w:pict>
                <v:group style="width:56.65pt;height:9.85pt;mso-position-horizontal-relative:char;mso-position-vertical-relative:line" coordorigin="0,0" coordsize="1133,197">
                  <v:group style="position:absolute;left:0;top:0;width:1133;height:197" coordorigin="0,0" coordsize="1133,197">
                    <v:shape style="position:absolute;left:0;top:0;width:1133;height:197" coordorigin="0,0" coordsize="1133,197" path="m0,197l1133,197,1133,0,0,0,0,197xe" filled="true" fillcolor="#ffffff" stroked="false">
                      <v:path arrowok="t"/>
                      <v:fill type="solid"/>
                    </v:shape>
                  </v:group>
                </v:group>
              </w:pict>
            </w:r>
            <w:r>
              <w:rPr>
                <w:rFonts w:ascii="宋体" w:hAnsi="宋体" w:cs="宋体" w:eastAsia="宋体" w:hint="default"/>
                <w:position w:val="-3"/>
                <w:sz w:val="19"/>
                <w:szCs w:val="19"/>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-4,894,855.44</w:t>
            </w:r>
          </w:p>
        </w:tc>
        <w:tc>
          <w:tcPr>
            <w:tcW w:w="15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-4,894,855.44</w:t>
            </w: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75"/>
              <w:ind w:left="6" w:right="20"/>
              <w:jc w:val="left"/>
              <w:rPr>
                <w:rFonts w:ascii="宋体" w:hAnsi="宋体" w:cs="宋体" w:eastAsia="宋体" w:hint="default"/>
                <w:sz w:val="15"/>
                <w:szCs w:val="15"/>
              </w:rPr>
            </w:pPr>
            <w:r>
              <w:rPr>
                <w:rFonts w:ascii="宋体" w:hAnsi="宋体" w:cs="宋体" w:eastAsia="宋体" w:hint="default"/>
                <w:sz w:val="15"/>
                <w:szCs w:val="15"/>
              </w:rPr>
              <w:t>（四）所有者权益内部 结转</w:t>
            </w:r>
          </w:p>
        </w:tc>
        <w:tc>
          <w:tcPr>
            <w:tcW w:w="11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249,182,772.00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-249,182,772.00</w:t>
            </w: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w:t>
            </w:r>
          </w:p>
          <w:p>
            <w:pPr>
              <w:pStyle w:val="TableParagraph"/>
              <w:spacing w:line="240" w:lineRule="auto" w:before="115"/>
              <w:ind w:left="6"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1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249,182,772.00</w:t>
            </w: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-249,182,772.00</w:t>
            </w: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w:t>
            </w:r>
          </w:p>
          <w:p>
            <w:pPr>
              <w:pStyle w:val="TableParagraph"/>
              <w:spacing w:line="240" w:lineRule="auto" w:before="116"/>
              <w:ind w:left="6"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15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4" w:lineRule="auto" w:before="74"/>
              <w:ind w:left="6" w:right="8"/>
              <w:jc w:val="left"/>
              <w:rPr>
                <w:rFonts w:ascii="宋体" w:hAnsi="宋体" w:cs="宋体" w:eastAsia="宋体" w:hint="default"/>
                <w:sz w:val="15"/>
                <w:szCs w:val="15"/>
              </w:rPr>
            </w:pPr>
            <w:r>
              <w:rPr>
                <w:rFonts w:ascii="宋体" w:hAnsi="宋体" w:cs="宋体" w:eastAsia="宋体" w:hint="default"/>
                <w:spacing w:val="-6"/>
                <w:sz w:val="15"/>
                <w:szCs w:val="15"/>
              </w:rPr>
              <w:t>4</w:t>
            </w:r>
            <w:r>
              <w:rPr>
                <w:rFonts w:ascii="宋体" w:hAnsi="宋体" w:cs="宋体" w:eastAsia="宋体" w:hint="default"/>
                <w:spacing w:val="-6"/>
                <w:sz w:val="15"/>
                <w:szCs w:val="15"/>
              </w:rPr>
              <w:t>．设定受益计划变动额</w:t>
            </w:r>
            <w:r>
              <w:rPr>
                <w:rFonts w:ascii="宋体" w:hAnsi="宋体" w:cs="宋体" w:eastAsia="宋体" w:hint="default"/>
                <w:sz w:val="15"/>
                <w:szCs w:val="15"/>
              </w:rPr>
              <w:t> 结转留存收益</w:t>
            </w:r>
          </w:p>
        </w:tc>
        <w:tc>
          <w:tcPr>
            <w:tcW w:w="1156" w:type="dxa"/>
            <w:tcBorders>
              <w:top w:val="single" w:sz="6" w:space="0" w:color="000000"/>
              <w:left w:val="single" w:sz="14" w:space="0" w:color="D2D2D2"/>
              <w:bottom w:val="single" w:sz="12" w:space="0" w:color="000000"/>
              <w:right w:val="single" w:sz="6" w:space="0" w:color="000000"/>
            </w:tcBorders>
          </w:tcPr>
          <w:p>
            <w:pPr/>
          </w:p>
        </w:tc>
        <w:tc>
          <w:tcPr>
            <w:tcW w:w="382" w:type="dxa"/>
            <w:tcBorders>
              <w:top w:val="single" w:sz="6" w:space="0" w:color="000000"/>
              <w:left w:val="single" w:sz="6" w:space="0" w:color="000000"/>
              <w:bottom w:val="single" w:sz="12" w:space="0" w:color="000000"/>
              <w:right w:val="single" w:sz="6" w:space="0" w:color="000000"/>
            </w:tcBorders>
          </w:tcPr>
          <w:p>
            <w:pPr/>
          </w:p>
        </w:tc>
        <w:tc>
          <w:tcPr>
            <w:tcW w:w="422" w:type="dxa"/>
            <w:tcBorders>
              <w:top w:val="single" w:sz="6" w:space="0" w:color="000000"/>
              <w:left w:val="single" w:sz="6" w:space="0" w:color="000000"/>
              <w:bottom w:val="single" w:sz="12" w:space="0" w:color="000000"/>
              <w:right w:val="single" w:sz="6" w:space="0" w:color="000000"/>
            </w:tcBorders>
          </w:tcPr>
          <w:p>
            <w:pPr/>
          </w:p>
        </w:tc>
        <w:tc>
          <w:tcPr>
            <w:tcW w:w="274" w:type="dxa"/>
            <w:tcBorders>
              <w:top w:val="single" w:sz="6" w:space="0" w:color="000000"/>
              <w:left w:val="single" w:sz="6" w:space="0" w:color="000000"/>
              <w:bottom w:val="single" w:sz="12" w:space="0" w:color="000000"/>
              <w:right w:val="single" w:sz="6" w:space="0" w:color="000000"/>
            </w:tcBorders>
          </w:tcPr>
          <w:p>
            <w:pPr/>
          </w:p>
        </w:tc>
        <w:tc>
          <w:tcPr>
            <w:tcW w:w="1310" w:type="dxa"/>
            <w:tcBorders>
              <w:top w:val="single" w:sz="6" w:space="0" w:color="000000"/>
              <w:left w:val="single" w:sz="6" w:space="0" w:color="000000"/>
              <w:bottom w:val="single" w:sz="12" w:space="0" w:color="000000"/>
              <w:right w:val="single" w:sz="6" w:space="0" w:color="000000"/>
            </w:tcBorders>
          </w:tcPr>
          <w:p>
            <w:pPr/>
          </w:p>
        </w:tc>
        <w:tc>
          <w:tcPr>
            <w:tcW w:w="1186" w:type="dxa"/>
            <w:tcBorders>
              <w:top w:val="single" w:sz="6" w:space="0" w:color="000000"/>
              <w:left w:val="single" w:sz="6" w:space="0" w:color="000000"/>
              <w:bottom w:val="single" w:sz="12" w:space="0" w:color="000000"/>
              <w:right w:val="single" w:sz="6" w:space="0" w:color="000000"/>
            </w:tcBorders>
          </w:tcPr>
          <w:p>
            <w:pPr/>
          </w:p>
        </w:tc>
        <w:tc>
          <w:tcPr>
            <w:tcW w:w="518" w:type="dxa"/>
            <w:tcBorders>
              <w:top w:val="single" w:sz="6" w:space="0" w:color="000000"/>
              <w:left w:val="single" w:sz="6" w:space="0" w:color="000000"/>
              <w:bottom w:val="single" w:sz="12" w:space="0" w:color="000000"/>
              <w:right w:val="single" w:sz="6" w:space="0" w:color="000000"/>
            </w:tcBorders>
          </w:tcPr>
          <w:p>
            <w:pPr/>
          </w:p>
        </w:tc>
        <w:tc>
          <w:tcPr>
            <w:tcW w:w="409" w:type="dxa"/>
            <w:tcBorders>
              <w:top w:val="single" w:sz="6" w:space="0" w:color="000000"/>
              <w:left w:val="single" w:sz="6" w:space="0" w:color="000000"/>
              <w:bottom w:val="single" w:sz="12" w:space="0" w:color="000000"/>
              <w:right w:val="single" w:sz="6" w:space="0" w:color="000000"/>
            </w:tcBorders>
          </w:tcPr>
          <w:p>
            <w:pPr/>
          </w:p>
        </w:tc>
        <w:tc>
          <w:tcPr>
            <w:tcW w:w="1241" w:type="dxa"/>
            <w:tcBorders>
              <w:top w:val="single" w:sz="6" w:space="0" w:color="000000"/>
              <w:left w:val="single" w:sz="6" w:space="0" w:color="000000"/>
              <w:bottom w:val="single" w:sz="12" w:space="0" w:color="000000"/>
              <w:right w:val="single" w:sz="6" w:space="0" w:color="000000"/>
            </w:tcBorders>
          </w:tcPr>
          <w:p>
            <w:pPr/>
          </w:p>
        </w:tc>
        <w:tc>
          <w:tcPr>
            <w:tcW w:w="1337" w:type="dxa"/>
            <w:tcBorders>
              <w:top w:val="single" w:sz="6" w:space="0" w:color="000000"/>
              <w:left w:val="single" w:sz="6" w:space="0" w:color="000000"/>
              <w:bottom w:val="single" w:sz="12" w:space="0" w:color="000000"/>
              <w:right w:val="single" w:sz="6" w:space="0" w:color="000000"/>
            </w:tcBorders>
          </w:tcPr>
          <w:p>
            <w:pPr/>
          </w:p>
        </w:tc>
        <w:tc>
          <w:tcPr>
            <w:tcW w:w="1500"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580" w:bottom="700" w:left="180" w:right="0"/>
        </w:sectPr>
      </w:pPr>
    </w:p>
    <w:p>
      <w:pPr>
        <w:spacing w:line="240" w:lineRule="auto" w:before="6"/>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551"/>
        <w:gridCol w:w="1156"/>
        <w:gridCol w:w="382"/>
        <w:gridCol w:w="422"/>
        <w:gridCol w:w="274"/>
        <w:gridCol w:w="1310"/>
        <w:gridCol w:w="1186"/>
        <w:gridCol w:w="518"/>
        <w:gridCol w:w="409"/>
        <w:gridCol w:w="1241"/>
        <w:gridCol w:w="1337"/>
        <w:gridCol w:w="1500"/>
      </w:tblGrid>
      <w:tr>
        <w:trPr>
          <w:trHeight w:val="415" w:hRule="exact"/>
        </w:trPr>
        <w:tc>
          <w:tcPr>
            <w:tcW w:w="15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w:t>
            </w:r>
          </w:p>
        </w:tc>
        <w:tc>
          <w:tcPr>
            <w:tcW w:w="1156" w:type="dxa"/>
            <w:tcBorders>
              <w:top w:val="single" w:sz="12" w:space="0" w:color="000000"/>
              <w:left w:val="single" w:sz="14" w:space="0" w:color="D2D2D2"/>
              <w:bottom w:val="single" w:sz="6" w:space="0" w:color="000000"/>
              <w:right w:val="single" w:sz="6" w:space="0" w:color="000000"/>
            </w:tcBorders>
          </w:tcPr>
          <w:p>
            <w:pPr/>
          </w:p>
        </w:tc>
        <w:tc>
          <w:tcPr>
            <w:tcW w:w="382" w:type="dxa"/>
            <w:tcBorders>
              <w:top w:val="single" w:sz="12" w:space="0" w:color="000000"/>
              <w:left w:val="single" w:sz="6" w:space="0" w:color="000000"/>
              <w:bottom w:val="single" w:sz="6" w:space="0" w:color="000000"/>
              <w:right w:val="single" w:sz="6" w:space="0" w:color="000000"/>
            </w:tcBorders>
          </w:tcPr>
          <w:p>
            <w:pPr/>
          </w:p>
        </w:tc>
        <w:tc>
          <w:tcPr>
            <w:tcW w:w="422" w:type="dxa"/>
            <w:tcBorders>
              <w:top w:val="single" w:sz="12" w:space="0" w:color="000000"/>
              <w:left w:val="single" w:sz="6" w:space="0" w:color="000000"/>
              <w:bottom w:val="single" w:sz="6" w:space="0" w:color="000000"/>
              <w:right w:val="single" w:sz="6" w:space="0" w:color="000000"/>
            </w:tcBorders>
          </w:tcPr>
          <w:p>
            <w:pPr/>
          </w:p>
        </w:tc>
        <w:tc>
          <w:tcPr>
            <w:tcW w:w="274" w:type="dxa"/>
            <w:tcBorders>
              <w:top w:val="single" w:sz="12" w:space="0" w:color="000000"/>
              <w:left w:val="single" w:sz="6" w:space="0" w:color="000000"/>
              <w:bottom w:val="single" w:sz="6" w:space="0" w:color="000000"/>
              <w:right w:val="single" w:sz="6" w:space="0" w:color="000000"/>
            </w:tcBorders>
          </w:tcPr>
          <w:p>
            <w:pPr/>
          </w:p>
        </w:tc>
        <w:tc>
          <w:tcPr>
            <w:tcW w:w="1310" w:type="dxa"/>
            <w:tcBorders>
              <w:top w:val="single" w:sz="12" w:space="0" w:color="000000"/>
              <w:left w:val="single" w:sz="6" w:space="0" w:color="000000"/>
              <w:bottom w:val="single" w:sz="6" w:space="0" w:color="000000"/>
              <w:right w:val="single" w:sz="6" w:space="0" w:color="000000"/>
            </w:tcBorders>
          </w:tcPr>
          <w:p>
            <w:pPr/>
          </w:p>
        </w:tc>
        <w:tc>
          <w:tcPr>
            <w:tcW w:w="1186" w:type="dxa"/>
            <w:tcBorders>
              <w:top w:val="single" w:sz="12" w:space="0" w:color="000000"/>
              <w:left w:val="single" w:sz="6" w:space="0" w:color="000000"/>
              <w:bottom w:val="single" w:sz="6" w:space="0" w:color="000000"/>
              <w:right w:val="single" w:sz="6" w:space="0" w:color="000000"/>
            </w:tcBorders>
          </w:tcPr>
          <w:p>
            <w:pPr/>
          </w:p>
        </w:tc>
        <w:tc>
          <w:tcPr>
            <w:tcW w:w="518" w:type="dxa"/>
            <w:tcBorders>
              <w:top w:val="single" w:sz="12" w:space="0" w:color="000000"/>
              <w:left w:val="single" w:sz="6" w:space="0" w:color="000000"/>
              <w:bottom w:val="single" w:sz="6" w:space="0" w:color="000000"/>
              <w:right w:val="single" w:sz="6" w:space="0" w:color="000000"/>
            </w:tcBorders>
          </w:tcPr>
          <w:p>
            <w:pPr/>
          </w:p>
        </w:tc>
        <w:tc>
          <w:tcPr>
            <w:tcW w:w="409" w:type="dxa"/>
            <w:tcBorders>
              <w:top w:val="single" w:sz="12" w:space="0" w:color="000000"/>
              <w:left w:val="single" w:sz="6" w:space="0" w:color="000000"/>
              <w:bottom w:val="single" w:sz="6" w:space="0" w:color="000000"/>
              <w:right w:val="single" w:sz="6" w:space="0" w:color="000000"/>
            </w:tcBorders>
          </w:tcPr>
          <w:p>
            <w:pPr/>
          </w:p>
        </w:tc>
        <w:tc>
          <w:tcPr>
            <w:tcW w:w="1241" w:type="dxa"/>
            <w:tcBorders>
              <w:top w:val="single" w:sz="12" w:space="0" w:color="000000"/>
              <w:left w:val="single" w:sz="6" w:space="0" w:color="000000"/>
              <w:bottom w:val="single" w:sz="6" w:space="0" w:color="000000"/>
              <w:right w:val="single" w:sz="6" w:space="0" w:color="000000"/>
            </w:tcBorders>
          </w:tcPr>
          <w:p>
            <w:pPr/>
          </w:p>
        </w:tc>
        <w:tc>
          <w:tcPr>
            <w:tcW w:w="1337" w:type="dxa"/>
            <w:tcBorders>
              <w:top w:val="single" w:sz="12" w:space="0" w:color="000000"/>
              <w:left w:val="single" w:sz="6" w:space="0" w:color="000000"/>
              <w:bottom w:val="single" w:sz="6" w:space="0" w:color="000000"/>
              <w:right w:val="single" w:sz="6" w:space="0" w:color="000000"/>
            </w:tcBorders>
          </w:tcPr>
          <w:p>
            <w:pPr/>
          </w:p>
        </w:tc>
        <w:tc>
          <w:tcPr>
            <w:tcW w:w="1500"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56" w:type="dxa"/>
            <w:tcBorders>
              <w:top w:val="single" w:sz="6" w:space="0" w:color="000000"/>
              <w:left w:val="single" w:sz="14" w:space="0" w:color="D2D2D2"/>
              <w:bottom w:val="single" w:sz="6" w:space="0" w:color="000000"/>
              <w:right w:val="single" w:sz="6" w:space="0" w:color="000000"/>
            </w:tcBorders>
          </w:tcPr>
          <w:p>
            <w:pPr/>
          </w:p>
        </w:tc>
        <w:tc>
          <w:tcPr>
            <w:tcW w:w="38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27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5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75"/>
              <w:ind w:left="6"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5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74"/>
              <w:ind w:left="61" w:right="0"/>
              <w:jc w:val="left"/>
              <w:rPr>
                <w:rFonts w:ascii="宋体" w:hAnsi="宋体" w:cs="宋体" w:eastAsia="宋体" w:hint="default"/>
                <w:sz w:val="15"/>
                <w:szCs w:val="15"/>
              </w:rPr>
            </w:pPr>
            <w:r>
              <w:rPr>
                <w:rFonts w:ascii="宋体"/>
                <w:sz w:val="15"/>
              </w:rPr>
              <w:t>414,849,620.00</w:t>
            </w:r>
          </w:p>
        </w:tc>
        <w:tc>
          <w:tcPr>
            <w:tcW w:w="382" w:type="dxa"/>
            <w:tcBorders>
              <w:top w:val="single" w:sz="6" w:space="0" w:color="000000"/>
              <w:left w:val="single" w:sz="6" w:space="0" w:color="000000"/>
              <w:bottom w:val="single" w:sz="12" w:space="0" w:color="000000"/>
              <w:right w:val="single" w:sz="6" w:space="0" w:color="000000"/>
            </w:tcBorders>
          </w:tcPr>
          <w:p>
            <w:pPr/>
          </w:p>
        </w:tc>
        <w:tc>
          <w:tcPr>
            <w:tcW w:w="422" w:type="dxa"/>
            <w:tcBorders>
              <w:top w:val="single" w:sz="6" w:space="0" w:color="000000"/>
              <w:left w:val="single" w:sz="6" w:space="0" w:color="000000"/>
              <w:bottom w:val="single" w:sz="12" w:space="0" w:color="000000"/>
              <w:right w:val="single" w:sz="6" w:space="0" w:color="000000"/>
            </w:tcBorders>
          </w:tcPr>
          <w:p>
            <w:pPr/>
          </w:p>
        </w:tc>
        <w:tc>
          <w:tcPr>
            <w:tcW w:w="274" w:type="dxa"/>
            <w:tcBorders>
              <w:top w:val="single" w:sz="6" w:space="0" w:color="000000"/>
              <w:left w:val="single" w:sz="6" w:space="0" w:color="000000"/>
              <w:bottom w:val="single" w:sz="12" w:space="0" w:color="000000"/>
              <w:right w:val="single" w:sz="6" w:space="0" w:color="000000"/>
            </w:tcBorders>
          </w:tcPr>
          <w:p>
            <w:pP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223" w:right="0"/>
              <w:jc w:val="left"/>
              <w:rPr>
                <w:rFonts w:ascii="宋体" w:hAnsi="宋体" w:cs="宋体" w:eastAsia="宋体" w:hint="default"/>
                <w:sz w:val="15"/>
                <w:szCs w:val="15"/>
              </w:rPr>
            </w:pPr>
            <w:r>
              <w:rPr>
                <w:rFonts w:ascii="宋体"/>
                <w:sz w:val="15"/>
              </w:rPr>
              <w:t>789,626,643.62</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176" w:right="0"/>
              <w:jc w:val="left"/>
              <w:rPr>
                <w:rFonts w:ascii="宋体" w:hAnsi="宋体" w:cs="宋体" w:eastAsia="宋体" w:hint="default"/>
                <w:sz w:val="15"/>
                <w:szCs w:val="15"/>
              </w:rPr>
            </w:pPr>
            <w:r>
              <w:rPr>
                <w:rFonts w:ascii="宋体"/>
                <w:sz w:val="15"/>
              </w:rPr>
              <w:t>54,115,440.00</w:t>
            </w:r>
          </w:p>
        </w:tc>
        <w:tc>
          <w:tcPr>
            <w:tcW w:w="518" w:type="dxa"/>
            <w:tcBorders>
              <w:top w:val="single" w:sz="6" w:space="0" w:color="000000"/>
              <w:left w:val="single" w:sz="6" w:space="0" w:color="000000"/>
              <w:bottom w:val="single" w:sz="12" w:space="0" w:color="000000"/>
              <w:right w:val="single" w:sz="6" w:space="0" w:color="000000"/>
            </w:tcBorders>
          </w:tcPr>
          <w:p>
            <w:pPr/>
          </w:p>
        </w:tc>
        <w:tc>
          <w:tcPr>
            <w:tcW w:w="409" w:type="dxa"/>
            <w:tcBorders>
              <w:top w:val="single" w:sz="6" w:space="0" w:color="000000"/>
              <w:left w:val="single" w:sz="6" w:space="0" w:color="000000"/>
              <w:bottom w:val="single" w:sz="12" w:space="0" w:color="000000"/>
              <w:right w:val="single" w:sz="6" w:space="0" w:color="000000"/>
            </w:tcBorders>
          </w:tcPr>
          <w:p>
            <w:pPr/>
          </w:p>
        </w:tc>
        <w:tc>
          <w:tcPr>
            <w:tcW w:w="12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231" w:right="0"/>
              <w:jc w:val="left"/>
              <w:rPr>
                <w:rFonts w:ascii="宋体" w:hAnsi="宋体" w:cs="宋体" w:eastAsia="宋体" w:hint="default"/>
                <w:sz w:val="15"/>
                <w:szCs w:val="15"/>
              </w:rPr>
            </w:pPr>
            <w:r>
              <w:rPr>
                <w:rFonts w:ascii="宋体"/>
                <w:sz w:val="15"/>
              </w:rPr>
              <w:t>21,281,039.35</w:t>
            </w:r>
          </w:p>
        </w:tc>
        <w:tc>
          <w:tcPr>
            <w:tcW w:w="1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177" w:right="0"/>
              <w:jc w:val="left"/>
              <w:rPr>
                <w:rFonts w:ascii="宋体" w:hAnsi="宋体" w:cs="宋体" w:eastAsia="宋体" w:hint="default"/>
                <w:sz w:val="15"/>
                <w:szCs w:val="15"/>
              </w:rPr>
            </w:pPr>
            <w:r>
              <w:rPr>
                <w:rFonts w:ascii="宋体"/>
                <w:sz w:val="15"/>
              </w:rPr>
              <w:t>-165,863,503.08</w:t>
            </w:r>
          </w:p>
        </w:tc>
        <w:tc>
          <w:tcPr>
            <w:tcW w:w="15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4"/>
              <w:ind w:left="264" w:right="0"/>
              <w:jc w:val="left"/>
              <w:rPr>
                <w:rFonts w:ascii="宋体" w:hAnsi="宋体" w:cs="宋体" w:eastAsia="宋体" w:hint="default"/>
                <w:sz w:val="15"/>
                <w:szCs w:val="15"/>
              </w:rPr>
            </w:pPr>
            <w:r>
              <w:rPr>
                <w:rFonts w:ascii="宋体"/>
                <w:sz w:val="15"/>
              </w:rPr>
              <w:t>1,005,778,359.89</w:t>
            </w:r>
          </w:p>
        </w:tc>
      </w:tr>
    </w:tbl>
    <w:p>
      <w:pPr>
        <w:spacing w:line="240" w:lineRule="auto" w:before="2"/>
        <w:rPr>
          <w:rFonts w:ascii="宋体" w:hAnsi="宋体" w:cs="宋体" w:eastAsia="宋体" w:hint="default"/>
          <w:sz w:val="18"/>
          <w:szCs w:val="18"/>
        </w:rPr>
      </w:pPr>
    </w:p>
    <w:p>
      <w:pPr>
        <w:pStyle w:val="Heading2"/>
        <w:spacing w:line="240" w:lineRule="auto"/>
        <w:ind w:left="954" w:right="82"/>
        <w:jc w:val="left"/>
        <w:rPr>
          <w:b w:val="0"/>
          <w:bCs w:val="0"/>
        </w:rPr>
      </w:pPr>
      <w:bookmarkStart w:name="三、公司基本情况" w:id="165"/>
      <w:bookmarkEnd w:id="165"/>
      <w:r>
        <w:rPr>
          <w:b w:val="0"/>
          <w:bCs w:val="0"/>
        </w:rPr>
      </w:r>
      <w:r>
        <w:rPr/>
        <w:t>三、公司基本情况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954" w:right="82" w:firstLine="420"/>
        <w:jc w:val="left"/>
      </w:pPr>
      <w:r>
        <w:rPr/>
        <w:t>光一科技股份有限公司</w:t>
      </w:r>
      <w:r>
        <w:rPr>
          <w:rFonts w:ascii="宋体" w:hAnsi="宋体" w:cs="宋体" w:eastAsia="宋体" w:hint="default"/>
        </w:rPr>
        <w:t>(</w:t>
      </w:r>
      <w:r>
        <w:rPr/>
        <w:t>以下简称“本公司”或“公司”)为境内公开发行</w:t>
      </w:r>
      <w:r>
        <w:rPr>
          <w:rFonts w:ascii="宋体" w:hAnsi="宋体" w:cs="宋体" w:eastAsia="宋体" w:hint="default"/>
        </w:rPr>
        <w:t>A</w:t>
      </w:r>
      <w:r>
        <w:rPr/>
        <w:t>股股票并在深圳证券交易 所上市的股份有限公司。本公司于</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11</w:t>
      </w:r>
      <w:r>
        <w:rPr/>
        <w:t>日经批准由江苏光一科技有限责任公司改制成为股份有限 公司，持有江苏省南京市工商行政管理局换发的统一社会信用代码为</w:t>
      </w:r>
      <w:r>
        <w:rPr>
          <w:rFonts w:ascii="宋体" w:hAnsi="宋体" w:cs="宋体" w:eastAsia="宋体" w:hint="default"/>
        </w:rPr>
        <w:t>913201007217504263</w:t>
      </w:r>
      <w:r>
        <w:rPr/>
        <w:t>的《企业法人营 业执照》，注册资本为人民币</w:t>
      </w:r>
      <w:r>
        <w:rPr>
          <w:rFonts w:ascii="宋体" w:hAnsi="宋体" w:cs="宋体" w:eastAsia="宋体" w:hint="default"/>
        </w:rPr>
        <w:t>411,118,370.00</w:t>
      </w:r>
      <w:r>
        <w:rPr/>
        <w:t>元，注册地址为南京市江宁区将军大道</w:t>
      </w:r>
      <w:r>
        <w:rPr>
          <w:rFonts w:ascii="宋体" w:hAnsi="宋体" w:cs="宋体" w:eastAsia="宋体" w:hint="default"/>
        </w:rPr>
        <w:t>128</w:t>
      </w:r>
      <w:r>
        <w:rPr/>
        <w:t>号。本公司经营</w:t>
      </w:r>
      <w:r>
        <w:rPr>
          <w:spacing w:val="-27"/>
        </w:rPr>
        <w:t> </w:t>
      </w:r>
      <w:r>
        <w:rPr>
          <w:spacing w:val="-27"/>
        </w:rPr>
      </w:r>
      <w:r>
        <w:rPr/>
        <w:t>范围为电力设备、仪器仪表、计算机软硬件的开发、设计、制造、销售及服务；信息系统设计、销售、施</w:t>
      </w:r>
      <w:r>
        <w:rPr/>
        <w:t> 工、服务及技术咨询；电子设备与器件、通信产品（不含地面卫星接收设备）的销售、服务及技术咨询；</w:t>
      </w:r>
      <w:r>
        <w:rPr>
          <w:spacing w:val="-35"/>
        </w:rPr>
        <w:t> </w:t>
      </w:r>
      <w:r>
        <w:rPr>
          <w:spacing w:val="-35"/>
        </w:rPr>
      </w:r>
      <w:r>
        <w:rPr>
          <w:spacing w:val="-6"/>
        </w:rPr>
        <w:t>实业投资；电力工程、建筑工程承包；输变电工程、电气工程、机电设备安装的施工及承包；承装、承修、</w:t>
      </w:r>
      <w:r>
        <w:rPr>
          <w:spacing w:val="-59"/>
        </w:rPr>
        <w:t> </w:t>
      </w:r>
      <w:r>
        <w:rPr>
          <w:spacing w:val="-59"/>
        </w:rPr>
      </w:r>
      <w:r>
        <w:rPr/>
        <w:t>承试电力设施；太阳能光伏发电；房屋租赁、物业管理；配电自动化终端设备和检测装置设备租赁；用电</w:t>
      </w:r>
      <w:r>
        <w:rPr/>
        <w:t> 技术服务。</w:t>
      </w:r>
    </w:p>
    <w:p>
      <w:pPr>
        <w:pStyle w:val="BodyText"/>
        <w:spacing w:line="408" w:lineRule="auto"/>
        <w:ind w:left="954" w:right="82" w:firstLine="420"/>
        <w:jc w:val="left"/>
      </w:pPr>
      <w:r>
        <w:rPr>
          <w:spacing w:val="-6"/>
        </w:rPr>
        <w:t>本年度合并财务报表范围为本公司及子公司，具体详见“本附注八、合并范围的变更”、“本附注九、</w:t>
      </w:r>
      <w:r>
        <w:rPr/>
        <w:t> 在其他主体中的权益”。</w:t>
      </w:r>
    </w:p>
    <w:p>
      <w:pPr>
        <w:spacing w:line="240" w:lineRule="auto" w:before="11"/>
        <w:rPr>
          <w:rFonts w:ascii="宋体" w:hAnsi="宋体" w:cs="宋体" w:eastAsia="宋体" w:hint="default"/>
          <w:sz w:val="18"/>
          <w:szCs w:val="18"/>
        </w:rPr>
      </w:pPr>
    </w:p>
    <w:p>
      <w:pPr>
        <w:pStyle w:val="Heading2"/>
        <w:spacing w:line="240" w:lineRule="auto" w:before="0"/>
        <w:ind w:left="954" w:right="82"/>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6"/>
        <w:rPr>
          <w:rFonts w:ascii="宋体" w:hAnsi="宋体" w:cs="宋体" w:eastAsia="宋体" w:hint="default"/>
          <w:b/>
          <w:bCs/>
          <w:sz w:val="30"/>
          <w:szCs w:val="30"/>
        </w:rPr>
      </w:pPr>
    </w:p>
    <w:p>
      <w:pPr>
        <w:pStyle w:val="Heading4"/>
        <w:spacing w:line="240" w:lineRule="auto"/>
        <w:ind w:left="954" w:right="82"/>
        <w:jc w:val="left"/>
        <w:rPr>
          <w:b w:val="0"/>
          <w:bCs w:val="0"/>
        </w:rPr>
      </w:pPr>
      <w:bookmarkStart w:name="1、编制基础" w:id="167"/>
      <w:bookmarkEnd w:id="167"/>
      <w:r>
        <w:rPr>
          <w:b w:val="0"/>
          <w:bCs w:val="0"/>
        </w:rPr>
      </w:r>
      <w:r>
        <w:rPr>
          <w:rFonts w:ascii="宋体" w:hAnsi="宋体" w:cs="宋体" w:eastAsia="宋体" w:hint="default"/>
        </w:rPr>
        <w:t>1</w:t>
      </w:r>
      <w:r>
        <w:rPr/>
        <w:t>、编制基础</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954" w:right="82" w:firstLine="420"/>
        <w:jc w:val="left"/>
      </w:pPr>
      <w:r>
        <w:rPr>
          <w:spacing w:val="-1"/>
        </w:rPr>
        <w:t>本公司以持续经营为基础，根据实际发生的交易和事项，按照《企业会计准则—基本准则》和其他各</w:t>
      </w:r>
      <w:r>
        <w:rPr/>
        <w:t> 项会计准则的规定进行确认和计量，在此基础上编制财务报表。</w:t>
      </w:r>
    </w:p>
    <w:p>
      <w:pPr>
        <w:pStyle w:val="BodyText"/>
        <w:spacing w:line="408" w:lineRule="auto"/>
        <w:ind w:left="954" w:right="82" w:firstLine="420"/>
        <w:jc w:val="left"/>
      </w:pPr>
      <w:r>
        <w:rPr>
          <w:spacing w:val="-1"/>
        </w:rPr>
        <w:t>根据财政部《关于修订印发</w:t>
      </w:r>
      <w:r>
        <w:rPr>
          <w:rFonts w:ascii="宋体" w:hAnsi="宋体" w:cs="宋体" w:eastAsia="宋体" w:hint="default"/>
          <w:spacing w:val="-1"/>
        </w:rPr>
        <w:t>2018</w:t>
      </w:r>
      <w:r>
        <w:rPr>
          <w:spacing w:val="-1"/>
        </w:rPr>
        <w:t>年度一般企业财务报表格式的通知》（财会〔</w:t>
      </w:r>
      <w:r>
        <w:rPr>
          <w:rFonts w:ascii="宋体" w:hAnsi="宋体" w:cs="宋体" w:eastAsia="宋体" w:hint="default"/>
          <w:spacing w:val="-1"/>
        </w:rPr>
        <w:t>2018</w:t>
      </w:r>
      <w:r>
        <w:rPr>
          <w:spacing w:val="-1"/>
        </w:rPr>
        <w:t>〕</w:t>
      </w:r>
      <w:r>
        <w:rPr>
          <w:rFonts w:ascii="宋体" w:hAnsi="宋体" w:cs="宋体" w:eastAsia="宋体" w:hint="default"/>
          <w:spacing w:val="-1"/>
        </w:rPr>
        <w:t>15</w:t>
      </w:r>
      <w:r>
        <w:rPr>
          <w:spacing w:val="-1"/>
        </w:rPr>
        <w:t>号），本公司</w:t>
      </w:r>
      <w:r>
        <w:rPr/>
        <w:t> 对财务报表格式进行了相应调整。</w:t>
      </w:r>
    </w:p>
    <w:p>
      <w:pPr>
        <w:pStyle w:val="Heading4"/>
        <w:spacing w:line="240" w:lineRule="auto" w:before="46"/>
        <w:ind w:left="954" w:right="82"/>
        <w:jc w:val="left"/>
        <w:rPr>
          <w:b w:val="0"/>
          <w:bCs w:val="0"/>
        </w:rPr>
      </w:pPr>
      <w:bookmarkStart w:name="2、持续经营" w:id="168"/>
      <w:bookmarkEnd w:id="168"/>
      <w:r>
        <w:rPr>
          <w:b w:val="0"/>
          <w:bCs w:val="0"/>
        </w:rPr>
      </w:r>
      <w:r>
        <w:rPr>
          <w:rFonts w:ascii="宋体" w:hAnsi="宋体" w:cs="宋体" w:eastAsia="宋体" w:hint="default"/>
        </w:rPr>
        <w:t>2</w:t>
      </w:r>
      <w:r>
        <w:rPr/>
        <w:t>、持续经营</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before="0"/>
        <w:ind w:left="954" w:right="82" w:firstLine="421"/>
        <w:jc w:val="left"/>
      </w:pPr>
      <w:r>
        <w:rPr>
          <w:spacing w:val="-1"/>
        </w:rPr>
        <w:t>经本公司评估，自本报告期末起的</w:t>
      </w:r>
      <w:r>
        <w:rPr>
          <w:rFonts w:ascii="Times New Roman" w:hAnsi="Times New Roman" w:cs="Times New Roman" w:eastAsia="Times New Roman" w:hint="default"/>
          <w:spacing w:val="-1"/>
        </w:rPr>
        <w:t>12</w:t>
      </w:r>
      <w:r>
        <w:rPr>
          <w:spacing w:val="-1"/>
        </w:rPr>
        <w:t>个月内，本公司持续经营能力良好，不存在导致对本公司持续经</w:t>
      </w:r>
      <w:r>
        <w:rPr/>
        <w:t> 营能力产生重大怀疑的因素。</w:t>
      </w:r>
    </w:p>
    <w:p>
      <w:pPr>
        <w:spacing w:after="0" w:line="386" w:lineRule="auto"/>
        <w:jc w:val="left"/>
        <w:sectPr>
          <w:pgSz w:w="11910" w:h="16840"/>
          <w:pgMar w:header="877" w:footer="1000" w:top="1100" w:bottom="1180" w:left="180" w:right="0"/>
        </w:sectPr>
      </w:pPr>
    </w:p>
    <w:p>
      <w:pPr>
        <w:spacing w:line="240" w:lineRule="auto" w:before="7"/>
        <w:rPr>
          <w:rFonts w:ascii="宋体" w:hAnsi="宋体" w:cs="宋体" w:eastAsia="宋体" w:hint="default"/>
          <w:sz w:val="25"/>
          <w:szCs w:val="25"/>
        </w:rPr>
      </w:pPr>
    </w:p>
    <w:p>
      <w:pPr>
        <w:spacing w:line="391" w:lineRule="auto" w:before="26"/>
        <w:ind w:left="154" w:right="6867" w:firstLine="0"/>
        <w:jc w:val="left"/>
        <w:rPr>
          <w:rFonts w:ascii="宋体" w:hAnsi="宋体" w:cs="宋体" w:eastAsia="宋体" w:hint="default"/>
          <w:sz w:val="21"/>
          <w:szCs w:val="21"/>
        </w:rPr>
      </w:pPr>
      <w:bookmarkStart w:name="五、重要会计政策及会计估计" w:id="169"/>
      <w:bookmarkEnd w:id="169"/>
      <w:r>
        <w:rPr/>
      </w:r>
      <w:r>
        <w:rPr>
          <w:rFonts w:ascii="宋体" w:hAnsi="宋体" w:cs="宋体" w:eastAsia="宋体" w:hint="default"/>
          <w:b/>
          <w:bCs/>
          <w:sz w:val="24"/>
          <w:szCs w:val="24"/>
        </w:rPr>
        <w:t>五、重要会计政策及会计估计</w:t>
      </w:r>
      <w:r>
        <w:rPr>
          <w:rFonts w:ascii="宋体" w:hAnsi="宋体" w:cs="宋体" w:eastAsia="宋体" w:hint="default"/>
          <w:b/>
          <w:bCs/>
          <w:w w:val="99"/>
          <w:sz w:val="24"/>
          <w:szCs w:val="24"/>
        </w:rPr>
        <w:t> </w:t>
      </w:r>
      <w:r>
        <w:rPr>
          <w:rFonts w:ascii="宋体" w:hAnsi="宋体" w:cs="宋体" w:eastAsia="宋体" w:hint="default"/>
          <w:sz w:val="21"/>
          <w:szCs w:val="21"/>
        </w:rPr>
        <w:t>公司是否需要遵守特殊行业的披露要求</w:t>
      </w:r>
      <w:r>
        <w:rPr>
          <w:rFonts w:ascii="宋体" w:hAnsi="宋体" w:cs="宋体" w:eastAsia="宋体" w:hint="default"/>
          <w:sz w:val="21"/>
          <w:szCs w:val="21"/>
        </w:rPr>
        <w:t>:</w:t>
      </w:r>
      <w:r>
        <w:rPr>
          <w:rFonts w:ascii="宋体" w:hAnsi="宋体" w:cs="宋体" w:eastAsia="宋体" w:hint="default"/>
          <w:sz w:val="21"/>
          <w:szCs w:val="21"/>
        </w:rPr>
        <w:t>否 具体会计政策和会计估计提示：</w:t>
      </w:r>
    </w:p>
    <w:p>
      <w:pPr>
        <w:pStyle w:val="BodyText"/>
        <w:spacing w:line="408" w:lineRule="auto" w:before="61"/>
        <w:ind w:right="1301" w:firstLine="421"/>
        <w:jc w:val="left"/>
      </w:pPr>
      <w:r>
        <w:rPr/>
        <w:t>以下披露内容已涵盖了本公司根据实际生产经营特点制订的具体会计政策和会计估计。详见本附注 “应收账款坏账准备”、“存货”、“收入”。</w:t>
      </w:r>
    </w:p>
    <w:p>
      <w:pPr>
        <w:spacing w:line="408" w:lineRule="auto" w:before="46"/>
        <w:ind w:left="575" w:right="1122" w:hanging="422"/>
        <w:jc w:val="left"/>
        <w:rPr>
          <w:rFonts w:ascii="宋体" w:hAnsi="宋体" w:cs="宋体" w:eastAsia="宋体" w:hint="default"/>
          <w:sz w:val="21"/>
          <w:szCs w:val="21"/>
        </w:rPr>
      </w:pPr>
      <w:bookmarkStart w:name="1、遵循企业会计准则的声明" w:id="170"/>
      <w:bookmarkEnd w:id="170"/>
      <w:r>
        <w:rPr/>
      </w:r>
      <w:r>
        <w:rPr>
          <w:rFonts w:ascii="宋体" w:hAnsi="宋体" w:cs="宋体" w:eastAsia="宋体"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本公司所编制的财务报表符合企业会计准则的要求，真实、完整地反映了本公司的财务状况、经营成</w:t>
      </w:r>
    </w:p>
    <w:p>
      <w:pPr>
        <w:spacing w:line="408" w:lineRule="auto" w:before="46"/>
        <w:ind w:left="154" w:right="6552" w:firstLine="0"/>
        <w:jc w:val="left"/>
        <w:rPr>
          <w:rFonts w:ascii="宋体" w:hAnsi="宋体" w:cs="宋体" w:eastAsia="宋体" w:hint="default"/>
          <w:sz w:val="21"/>
          <w:szCs w:val="21"/>
        </w:rPr>
      </w:pPr>
      <w:r>
        <w:rPr>
          <w:rFonts w:ascii="宋体" w:hAnsi="宋体" w:cs="宋体" w:eastAsia="宋体" w:hint="default"/>
          <w:sz w:val="21"/>
          <w:szCs w:val="21"/>
        </w:rPr>
        <w:t>果、所有者权益变动和现金流量等有关信息。 </w:t>
      </w:r>
      <w:bookmarkStart w:name="2、会计期间" w:id="171"/>
      <w:bookmarkEnd w:id="171"/>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408" w:lineRule="auto" w:before="46"/>
        <w:ind w:left="154" w:right="6551" w:firstLine="421"/>
        <w:jc w:val="left"/>
        <w:rPr>
          <w:rFonts w:ascii="宋体" w:hAnsi="宋体" w:cs="宋体" w:eastAsia="宋体" w:hint="default"/>
          <w:sz w:val="21"/>
          <w:szCs w:val="21"/>
        </w:rPr>
      </w:pPr>
      <w:r>
        <w:rPr>
          <w:rFonts w:ascii="宋体" w:hAnsi="宋体" w:cs="宋体" w:eastAsia="宋体" w:hint="default"/>
          <w:sz w:val="21"/>
          <w:szCs w:val="21"/>
        </w:rPr>
        <w:t>会计期间自公历</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日起至</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 </w:t>
      </w:r>
      <w:bookmarkStart w:name="3、营业周期" w:id="172"/>
      <w:bookmarkEnd w:id="172"/>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408" w:lineRule="auto"/>
        <w:ind w:right="1117" w:firstLine="421"/>
        <w:jc w:val="left"/>
      </w:pPr>
      <w:r>
        <w:rPr/>
        <w:t>营业周期是指本公司从购买用于加工的资产起至实现现金或现金等价物的期间。本公司以 </w:t>
      </w:r>
      <w:r>
        <w:rPr>
          <w:rFonts w:ascii="宋体" w:hAnsi="宋体" w:cs="宋体" w:eastAsia="宋体" w:hint="default"/>
        </w:rPr>
        <w:t>12</w:t>
      </w:r>
      <w:r>
        <w:rPr>
          <w:rFonts w:ascii="宋体" w:hAnsi="宋体" w:cs="宋体" w:eastAsia="宋体" w:hint="default"/>
          <w:spacing w:val="-26"/>
        </w:rPr>
        <w:t> </w:t>
      </w:r>
      <w:r>
        <w:rPr/>
        <w:t>个月作</w:t>
      </w:r>
      <w:r>
        <w:rPr>
          <w:spacing w:val="-2"/>
        </w:rPr>
        <w:t> </w:t>
      </w:r>
      <w:r>
        <w:rPr/>
        <w:t>为一个营业周期，并以其作为资产和负债的流动性划分标准。</w:t>
      </w:r>
    </w:p>
    <w:p>
      <w:pPr>
        <w:pStyle w:val="Heading4"/>
        <w:spacing w:line="240" w:lineRule="auto" w:before="46"/>
        <w:ind w:right="1122"/>
        <w:jc w:val="left"/>
        <w:rPr>
          <w:b w:val="0"/>
          <w:bCs w:val="0"/>
        </w:rPr>
      </w:pPr>
      <w:bookmarkStart w:name="4、记账本位币" w:id="173"/>
      <w:bookmarkEnd w:id="173"/>
      <w:r>
        <w:rPr>
          <w:b w:val="0"/>
          <w:bCs w:val="0"/>
        </w:rPr>
      </w:r>
      <w:r>
        <w:rPr>
          <w:rFonts w:ascii="宋体" w:hAnsi="宋体" w:cs="宋体" w:eastAsia="宋体" w:hint="default"/>
        </w:rPr>
        <w:t>4</w:t>
      </w:r>
      <w:r>
        <w:rPr/>
        <w:t>、记账本位币</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5586" w:firstLine="421"/>
        <w:jc w:val="left"/>
        <w:rPr>
          <w:rFonts w:ascii="宋体" w:hAnsi="宋体" w:cs="宋体" w:eastAsia="宋体" w:hint="default"/>
          <w:sz w:val="21"/>
          <w:szCs w:val="21"/>
        </w:rPr>
      </w:pPr>
      <w:r>
        <w:rPr>
          <w:rFonts w:ascii="宋体" w:hAnsi="宋体" w:cs="宋体" w:eastAsia="宋体" w:hint="default"/>
          <w:sz w:val="21"/>
          <w:szCs w:val="21"/>
        </w:rPr>
        <w:t>记账本位币为人民币。 </w:t>
      </w:r>
      <w:bookmarkStart w:name="5、同一控制下和非同一控制下企业合并的会计处理方法" w:id="174"/>
      <w:bookmarkEnd w:id="174"/>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pStyle w:val="BodyText"/>
        <w:tabs>
          <w:tab w:pos="679" w:val="left" w:leader="none"/>
        </w:tabs>
        <w:spacing w:line="408" w:lineRule="auto"/>
        <w:ind w:left="575" w:right="1132" w:hanging="422"/>
        <w:jc w:val="left"/>
      </w:pPr>
      <w:r>
        <w:rPr>
          <w:rFonts w:ascii="宋体" w:hAnsi="宋体" w:cs="宋体" w:eastAsia="宋体" w:hint="default"/>
        </w:rPr>
        <w:t>5.1</w:t>
        <w:tab/>
        <w:tab/>
      </w:r>
      <w:r>
        <w:rPr/>
        <w:t>同一控制下的企业合并 </w:t>
      </w:r>
      <w:r>
        <w:rPr>
          <w:spacing w:val="-1"/>
        </w:rPr>
        <w:t>参与合并的企业在合并前后均受同一方或相同的多方最终控制且该控制并非暂时性的，认定为同一控</w:t>
      </w:r>
    </w:p>
    <w:p>
      <w:pPr>
        <w:pStyle w:val="BodyText"/>
        <w:spacing w:line="408" w:lineRule="auto"/>
        <w:ind w:left="574" w:right="1122" w:hanging="420"/>
        <w:jc w:val="left"/>
      </w:pPr>
      <w:r>
        <w:rPr/>
        <w:t>制下的企业合并。 </w:t>
      </w:r>
      <w:r>
        <w:rPr>
          <w:spacing w:val="-1"/>
        </w:rPr>
        <w:t>合并方以支付现金、转让非现金资产或承担债务方式作为合并对价的，在合并日按照被合并方所有者</w:t>
      </w:r>
    </w:p>
    <w:p>
      <w:pPr>
        <w:pStyle w:val="BodyText"/>
        <w:spacing w:line="408" w:lineRule="auto"/>
        <w:ind w:right="1131"/>
        <w:jc w:val="both"/>
      </w:pPr>
      <w:r>
        <w:rPr>
          <w:spacing w:val="-1"/>
        </w:rPr>
        <w:t>权益在最终控制方合并财务报表中的账面价值的份额作为长期股权投资的初始投资成本。长期股权投资初</w:t>
      </w:r>
      <w:r>
        <w:rPr>
          <w:spacing w:val="-81"/>
        </w:rPr>
        <w:t> </w:t>
      </w:r>
      <w:r>
        <w:rPr>
          <w:spacing w:val="-81"/>
        </w:rPr>
      </w:r>
      <w:r>
        <w:rPr>
          <w:spacing w:val="-1"/>
        </w:rPr>
        <w:t>始投资成本与支付的现金、转让的非现金资产以及所承担债务账面价值之间的差额，调整资本公积；资本</w:t>
      </w:r>
      <w:r>
        <w:rPr>
          <w:spacing w:val="-83"/>
        </w:rPr>
        <w:t> </w:t>
      </w:r>
      <w:r>
        <w:rPr>
          <w:spacing w:val="-83"/>
        </w:rPr>
      </w:r>
      <w:r>
        <w:rPr/>
        <w:t>公积不足冲减的，调整留存收益。</w:t>
      </w:r>
    </w:p>
    <w:p>
      <w:pPr>
        <w:pStyle w:val="BodyText"/>
        <w:spacing w:line="408" w:lineRule="auto"/>
        <w:ind w:right="1131" w:firstLine="420"/>
        <w:jc w:val="both"/>
      </w:pPr>
      <w:r>
        <w:rPr>
          <w:spacing w:val="-1"/>
        </w:rPr>
        <w:t>合并方以发行权益性证券作为合并对价的，在合并日按照被合并方所有者权益在最终控制方合并财务</w:t>
      </w:r>
      <w:r>
        <w:rPr/>
        <w:t> </w:t>
      </w:r>
      <w:r>
        <w:rPr>
          <w:spacing w:val="-1"/>
        </w:rPr>
        <w:t>报表中的账面价值的份额作为长期股权投资的初始投资成本。按照发行股份的面值总额作为股本，长期股</w:t>
      </w:r>
      <w:r>
        <w:rPr>
          <w:spacing w:val="-81"/>
        </w:rPr>
        <w:t> </w:t>
      </w:r>
      <w:r>
        <w:rPr>
          <w:spacing w:val="-81"/>
        </w:rPr>
      </w:r>
      <w:r>
        <w:rPr>
          <w:spacing w:val="-1"/>
        </w:rPr>
        <w:t>权投资初始投资成本与所发行股份面值总额之间的差额，调整资本公积；资本公积不足冲减的，调整留存</w:t>
      </w:r>
      <w:r>
        <w:rPr>
          <w:spacing w:val="-83"/>
        </w:rPr>
        <w:t> </w:t>
      </w:r>
      <w:r>
        <w:rPr>
          <w:spacing w:val="-83"/>
        </w:rPr>
      </w:r>
      <w:r>
        <w:rPr/>
        <w:t>收益。</w:t>
      </w:r>
    </w:p>
    <w:p>
      <w:pPr>
        <w:pStyle w:val="BodyText"/>
        <w:spacing w:line="408" w:lineRule="auto"/>
        <w:ind w:right="1122" w:firstLine="420"/>
        <w:jc w:val="left"/>
      </w:pPr>
      <w:r>
        <w:rPr>
          <w:spacing w:val="-1"/>
        </w:rPr>
        <w:t>合并方为企业合并发生的审计、法律服务、评估咨询等中介费用以及其他相关管理费用，于发生时计</w:t>
      </w:r>
      <w:r>
        <w:rPr/>
        <w:t> 入当期损益。</w:t>
      </w:r>
    </w:p>
    <w:p>
      <w:pPr>
        <w:pStyle w:val="BodyText"/>
        <w:tabs>
          <w:tab w:pos="679" w:val="left" w:leader="none"/>
        </w:tabs>
        <w:spacing w:line="240" w:lineRule="auto"/>
        <w:ind w:right="1122"/>
        <w:jc w:val="left"/>
      </w:pPr>
      <w:r>
        <w:rPr>
          <w:rFonts w:ascii="宋体" w:hAnsi="宋体" w:cs="宋体" w:eastAsia="宋体" w:hint="default"/>
        </w:rPr>
        <w:t>5.2</w:t>
        <w:tab/>
      </w:r>
      <w:r>
        <w:rPr/>
        <w:t>非同一控制下的企业合并</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0" w:firstLine="420"/>
        <w:jc w:val="left"/>
      </w:pPr>
      <w:r>
        <w:rPr/>
        <w:t>参与合并的各方在合并前后不受同一方或相同的多方最终控制的，认定为非同一控制下的企业合并。 购买方通过一次交换交易实现的企业合并，合并成本为购买方在购买日为取得对被购买方的控制权而付出 </w:t>
      </w:r>
      <w:r>
        <w:rPr>
          <w:spacing w:val="-5"/>
        </w:rPr>
        <w:t>的资产、发生或承担的负债以及发行的权益性证券的公允价值。购买方为企业合并发生的审计、法律服务、</w:t>
      </w:r>
      <w:r>
        <w:rPr>
          <w:spacing w:val="-101"/>
        </w:rPr>
        <w:t> </w:t>
      </w:r>
      <w:r>
        <w:rPr>
          <w:spacing w:val="-101"/>
        </w:rPr>
      </w:r>
      <w:r>
        <w:rPr/>
        <w:t>评估咨询等中介费用以及其他相关管理费用，于发生时计入当期损益；购买方作为合并对价发行的权益性</w:t>
      </w:r>
      <w:r>
        <w:rPr/>
        <w:t> 证券或债务性证券的交易费用，计入权益性证券或债务性证券的初始确认金额。</w:t>
      </w:r>
    </w:p>
    <w:p>
      <w:pPr>
        <w:pStyle w:val="BodyText"/>
        <w:spacing w:line="408" w:lineRule="auto"/>
        <w:ind w:right="1130" w:firstLine="420"/>
        <w:jc w:val="both"/>
      </w:pPr>
      <w:r>
        <w:rPr>
          <w:spacing w:val="-1"/>
        </w:rPr>
        <w:t>购买方的合并成本和购买方在合并中取得的可辨认净资产按购买日的公允价值计量。合并成本大于合</w:t>
      </w:r>
      <w:r>
        <w:rPr/>
        <w:t> </w:t>
      </w:r>
      <w:r>
        <w:rPr>
          <w:spacing w:val="-1"/>
        </w:rPr>
        <w:t>并中取得的被购买方于购买日可辨认净资产公允价值份额的差额，确认为商誉；合并成本小于合并中取得</w:t>
      </w:r>
      <w:r>
        <w:rPr>
          <w:spacing w:val="-81"/>
        </w:rPr>
        <w:t> </w:t>
      </w:r>
      <w:r>
        <w:rPr>
          <w:spacing w:val="-81"/>
        </w:rPr>
      </w:r>
      <w:r>
        <w:rPr/>
        <w:t>的被购买方可辨认净资产公允价值份额的差额，计入当期损益。</w:t>
      </w:r>
    </w:p>
    <w:p>
      <w:pPr>
        <w:pStyle w:val="BodyText"/>
        <w:tabs>
          <w:tab w:pos="679" w:val="left" w:leader="none"/>
        </w:tabs>
        <w:spacing w:line="408" w:lineRule="auto"/>
        <w:ind w:left="574" w:right="1131" w:hanging="420"/>
        <w:jc w:val="left"/>
      </w:pPr>
      <w:r>
        <w:rPr>
          <w:rFonts w:ascii="宋体" w:hAnsi="宋体" w:cs="宋体" w:eastAsia="宋体" w:hint="default"/>
        </w:rPr>
        <w:t>5.3</w:t>
        <w:tab/>
        <w:tab/>
      </w:r>
      <w:r>
        <w:rPr/>
        <w:t>因追加投资等原因能够对非同一控制下的被投资单位实施控制的 </w:t>
      </w:r>
      <w:r>
        <w:rPr>
          <w:spacing w:val="-1"/>
        </w:rPr>
        <w:t>在编制个别财务报表时，按照原持有的股权投资账面价值加上新增投资成本之和，作为改按成本法核</w:t>
      </w:r>
    </w:p>
    <w:p>
      <w:pPr>
        <w:pStyle w:val="BodyText"/>
        <w:spacing w:line="408" w:lineRule="auto"/>
        <w:ind w:right="1131"/>
        <w:jc w:val="both"/>
      </w:pPr>
      <w:r>
        <w:rPr>
          <w:spacing w:val="-1"/>
        </w:rPr>
        <w:t>算的初始投资成本。购买日之前持有的股权投资因采用权益法核算而确认的其他综合收益，在处置该项投</w:t>
      </w:r>
      <w:r>
        <w:rPr>
          <w:spacing w:val="-81"/>
        </w:rPr>
        <w:t> </w:t>
      </w:r>
      <w:r>
        <w:rPr>
          <w:spacing w:val="-81"/>
        </w:rPr>
      </w:r>
      <w:r>
        <w:rPr>
          <w:spacing w:val="-1"/>
        </w:rPr>
        <w:t>资时采用与被投资单位直接处置相关资产或负债相同的基础进行会计处理。购买日之前持有的股权投资按</w:t>
      </w:r>
      <w:r>
        <w:rPr>
          <w:spacing w:val="-81"/>
        </w:rPr>
        <w:t> </w:t>
      </w:r>
      <w:r>
        <w:rPr>
          <w:spacing w:val="-81"/>
        </w:rPr>
      </w:r>
      <w:r>
        <w:rPr>
          <w:spacing w:val="-1"/>
        </w:rPr>
        <w:t>照《企业会计准则第</w:t>
      </w:r>
      <w:r>
        <w:rPr>
          <w:rFonts w:ascii="宋体" w:hAnsi="宋体" w:cs="宋体" w:eastAsia="宋体" w:hint="default"/>
          <w:spacing w:val="-1"/>
        </w:rPr>
        <w:t>22</w:t>
      </w:r>
      <w:r>
        <w:rPr>
          <w:spacing w:val="-1"/>
        </w:rPr>
        <w:t>号——金融工具确认和计量》的有关规定进行会计处理的，原计入其他综合收益的</w:t>
      </w:r>
      <w:r>
        <w:rPr>
          <w:spacing w:val="-83"/>
        </w:rPr>
        <w:t> </w:t>
      </w:r>
      <w:r>
        <w:rPr>
          <w:spacing w:val="-83"/>
        </w:rPr>
      </w:r>
      <w:r>
        <w:rPr/>
        <w:t>累计公允价值变动在改按成本法核算时转入当期损益。</w:t>
      </w:r>
    </w:p>
    <w:p>
      <w:pPr>
        <w:pStyle w:val="BodyText"/>
        <w:spacing w:line="408" w:lineRule="auto"/>
        <w:ind w:right="1122" w:firstLine="420"/>
        <w:jc w:val="left"/>
        <w:rPr>
          <w:rFonts w:ascii="宋体" w:hAnsi="宋体" w:cs="宋体" w:eastAsia="宋体" w:hint="default"/>
        </w:rPr>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新计量，公允价值与其账面价值的差额计入当期投资收益；购买日之前持有的被购买方的股权涉及权益法</w:t>
      </w:r>
      <w:r>
        <w:rPr>
          <w:spacing w:val="-81"/>
        </w:rPr>
        <w:t> </w:t>
      </w:r>
      <w:r>
        <w:rPr>
          <w:spacing w:val="-81"/>
        </w:rPr>
      </w:r>
      <w:r>
        <w:rPr/>
        <w:t>核算下的其他综合收益等的，与其相关的其他综合收益等应当转为购买日所属当期收益。 </w:t>
      </w:r>
      <w:bookmarkStart w:name="6、合并财务报表的编制方法" w:id="175"/>
      <w:bookmarkEnd w:id="175"/>
      <w:r>
        <w:rPr/>
      </w:r>
      <w:r>
        <w:rPr>
          <w:rFonts w:ascii="宋体" w:hAnsi="宋体" w:cs="宋体" w:eastAsia="宋体" w:hint="default"/>
          <w:b/>
          <w:bCs/>
        </w:rPr>
        <w:t>6</w:t>
      </w:r>
      <w:r>
        <w:rPr>
          <w:rFonts w:ascii="宋体" w:hAnsi="宋体" w:cs="宋体" w:eastAsia="宋体" w:hint="default"/>
          <w:b/>
          <w:bCs/>
        </w:rPr>
        <w:t>、合并财务报表的编制方法</w:t>
      </w:r>
      <w:r>
        <w:rPr>
          <w:rFonts w:ascii="宋体" w:hAnsi="宋体" w:cs="宋体" w:eastAsia="宋体" w:hint="default"/>
        </w:rPr>
      </w:r>
    </w:p>
    <w:p>
      <w:pPr>
        <w:pStyle w:val="BodyText"/>
        <w:spacing w:line="240" w:lineRule="auto"/>
        <w:ind w:right="1122"/>
        <w:jc w:val="left"/>
      </w:pPr>
      <w:r>
        <w:rPr>
          <w:rFonts w:ascii="宋体" w:hAnsi="宋体" w:cs="宋体" w:eastAsia="宋体" w:hint="default"/>
        </w:rPr>
        <w:t>6.1</w:t>
      </w:r>
      <w:r>
        <w:rPr>
          <w:rFonts w:ascii="宋体" w:hAnsi="宋体" w:cs="宋体" w:eastAsia="宋体" w:hint="default"/>
          <w:spacing w:val="-1"/>
        </w:rPr>
        <w:t> </w:t>
      </w:r>
      <w:r>
        <w:rPr/>
        <w:t>合并范围</w:t>
      </w:r>
    </w:p>
    <w:p>
      <w:pPr>
        <w:spacing w:line="240" w:lineRule="auto" w:before="10"/>
        <w:rPr>
          <w:rFonts w:ascii="宋体" w:hAnsi="宋体" w:cs="宋体" w:eastAsia="宋体" w:hint="default"/>
          <w:sz w:val="14"/>
          <w:szCs w:val="14"/>
        </w:rPr>
      </w:pPr>
    </w:p>
    <w:p>
      <w:pPr>
        <w:pStyle w:val="BodyText"/>
        <w:tabs>
          <w:tab w:pos="679" w:val="left" w:leader="none"/>
        </w:tabs>
        <w:spacing w:line="408" w:lineRule="auto" w:before="0"/>
        <w:ind w:right="1320" w:firstLine="420"/>
        <w:jc w:val="left"/>
      </w:pPr>
      <w:r>
        <w:rPr/>
        <w:t>合并财务报表的合并范围包括本公司及子公司。合并财务报表的合并范围以控制为基础予以确定。 </w:t>
      </w:r>
      <w:r>
        <w:rPr>
          <w:rFonts w:ascii="宋体" w:hAnsi="宋体" w:cs="宋体" w:eastAsia="宋体" w:hint="default"/>
        </w:rPr>
        <w:t>6.2</w:t>
        <w:tab/>
      </w:r>
      <w:r>
        <w:rPr/>
        <w:t>控制的依据</w:t>
      </w:r>
    </w:p>
    <w:p>
      <w:pPr>
        <w:pStyle w:val="BodyText"/>
        <w:spacing w:line="408" w:lineRule="auto"/>
        <w:ind w:right="1131" w:firstLine="420"/>
        <w:jc w:val="both"/>
        <w:rPr>
          <w:rFonts w:ascii="宋体" w:hAnsi="宋体" w:cs="宋体" w:eastAsia="宋体" w:hint="default"/>
        </w:rPr>
      </w:pPr>
      <w:r>
        <w:rPr>
          <w:spacing w:val="-1"/>
        </w:rPr>
        <w:t>投资方拥有对被投资方的权力，通过参与被投资方的相关活动而享有可变回报，并且有能力运用对被</w:t>
      </w:r>
      <w:r>
        <w:rPr/>
        <w:t> </w:t>
      </w:r>
      <w:r>
        <w:rPr>
          <w:spacing w:val="-1"/>
        </w:rPr>
        <w:t>投资方的权力影响其回报金额，视为投资方控制被投资方。相关活动，系为对被投资方的回报产生重大影</w:t>
      </w:r>
      <w:r>
        <w:rPr>
          <w:spacing w:val="-83"/>
        </w:rPr>
        <w:t> </w:t>
      </w:r>
      <w:r>
        <w:rPr>
          <w:spacing w:val="-83"/>
        </w:rPr>
      </w:r>
      <w:r>
        <w:rPr/>
        <w:t>响的活动。</w:t>
      </w:r>
      <w:r>
        <w:rPr>
          <w:rFonts w:ascii="宋体" w:hAnsi="宋体" w:cs="宋体" w:eastAsia="宋体" w:hint="default"/>
        </w:rPr>
        <w:t>.</w:t>
      </w:r>
    </w:p>
    <w:p>
      <w:pPr>
        <w:pStyle w:val="BodyText"/>
        <w:tabs>
          <w:tab w:pos="679" w:val="left" w:leader="none"/>
        </w:tabs>
        <w:spacing w:line="408" w:lineRule="auto"/>
        <w:ind w:left="574" w:right="1131" w:hanging="420"/>
        <w:jc w:val="left"/>
      </w:pPr>
      <w:r>
        <w:rPr>
          <w:rFonts w:ascii="宋体" w:hAnsi="宋体" w:cs="宋体" w:eastAsia="宋体" w:hint="default"/>
        </w:rPr>
        <w:t>6.3</w:t>
        <w:tab/>
        <w:tab/>
      </w:r>
      <w:r>
        <w:rPr/>
        <w:t>决策者和代理人 </w:t>
      </w:r>
      <w:r>
        <w:rPr>
          <w:spacing w:val="-1"/>
        </w:rPr>
        <w:t>代理人仅代表主要责任人行使决策权，不控制被投资方。投资方将被投资方相关活动的决策权委托给</w:t>
      </w:r>
    </w:p>
    <w:p>
      <w:pPr>
        <w:pStyle w:val="BodyText"/>
        <w:spacing w:line="408" w:lineRule="auto"/>
        <w:ind w:left="574" w:right="1512" w:hanging="420"/>
        <w:jc w:val="left"/>
      </w:pPr>
      <w:r>
        <w:rPr/>
        <w:t>代理人的，将该决策权视为自身直接持有。 在确定决策者是否为代理人时，公司综合考虑该决策者与被投资方以及其他投资方之间的关系。 </w:t>
      </w:r>
      <w:r>
        <w:rPr>
          <w:rFonts w:ascii="宋体" w:hAnsi="宋体" w:cs="宋体" w:eastAsia="宋体" w:hint="default"/>
        </w:rPr>
        <w:t>1</w:t>
      </w:r>
      <w:r>
        <w:rPr/>
        <w:t>）存在单独一方拥有实质性权利可以无条件罢免决策者的，该决策者为代理人。</w:t>
      </w:r>
    </w:p>
    <w:p>
      <w:pPr>
        <w:pStyle w:val="BodyText"/>
        <w:spacing w:line="240" w:lineRule="auto"/>
        <w:ind w:left="574" w:right="0"/>
        <w:jc w:val="left"/>
      </w:pPr>
      <w:r>
        <w:rPr>
          <w:rFonts w:ascii="宋体" w:hAnsi="宋体" w:cs="宋体" w:eastAsia="宋体" w:hint="default"/>
        </w:rPr>
        <w:t>2</w:t>
      </w:r>
      <w:r>
        <w:rPr/>
        <w:t>）除</w:t>
      </w:r>
      <w:r>
        <w:rPr>
          <w:rFonts w:ascii="宋体" w:hAnsi="宋体" w:cs="宋体" w:eastAsia="宋体" w:hint="default"/>
        </w:rPr>
        <w:t>1</w:t>
      </w:r>
      <w:r>
        <w:rPr/>
        <w:t>）以外的情况下，综合考虑决策者对被投资方的决策权范围、其他方享有的实质性权利、决策</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tabs>
          <w:tab w:pos="679" w:val="left" w:leader="none"/>
        </w:tabs>
        <w:spacing w:line="408" w:lineRule="auto" w:before="35"/>
        <w:ind w:right="1740"/>
        <w:jc w:val="left"/>
      </w:pPr>
      <w:r>
        <w:rPr/>
        <w:t>者的薪酬水平、决策者因持有被投资方中的其他权益所承担可变回报的风险等相关因素进行判断。 </w:t>
      </w:r>
      <w:r>
        <w:rPr>
          <w:rFonts w:ascii="宋体" w:hAnsi="宋体" w:cs="宋体" w:eastAsia="宋体" w:hint="default"/>
        </w:rPr>
        <w:t>6.4</w:t>
        <w:tab/>
      </w:r>
      <w:r>
        <w:rPr/>
        <w:t>投资性主体</w:t>
      </w:r>
    </w:p>
    <w:p>
      <w:pPr>
        <w:pStyle w:val="BodyText"/>
        <w:spacing w:line="408" w:lineRule="auto"/>
        <w:ind w:left="574" w:right="2457" w:hanging="105"/>
        <w:jc w:val="left"/>
      </w:pPr>
      <w:r>
        <w:rPr/>
        <w:t>当同时满足下列条件时，视为投资性主体： </w:t>
      </w:r>
      <w:r>
        <w:rPr>
          <w:rFonts w:ascii="宋体" w:hAnsi="宋体" w:cs="宋体" w:eastAsia="宋体" w:hint="default"/>
        </w:rPr>
        <w:t>1</w:t>
      </w:r>
      <w:r>
        <w:rPr/>
        <w:t>）该公司是以向投资者提供投资管理服务为目的，从一个或多个投资者处获取资金；</w:t>
      </w:r>
    </w:p>
    <w:p>
      <w:pPr>
        <w:pStyle w:val="BodyText"/>
        <w:spacing w:line="240" w:lineRule="auto"/>
        <w:ind w:left="574" w:right="1122"/>
        <w:jc w:val="left"/>
      </w:pPr>
      <w:r>
        <w:rPr>
          <w:rFonts w:ascii="宋体" w:hAnsi="宋体" w:cs="宋体" w:eastAsia="宋体" w:hint="default"/>
        </w:rPr>
        <w:t>2</w:t>
      </w:r>
      <w:r>
        <w:rPr/>
        <w:t>）该公司的唯一经营目的，是通过资本增值、投资收益或两者兼有而让投资者获得回报；</w:t>
      </w:r>
    </w:p>
    <w:p>
      <w:pPr>
        <w:spacing w:line="240" w:lineRule="auto" w:before="10"/>
        <w:rPr>
          <w:rFonts w:ascii="宋体" w:hAnsi="宋体" w:cs="宋体" w:eastAsia="宋体" w:hint="default"/>
          <w:sz w:val="14"/>
          <w:szCs w:val="14"/>
        </w:rPr>
      </w:pPr>
    </w:p>
    <w:p>
      <w:pPr>
        <w:pStyle w:val="BodyText"/>
        <w:spacing w:line="408" w:lineRule="auto" w:before="0"/>
        <w:ind w:left="574" w:right="4347"/>
        <w:jc w:val="left"/>
      </w:pPr>
      <w:r>
        <w:rPr>
          <w:rFonts w:ascii="宋体" w:hAnsi="宋体" w:cs="宋体" w:eastAsia="宋体" w:hint="default"/>
        </w:rPr>
        <w:t>3</w:t>
      </w:r>
      <w:r>
        <w:rPr/>
        <w:t>）该公司按照公允价值对几乎所有投资的业绩进行考量和评价。 属于投资性主体的，通常情况下符合下列所有特征： </w:t>
      </w:r>
      <w:r>
        <w:rPr>
          <w:rFonts w:ascii="宋体" w:hAnsi="宋体" w:cs="宋体" w:eastAsia="宋体" w:hint="default"/>
        </w:rPr>
        <w:t>1</w:t>
      </w:r>
      <w:r>
        <w:rPr/>
        <w:t>）拥有一个以上投资；</w:t>
      </w:r>
    </w:p>
    <w:p>
      <w:pPr>
        <w:pStyle w:val="BodyText"/>
        <w:spacing w:line="240" w:lineRule="auto"/>
        <w:ind w:left="574" w:right="1122"/>
        <w:jc w:val="left"/>
      </w:pPr>
      <w:r>
        <w:rPr>
          <w:rFonts w:ascii="宋体" w:hAnsi="宋体" w:cs="宋体" w:eastAsia="宋体" w:hint="default"/>
        </w:rPr>
        <w:t>2</w:t>
      </w:r>
      <w:r>
        <w:rPr/>
        <w:t>）拥有一个以上投资者；</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rFonts w:ascii="宋体" w:hAnsi="宋体" w:cs="宋体" w:eastAsia="宋体" w:hint="default"/>
        </w:rPr>
        <w:t>3</w:t>
      </w:r>
      <w:r>
        <w:rPr/>
        <w:t>）投资者不是该主体的关联方；</w:t>
      </w:r>
    </w:p>
    <w:p>
      <w:pPr>
        <w:spacing w:line="240" w:lineRule="auto" w:before="10"/>
        <w:rPr>
          <w:rFonts w:ascii="宋体" w:hAnsi="宋体" w:cs="宋体" w:eastAsia="宋体" w:hint="default"/>
          <w:sz w:val="14"/>
          <w:szCs w:val="14"/>
        </w:rPr>
      </w:pPr>
    </w:p>
    <w:p>
      <w:pPr>
        <w:pStyle w:val="BodyText"/>
        <w:spacing w:line="408" w:lineRule="auto" w:before="0"/>
        <w:ind w:left="574" w:right="1122"/>
        <w:jc w:val="left"/>
      </w:pPr>
      <w:r>
        <w:rPr>
          <w:rFonts w:ascii="宋体" w:hAnsi="宋体" w:cs="宋体" w:eastAsia="宋体" w:hint="default"/>
        </w:rPr>
        <w:t>4</w:t>
      </w:r>
      <w:r>
        <w:rPr/>
        <w:t>）其所有者权益以股权或类似权益方式存在。 </w:t>
      </w:r>
      <w:r>
        <w:rPr>
          <w:spacing w:val="-1"/>
        </w:rPr>
        <w:t>如果母公司是投资性主体，则母公司仅将为其投资活动提供相关服务的子公司</w:t>
      </w:r>
      <w:r>
        <w:rPr>
          <w:rFonts w:ascii="宋体" w:hAnsi="宋体" w:cs="宋体" w:eastAsia="宋体" w:hint="default"/>
          <w:spacing w:val="-1"/>
        </w:rPr>
        <w:t>(</w:t>
      </w:r>
      <w:r>
        <w:rPr>
          <w:spacing w:val="-1"/>
        </w:rPr>
        <w:t>如有</w:t>
      </w:r>
      <w:r>
        <w:rPr>
          <w:rFonts w:ascii="宋体" w:hAnsi="宋体" w:cs="宋体" w:eastAsia="宋体" w:hint="default"/>
          <w:spacing w:val="-1"/>
        </w:rPr>
        <w:t>)</w:t>
      </w:r>
      <w:r>
        <w:rPr>
          <w:spacing w:val="-1"/>
        </w:rPr>
        <w:t>纳入合并范围并</w:t>
      </w:r>
    </w:p>
    <w:p>
      <w:pPr>
        <w:pStyle w:val="BodyText"/>
        <w:spacing w:line="408" w:lineRule="auto"/>
        <w:ind w:right="1122"/>
        <w:jc w:val="left"/>
      </w:pPr>
      <w:r>
        <w:rPr>
          <w:spacing w:val="-1"/>
        </w:rPr>
        <w:t>编制合并财务报表；其他子公司不予以合并，母公司对其他子公司的投资按照公允价值计量且其变动计入</w:t>
      </w:r>
      <w:r>
        <w:rPr>
          <w:spacing w:val="-81"/>
        </w:rPr>
        <w:t> </w:t>
      </w:r>
      <w:r>
        <w:rPr>
          <w:spacing w:val="-81"/>
        </w:rPr>
      </w:r>
      <w:r>
        <w:rPr/>
        <w:t>当期损益。</w:t>
      </w:r>
    </w:p>
    <w:p>
      <w:pPr>
        <w:pStyle w:val="BodyText"/>
        <w:spacing w:line="408" w:lineRule="auto"/>
        <w:ind w:right="1122" w:firstLine="420"/>
        <w:jc w:val="left"/>
      </w:pPr>
      <w:r>
        <w:rPr>
          <w:spacing w:val="-1"/>
        </w:rPr>
        <w:t>投资性主体的母公司本身不是投资性主体，则将其控制的全部主体，包括那些通过投资性主体所间接</w:t>
      </w:r>
      <w:r>
        <w:rPr/>
        <w:t> 控制的主体，纳入合并财务报表范围。</w:t>
      </w:r>
    </w:p>
    <w:p>
      <w:pPr>
        <w:pStyle w:val="BodyText"/>
        <w:tabs>
          <w:tab w:pos="679" w:val="left" w:leader="none"/>
        </w:tabs>
        <w:spacing w:line="240" w:lineRule="auto"/>
        <w:ind w:right="1122"/>
        <w:jc w:val="left"/>
      </w:pPr>
      <w:r>
        <w:rPr>
          <w:rFonts w:ascii="宋体" w:hAnsi="宋体" w:cs="宋体" w:eastAsia="宋体" w:hint="default"/>
        </w:rPr>
        <w:t>6.5</w:t>
        <w:tab/>
      </w:r>
      <w:r>
        <w:rPr/>
        <w:t>合并程序</w:t>
      </w:r>
    </w:p>
    <w:p>
      <w:pPr>
        <w:spacing w:line="240" w:lineRule="auto" w:before="10"/>
        <w:rPr>
          <w:rFonts w:ascii="宋体" w:hAnsi="宋体" w:cs="宋体" w:eastAsia="宋体" w:hint="default"/>
          <w:sz w:val="14"/>
          <w:szCs w:val="14"/>
        </w:rPr>
      </w:pPr>
    </w:p>
    <w:p>
      <w:pPr>
        <w:pStyle w:val="BodyText"/>
        <w:spacing w:line="408" w:lineRule="auto" w:before="0"/>
        <w:ind w:right="1122" w:firstLine="420"/>
        <w:jc w:val="left"/>
      </w:pPr>
      <w:r>
        <w:rPr>
          <w:spacing w:val="-1"/>
        </w:rPr>
        <w:t>子公司所采用的会计政策或会计期间与本公司不一致的，按照本公司的会计政策或会计期间对子公司</w:t>
      </w:r>
      <w:r>
        <w:rPr/>
        <w:t> 财务报表进行必要的调整；或者要求子公司按照本公司的会计政策或会计期间另行编报财务报表。 </w:t>
      </w:r>
      <w:r>
        <w:rPr>
          <w:spacing w:val="-1"/>
        </w:rPr>
        <w:t>合并资产负债表、合并利润表、合并现金流量表及合并所有者（股东）权益变动表分别以本公司和子公司</w:t>
      </w:r>
      <w:r>
        <w:rPr>
          <w:spacing w:val="-86"/>
        </w:rPr>
        <w:t> </w:t>
      </w:r>
      <w:r>
        <w:rPr>
          <w:spacing w:val="-86"/>
        </w:rPr>
      </w:r>
      <w:r>
        <w:rPr>
          <w:spacing w:val="-1"/>
        </w:rPr>
        <w:t>的资产负债表、利润表、现金流量表及所有者（股东）权益变动表为基础，在抵销本公司与子公司、子公</w:t>
      </w:r>
      <w:r>
        <w:rPr>
          <w:spacing w:val="-82"/>
        </w:rPr>
        <w:t> </w:t>
      </w:r>
      <w:r>
        <w:rPr>
          <w:spacing w:val="-82"/>
        </w:rPr>
      </w:r>
      <w:r>
        <w:rPr>
          <w:spacing w:val="-1"/>
        </w:rPr>
        <w:t>司相互之间发生的内部交易对合并资产负债表、合并利润表、合并现金流量表及合并所有者（股东）权益</w:t>
      </w:r>
      <w:r>
        <w:rPr>
          <w:spacing w:val="-86"/>
        </w:rPr>
        <w:t> </w:t>
      </w:r>
      <w:r>
        <w:rPr>
          <w:spacing w:val="-86"/>
        </w:rPr>
      </w:r>
      <w:r>
        <w:rPr/>
        <w:t>变动表的影响后，由本公司合并编制。</w:t>
      </w:r>
    </w:p>
    <w:p>
      <w:pPr>
        <w:pStyle w:val="BodyText"/>
        <w:spacing w:line="408" w:lineRule="auto"/>
        <w:ind w:right="0" w:firstLine="420"/>
        <w:jc w:val="left"/>
      </w:pPr>
      <w:r>
        <w:rPr>
          <w:spacing w:val="-1"/>
        </w:rPr>
        <w:t>本公司向子公司出售资产所发生的未实现内部交易损益，全额抵销“归属于母公司所有者的净利润”。</w:t>
      </w:r>
      <w:r>
        <w:rPr/>
        <w:t> 子公司向本公司出售资产所发生的未实现内部交易损益，按照本公司对该子公司的分配比例在“归属于母 公司所有者的净利润”和“少数股东损益”之间分配抵销。子公司之间出售资产所发生的未实现内部交易 </w:t>
      </w:r>
      <w:r>
        <w:rPr>
          <w:spacing w:val="-1"/>
        </w:rPr>
        <w:t>损益，应当按照本公司对出售方子公司的分配比例在“归属于母公司所有者的净利润”和“少数股东损益”</w:t>
      </w:r>
      <w:r>
        <w:rPr>
          <w:spacing w:val="-80"/>
        </w:rPr>
        <w:t> </w:t>
      </w:r>
      <w:r>
        <w:rPr>
          <w:spacing w:val="-80"/>
        </w:rPr>
      </w:r>
      <w:r>
        <w:rPr/>
        <w:t>之间分配抵销。</w:t>
      </w:r>
    </w:p>
    <w:p>
      <w:pPr>
        <w:pStyle w:val="BodyText"/>
        <w:spacing w:line="408" w:lineRule="auto"/>
        <w:ind w:right="1122" w:firstLine="420"/>
        <w:jc w:val="left"/>
      </w:pPr>
      <w:r>
        <w:rPr>
          <w:spacing w:val="-1"/>
        </w:rPr>
        <w:t>子公司所有者权益中不属于本公司的份额，作为少数股东权益，在合并资产负债表中所有者权益项目</w:t>
      </w:r>
      <w:r>
        <w:rPr/>
        <w:t> </w:t>
      </w:r>
      <w:r>
        <w:rPr>
          <w:spacing w:val="-1"/>
        </w:rPr>
        <w:t>下以“少数股东权益”项目列示。子公司当期净损益中属于少数股东权益的份额，在合并利润表中净利润</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项目下以“少数股东损益”项目列示。子公司当期综合收益中属于少数股东权益的份额，在合并利润表中</w:t>
      </w:r>
      <w:r>
        <w:rPr>
          <w:spacing w:val="-81"/>
        </w:rPr>
        <w:t> </w:t>
      </w:r>
      <w:r>
        <w:rPr>
          <w:spacing w:val="-81"/>
        </w:rPr>
      </w:r>
      <w:r>
        <w:rPr>
          <w:spacing w:val="-1"/>
        </w:rPr>
        <w:t>综合收益总额项目下以“归属于少数股东的综合收益总额”项目列示。有少数股东的，在合并所有者权益</w:t>
      </w:r>
      <w:r>
        <w:rPr>
          <w:spacing w:val="-81"/>
        </w:rPr>
        <w:t> </w:t>
      </w:r>
      <w:r>
        <w:rPr>
          <w:spacing w:val="-81"/>
        </w:rPr>
      </w:r>
      <w:r>
        <w:rPr>
          <w:spacing w:val="-1"/>
        </w:rPr>
        <w:t>变动表中增加“少数股东权益”栏目，反映少数股东权益变动的情况。子公司少数股东分担的当期亏损超</w:t>
      </w:r>
      <w:r>
        <w:rPr>
          <w:spacing w:val="-81"/>
        </w:rPr>
        <w:t> </w:t>
      </w:r>
      <w:r>
        <w:rPr>
          <w:spacing w:val="-81"/>
        </w:rPr>
      </w:r>
      <w:r>
        <w:rPr/>
        <w:t>过了少数股东在该子公司期初所有者权益中所享有的份额的，其余额仍应当冲减少数股东权益。</w:t>
      </w:r>
    </w:p>
    <w:p>
      <w:pPr>
        <w:pStyle w:val="BodyText"/>
        <w:spacing w:line="408" w:lineRule="auto"/>
        <w:ind w:right="0" w:firstLine="420"/>
        <w:jc w:val="left"/>
      </w:pPr>
      <w:r>
        <w:rPr/>
        <w:t>本公司在报告期内因同一控制下企业合并增加的子公司以及业务，编制合并资产负债表时，调整合并 资产负债表的期初数；编制合并利润表时，将该子公司以及业务合并当期期初至报告期末的收入、费用、</w:t>
      </w:r>
      <w:r>
        <w:rPr>
          <w:spacing w:val="-38"/>
        </w:rPr>
        <w:t> </w:t>
      </w:r>
      <w:r>
        <w:rPr>
          <w:spacing w:val="-38"/>
        </w:rPr>
      </w:r>
      <w:r>
        <w:rPr/>
        <w:t>利润纳入合并利润表；编制现金流量表时，将该子公司以及业务合并当期期初至报告期末的现金流量纳入</w:t>
      </w:r>
      <w:r>
        <w:rPr/>
        <w:t> 合并现金流量表；同时对比较报表的相关项目进行调整，视同合并后的报告主体自最终控制方开始控制时 点起一直存在。</w:t>
      </w:r>
    </w:p>
    <w:p>
      <w:pPr>
        <w:pStyle w:val="BodyText"/>
        <w:spacing w:line="408" w:lineRule="auto"/>
        <w:ind w:right="1122" w:firstLine="420"/>
        <w:jc w:val="left"/>
      </w:pPr>
      <w:r>
        <w:rPr>
          <w:spacing w:val="-1"/>
        </w:rPr>
        <w:t>因非同一控制下企业合并或其他方式增加的子公司以及业务，编制合并资产负债表时，不调整合并资</w:t>
      </w:r>
      <w:r>
        <w:rPr/>
        <w:t> </w:t>
      </w:r>
      <w:r>
        <w:rPr>
          <w:spacing w:val="-1"/>
        </w:rPr>
        <w:t>产负债表的期初数；编制合并利润表时，将该子公司以及业务购买日至报告期末的收入、费用、利润纳入</w:t>
      </w:r>
      <w:r>
        <w:rPr>
          <w:spacing w:val="-86"/>
        </w:rPr>
        <w:t> </w:t>
      </w:r>
      <w:r>
        <w:rPr>
          <w:spacing w:val="-86"/>
        </w:rPr>
      </w:r>
      <w:r>
        <w:rPr/>
        <w:t>合并利润表；编制合并现金流量表时，将该子公司购买日至报告期末的现金流量纳入合并现金流量表。 </w:t>
      </w:r>
      <w:r>
        <w:rPr>
          <w:spacing w:val="-1"/>
        </w:rPr>
        <w:t>本公司在报告期内处置子公司以及业务，编制合并资产负债表时，不调整合并资产负债表的期初数；编制</w:t>
      </w:r>
      <w:r>
        <w:rPr>
          <w:spacing w:val="-83"/>
        </w:rPr>
        <w:t> </w:t>
      </w:r>
      <w:r>
        <w:rPr>
          <w:spacing w:val="-83"/>
        </w:rPr>
      </w:r>
      <w:r>
        <w:rPr>
          <w:spacing w:val="-1"/>
        </w:rPr>
        <w:t>合并利润表时，将该子公司以及业务期初至处置日的收入、费用、利润纳入合并利润表；编制合并现金流</w:t>
      </w:r>
      <w:r>
        <w:rPr>
          <w:spacing w:val="-86"/>
        </w:rPr>
        <w:t> </w:t>
      </w:r>
      <w:r>
        <w:rPr>
          <w:spacing w:val="-86"/>
        </w:rPr>
      </w:r>
      <w:r>
        <w:rPr/>
        <w:t>量表时，将该子公司以及业务期初至处置日的现金流量纳入合并现金流量表。</w:t>
      </w:r>
    </w:p>
    <w:p>
      <w:pPr>
        <w:pStyle w:val="BodyText"/>
        <w:spacing w:line="240" w:lineRule="auto"/>
        <w:ind w:right="0"/>
        <w:jc w:val="both"/>
      </w:pPr>
      <w:r>
        <w:rPr>
          <w:rFonts w:ascii="宋体" w:hAnsi="宋体" w:cs="宋体" w:eastAsia="宋体" w:hint="default"/>
        </w:rPr>
        <w:t>6.6</w:t>
      </w:r>
      <w:r>
        <w:rPr>
          <w:rFonts w:ascii="宋体" w:hAnsi="宋体" w:cs="宋体" w:eastAsia="宋体" w:hint="default"/>
          <w:spacing w:val="104"/>
        </w:rPr>
        <w:t> </w:t>
      </w:r>
      <w:r>
        <w:rPr/>
        <w:t>特殊交易会计处理</w:t>
      </w:r>
    </w:p>
    <w:p>
      <w:pPr>
        <w:spacing w:line="240" w:lineRule="auto" w:before="10"/>
        <w:rPr>
          <w:rFonts w:ascii="宋体" w:hAnsi="宋体" w:cs="宋体" w:eastAsia="宋体" w:hint="default"/>
          <w:sz w:val="14"/>
          <w:szCs w:val="14"/>
        </w:rPr>
      </w:pPr>
    </w:p>
    <w:p>
      <w:pPr>
        <w:pStyle w:val="BodyText"/>
        <w:spacing w:line="408" w:lineRule="auto" w:before="0"/>
        <w:ind w:left="574" w:right="1122" w:hanging="420"/>
        <w:jc w:val="left"/>
      </w:pPr>
      <w:r>
        <w:rPr>
          <w:rFonts w:ascii="宋体" w:hAnsi="宋体" w:cs="宋体" w:eastAsia="宋体" w:hint="default"/>
        </w:rPr>
        <w:t>6.6.1 </w:t>
      </w:r>
      <w:r>
        <w:rPr/>
        <w:t>购买子公司少数股东拥有的子公司股权 </w:t>
      </w:r>
      <w:r>
        <w:rPr>
          <w:spacing w:val="-1"/>
        </w:rPr>
        <w:t>在合并财务报表中，因购买少数股权新取得的长期股权投资与按照新增持股比例计算应享有子公司自</w:t>
      </w:r>
    </w:p>
    <w:p>
      <w:pPr>
        <w:pStyle w:val="BodyText"/>
        <w:spacing w:line="408" w:lineRule="auto"/>
        <w:ind w:right="1131"/>
        <w:jc w:val="both"/>
      </w:pPr>
      <w:r>
        <w:rPr>
          <w:spacing w:val="-1"/>
        </w:rPr>
        <w:t>购买日或合并日开始持续计算的净资产份额之间的差额，调整资本公积</w:t>
      </w:r>
      <w:r>
        <w:rPr>
          <w:rFonts w:ascii="宋体" w:hAnsi="宋体" w:cs="宋体" w:eastAsia="宋体" w:hint="default"/>
          <w:spacing w:val="-1"/>
        </w:rPr>
        <w:t>(</w:t>
      </w:r>
      <w:r>
        <w:rPr>
          <w:spacing w:val="-1"/>
        </w:rPr>
        <w:t>资本溢价或股本溢价</w:t>
      </w:r>
      <w:r>
        <w:rPr>
          <w:rFonts w:ascii="宋体" w:hAnsi="宋体" w:cs="宋体" w:eastAsia="宋体" w:hint="default"/>
          <w:spacing w:val="-1"/>
        </w:rPr>
        <w:t>)</w:t>
      </w:r>
      <w:r>
        <w:rPr>
          <w:spacing w:val="-1"/>
        </w:rPr>
        <w:t>，资本公积</w:t>
      </w:r>
      <w:r>
        <w:rPr>
          <w:spacing w:val="-83"/>
        </w:rPr>
        <w:t> </w:t>
      </w:r>
      <w:r>
        <w:rPr>
          <w:spacing w:val="-83"/>
        </w:rPr>
      </w:r>
      <w:r>
        <w:rPr/>
        <w:t>不足冲减的，调整留存收益。</w:t>
      </w:r>
    </w:p>
    <w:p>
      <w:pPr>
        <w:pStyle w:val="BodyText"/>
        <w:spacing w:line="408" w:lineRule="auto"/>
        <w:ind w:left="574" w:right="1122" w:hanging="420"/>
        <w:jc w:val="left"/>
      </w:pPr>
      <w:r>
        <w:rPr>
          <w:rFonts w:ascii="宋体" w:hAnsi="宋体" w:cs="宋体" w:eastAsia="宋体" w:hint="default"/>
        </w:rPr>
        <w:t>6.6.2 </w:t>
      </w:r>
      <w:r>
        <w:rPr/>
        <w:t>不丧失控制权的情况下处置对子公司长期股权投资 </w:t>
      </w:r>
      <w:r>
        <w:rPr>
          <w:spacing w:val="-1"/>
        </w:rPr>
        <w:t>在不丧失控制权的情况下部分处置对子公司的长期股权投资，在合并财务报表中，处置价款与处置长</w:t>
      </w:r>
    </w:p>
    <w:p>
      <w:pPr>
        <w:pStyle w:val="BodyText"/>
        <w:spacing w:line="408" w:lineRule="auto"/>
        <w:ind w:right="1132"/>
        <w:jc w:val="both"/>
      </w:pPr>
      <w:r>
        <w:rPr>
          <w:spacing w:val="-1"/>
        </w:rPr>
        <w:t>期股权投资相对应享有子公司自购买日或合并日开始持续计算的净资产份额之间的差额，应当调整资本公</w:t>
      </w:r>
      <w:r>
        <w:rPr>
          <w:spacing w:val="-81"/>
        </w:rPr>
        <w:t> </w:t>
      </w:r>
      <w:r>
        <w:rPr>
          <w:spacing w:val="-81"/>
        </w:rPr>
      </w:r>
      <w:r>
        <w:rPr/>
        <w:t>积</w:t>
      </w:r>
      <w:r>
        <w:rPr>
          <w:rFonts w:ascii="宋体" w:hAnsi="宋体" w:cs="宋体" w:eastAsia="宋体" w:hint="default"/>
        </w:rPr>
        <w:t>(</w:t>
      </w:r>
      <w:r>
        <w:rPr/>
        <w:t>资本溢价或股本溢价</w:t>
      </w:r>
      <w:r>
        <w:rPr>
          <w:rFonts w:ascii="宋体" w:hAnsi="宋体" w:cs="宋体" w:eastAsia="宋体" w:hint="default"/>
        </w:rPr>
        <w:t>)</w:t>
      </w:r>
      <w:r>
        <w:rPr/>
        <w:t>，资本公积不足冲减的，调整留存收益。</w:t>
      </w:r>
    </w:p>
    <w:p>
      <w:pPr>
        <w:pStyle w:val="BodyText"/>
        <w:spacing w:line="408" w:lineRule="auto"/>
        <w:ind w:left="574" w:right="1122" w:hanging="420"/>
        <w:jc w:val="left"/>
      </w:pPr>
      <w:r>
        <w:rPr>
          <w:rFonts w:ascii="宋体" w:hAnsi="宋体" w:cs="宋体" w:eastAsia="宋体" w:hint="default"/>
        </w:rPr>
        <w:t>6.6.3 </w:t>
      </w:r>
      <w:r>
        <w:rPr/>
        <w:t>处置部分股权投资等原因丧失了对被投资方的控制权时，对于剩余股权的处理 </w:t>
      </w:r>
      <w:r>
        <w:rPr>
          <w:spacing w:val="-1"/>
        </w:rPr>
        <w:t>在编制合并财务报表时，对于剩余股权，按照其在丧失控制权日的公允价值进行重新计量。处置股权</w:t>
      </w:r>
    </w:p>
    <w:p>
      <w:pPr>
        <w:pStyle w:val="BodyText"/>
        <w:spacing w:line="408" w:lineRule="auto"/>
        <w:ind w:right="1131"/>
        <w:jc w:val="both"/>
      </w:pPr>
      <w:r>
        <w:rPr>
          <w:spacing w:val="-1"/>
        </w:rPr>
        <w:t>取得的对价与剩余股权公允价值之和，减去按原持股比例计算应享有原有子公司自购买日或合并日开始持</w:t>
      </w:r>
      <w:r>
        <w:rPr>
          <w:spacing w:val="-81"/>
        </w:rPr>
        <w:t> </w:t>
      </w:r>
      <w:r>
        <w:rPr>
          <w:spacing w:val="-81"/>
        </w:rPr>
      </w:r>
      <w:r>
        <w:rPr>
          <w:spacing w:val="-1"/>
        </w:rPr>
        <w:t>续计算的净资产的份额之间的差额，计入丧失控制权当期的投资收益，同时冲减商誉。与原有子公司股权</w:t>
      </w:r>
      <w:r>
        <w:rPr>
          <w:spacing w:val="-83"/>
        </w:rPr>
        <w:t> </w:t>
      </w:r>
      <w:r>
        <w:rPr>
          <w:spacing w:val="-83"/>
        </w:rPr>
      </w:r>
      <w:r>
        <w:rPr/>
        <w:t>投资相关的其他综合收益等，在丧失控制权时转为当期投资收益。</w:t>
      </w:r>
    </w:p>
    <w:p>
      <w:pPr>
        <w:pStyle w:val="BodyText"/>
        <w:spacing w:line="240" w:lineRule="auto"/>
        <w:ind w:right="0"/>
        <w:jc w:val="both"/>
      </w:pPr>
      <w:r>
        <w:rPr>
          <w:rFonts w:ascii="宋体" w:hAnsi="宋体" w:cs="宋体" w:eastAsia="宋体" w:hint="default"/>
        </w:rPr>
        <w:t>6.6.4</w:t>
      </w:r>
      <w:r>
        <w:rPr>
          <w:rFonts w:ascii="宋体" w:hAnsi="宋体" w:cs="宋体" w:eastAsia="宋体" w:hint="default"/>
          <w:spacing w:val="-23"/>
        </w:rPr>
        <w:t> </w:t>
      </w:r>
      <w:r>
        <w:rPr/>
        <w:t>企业通过多次交易分步处置对子公司股权投资直至丧失控制权，且该多次交易属于一揽子交易的处</w:t>
      </w:r>
    </w:p>
    <w:p>
      <w:pPr>
        <w:spacing w:after="0" w:line="240" w:lineRule="auto"/>
        <w:jc w:val="both"/>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22"/>
        <w:jc w:val="left"/>
      </w:pPr>
      <w:r>
        <w:rPr/>
        <w:t>理</w:t>
      </w:r>
    </w:p>
    <w:p>
      <w:pPr>
        <w:spacing w:line="240" w:lineRule="auto" w:before="1"/>
        <w:rPr>
          <w:rFonts w:ascii="宋体" w:hAnsi="宋体" w:cs="宋体" w:eastAsia="宋体" w:hint="default"/>
          <w:sz w:val="12"/>
          <w:szCs w:val="12"/>
        </w:rPr>
      </w:pPr>
    </w:p>
    <w:p>
      <w:pPr>
        <w:pStyle w:val="BodyText"/>
        <w:spacing w:line="408" w:lineRule="auto" w:before="35"/>
        <w:ind w:right="1131" w:firstLine="420"/>
        <w:jc w:val="both"/>
      </w:pPr>
      <w:r>
        <w:rPr>
          <w:spacing w:val="-1"/>
        </w:rPr>
        <w:t>处置对子公司股权投资直至丧失控制权的各项交易属于一揽子交易的，应当将各项交易作为一项处置</w:t>
      </w:r>
      <w:r>
        <w:rPr/>
        <w:t> </w:t>
      </w:r>
      <w:r>
        <w:rPr>
          <w:spacing w:val="-1"/>
        </w:rPr>
        <w:t>子公司并丧失控制权的交易进行会计处理；但是，在丧失控制权之前每一次处置价款与处置投资对应的享</w:t>
      </w:r>
      <w:r>
        <w:rPr>
          <w:spacing w:val="-81"/>
        </w:rPr>
        <w:t> </w:t>
      </w:r>
      <w:r>
        <w:rPr>
          <w:spacing w:val="-81"/>
        </w:rPr>
      </w:r>
      <w:r>
        <w:rPr>
          <w:spacing w:val="-1"/>
        </w:rPr>
        <w:t>有该子公司净资产份额的差额，在合并财务报表中确认为其他综合收益，在丧失控制权时一并转入丧失控</w:t>
      </w:r>
      <w:r>
        <w:rPr>
          <w:spacing w:val="-81"/>
        </w:rPr>
        <w:t> </w:t>
      </w:r>
      <w:r>
        <w:rPr>
          <w:spacing w:val="-81"/>
        </w:rPr>
      </w:r>
      <w:r>
        <w:rPr/>
        <w:t>制权当期的损益。</w:t>
      </w:r>
    </w:p>
    <w:p>
      <w:pPr>
        <w:pStyle w:val="BodyText"/>
        <w:spacing w:line="408" w:lineRule="auto"/>
        <w:ind w:left="574" w:right="1122"/>
        <w:jc w:val="left"/>
      </w:pPr>
      <w:r>
        <w:rPr/>
        <w:t>判断分步处置股权至丧失控制权过程的各项交易是否属于一揽子交易的原则如下： </w:t>
      </w:r>
      <w:r>
        <w:rPr>
          <w:spacing w:val="-1"/>
        </w:rPr>
        <w:t>处置对子公司股权投资的各项交易的条款、条件以及经济影响符合以下一种或多种情况，通常表明多</w:t>
      </w:r>
    </w:p>
    <w:p>
      <w:pPr>
        <w:pStyle w:val="BodyText"/>
        <w:spacing w:line="408" w:lineRule="auto"/>
        <w:ind w:left="574" w:right="4767" w:hanging="420"/>
        <w:jc w:val="left"/>
      </w:pPr>
      <w:r>
        <w:rPr/>
        <w:t>次交易事项属于一揽子交易： </w:t>
      </w:r>
      <w:r>
        <w:rPr>
          <w:rFonts w:ascii="宋体" w:hAnsi="宋体" w:cs="宋体" w:eastAsia="宋体" w:hint="default"/>
        </w:rPr>
        <w:t>1</w:t>
      </w:r>
      <w:r>
        <w:rPr/>
        <w:t>）这些交易是同时或者在考虑了彼此影响的情况下订立的；</w:t>
      </w:r>
    </w:p>
    <w:p>
      <w:pPr>
        <w:pStyle w:val="BodyText"/>
        <w:spacing w:line="240" w:lineRule="auto"/>
        <w:ind w:left="574" w:right="1122"/>
        <w:jc w:val="left"/>
      </w:pPr>
      <w:r>
        <w:rPr>
          <w:rFonts w:ascii="宋体" w:hAnsi="宋体" w:cs="宋体" w:eastAsia="宋体" w:hint="default"/>
        </w:rPr>
        <w:t>2</w:t>
      </w:r>
      <w:r>
        <w:rPr/>
        <w:t>）这些交易整体才能达成一项完整的商业结果；</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rFonts w:ascii="宋体" w:hAnsi="宋体" w:cs="宋体" w:eastAsia="宋体" w:hint="default"/>
        </w:rPr>
        <w:t>3</w:t>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rFonts w:ascii="宋体" w:hAnsi="宋体" w:cs="宋体" w:eastAsia="宋体" w:hint="default"/>
        </w:rPr>
        <w:t>4</w:t>
      </w:r>
      <w:r>
        <w:rPr/>
        <w:t>）一项交易单独看是不经济的，但是和其他交易一并考虑时是经济的。</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7、合营安排分类及共同经营会计处理方法" w:id="176"/>
      <w:bookmarkEnd w:id="176"/>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10"/>
        <w:rPr>
          <w:rFonts w:ascii="宋体" w:hAnsi="宋体" w:cs="宋体" w:eastAsia="宋体" w:hint="default"/>
          <w:b/>
          <w:bCs/>
          <w:sz w:val="14"/>
          <w:szCs w:val="14"/>
        </w:rPr>
      </w:pPr>
    </w:p>
    <w:p>
      <w:pPr>
        <w:pStyle w:val="BodyText"/>
        <w:tabs>
          <w:tab w:pos="679" w:val="left" w:leader="none"/>
        </w:tabs>
        <w:spacing w:line="408" w:lineRule="auto" w:before="0"/>
        <w:ind w:right="7410"/>
        <w:jc w:val="left"/>
      </w:pPr>
      <w:r>
        <w:rPr>
          <w:rFonts w:ascii="宋体" w:hAnsi="宋体" w:cs="宋体" w:eastAsia="宋体" w:hint="default"/>
        </w:rPr>
        <w:t>7.1</w:t>
        <w:tab/>
      </w:r>
      <w:r>
        <w:rPr/>
        <w:t>合营安排的分类 合营安排分为共同经营和合营企业。 </w:t>
      </w:r>
      <w:r>
        <w:rPr>
          <w:rFonts w:ascii="宋体" w:hAnsi="宋体" w:cs="宋体" w:eastAsia="宋体" w:hint="default"/>
        </w:rPr>
        <w:t>7.2</w:t>
        <w:tab/>
      </w:r>
      <w:r>
        <w:rPr/>
        <w:t>共同经营参与方的会计处理</w:t>
      </w:r>
    </w:p>
    <w:p>
      <w:pPr>
        <w:pStyle w:val="BodyText"/>
        <w:spacing w:line="408" w:lineRule="auto"/>
        <w:ind w:left="574" w:right="1302" w:hanging="420"/>
        <w:jc w:val="left"/>
      </w:pPr>
      <w:r>
        <w:rPr/>
        <w:t>合营方确认其与共同经营中利益份额相关的下列项目，并按照相关企业会计准则的规定进行会计处理： </w:t>
      </w:r>
      <w:r>
        <w:rPr>
          <w:rFonts w:ascii="宋体" w:hAnsi="宋体" w:cs="宋体" w:eastAsia="宋体" w:hint="default"/>
        </w:rPr>
        <w:t>1</w:t>
      </w:r>
      <w:r>
        <w:rPr/>
        <w:t>）确认单独所持有的资产，以及按其份额确认共同持有的资产；</w:t>
      </w:r>
    </w:p>
    <w:p>
      <w:pPr>
        <w:pStyle w:val="BodyText"/>
        <w:spacing w:line="240" w:lineRule="auto"/>
        <w:ind w:left="574" w:right="1122"/>
        <w:jc w:val="left"/>
      </w:pPr>
      <w:r>
        <w:rPr>
          <w:rFonts w:ascii="宋体" w:hAnsi="宋体" w:cs="宋体" w:eastAsia="宋体" w:hint="default"/>
        </w:rPr>
        <w:t>2</w:t>
      </w:r>
      <w:r>
        <w:rPr/>
        <w:t>）确认单独所承担的负债，以及按其份额确认共同承担的负债；</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rFonts w:ascii="宋体" w:hAnsi="宋体" w:cs="宋体" w:eastAsia="宋体" w:hint="default"/>
        </w:rPr>
        <w:t>3</w:t>
      </w:r>
      <w:r>
        <w:rPr/>
        <w:t>）确认出售其享有的共同经营产出份额所产生的收入；</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rFonts w:ascii="宋体" w:hAnsi="宋体" w:cs="宋体" w:eastAsia="宋体" w:hint="default"/>
        </w:rPr>
        <w:t>4</w:t>
      </w:r>
      <w:r>
        <w:rPr/>
        <w:t>）按其份额确认共同经营因出售产出所产生的收入；</w:t>
      </w:r>
    </w:p>
    <w:p>
      <w:pPr>
        <w:spacing w:line="240" w:lineRule="auto" w:before="10"/>
        <w:rPr>
          <w:rFonts w:ascii="宋体" w:hAnsi="宋体" w:cs="宋体" w:eastAsia="宋体" w:hint="default"/>
          <w:sz w:val="14"/>
          <w:szCs w:val="14"/>
        </w:rPr>
      </w:pPr>
    </w:p>
    <w:p>
      <w:pPr>
        <w:pStyle w:val="BodyText"/>
        <w:spacing w:line="408" w:lineRule="auto" w:before="0"/>
        <w:ind w:left="574" w:right="1122"/>
        <w:jc w:val="left"/>
      </w:pPr>
      <w:r>
        <w:rPr>
          <w:rFonts w:ascii="宋体" w:hAnsi="宋体" w:cs="宋体" w:eastAsia="宋体" w:hint="default"/>
        </w:rPr>
        <w:t>5</w:t>
      </w:r>
      <w:r>
        <w:rPr/>
        <w:t>）确认单独所发生的费用，以及按其份额确认共同经营发生的费用。 </w:t>
      </w:r>
      <w:r>
        <w:rPr>
          <w:spacing w:val="-1"/>
        </w:rPr>
        <w:t>合营方向共同经营投出或出售资产等</w:t>
      </w:r>
      <w:r>
        <w:rPr>
          <w:rFonts w:ascii="宋体" w:hAnsi="宋体" w:cs="宋体" w:eastAsia="宋体" w:hint="default"/>
          <w:spacing w:val="-1"/>
        </w:rPr>
        <w:t>(</w:t>
      </w:r>
      <w:r>
        <w:rPr>
          <w:spacing w:val="-1"/>
        </w:rPr>
        <w:t>该资产构成业务的除外</w:t>
      </w:r>
      <w:r>
        <w:rPr>
          <w:rFonts w:ascii="宋体" w:hAnsi="宋体" w:cs="宋体" w:eastAsia="宋体" w:hint="default"/>
          <w:spacing w:val="-1"/>
        </w:rPr>
        <w:t>)</w:t>
      </w:r>
      <w:r>
        <w:rPr>
          <w:spacing w:val="-1"/>
        </w:rPr>
        <w:t>，在该资产等由共同经营出售给第三方</w:t>
      </w:r>
    </w:p>
    <w:p>
      <w:pPr>
        <w:pStyle w:val="BodyText"/>
        <w:spacing w:line="408" w:lineRule="auto"/>
        <w:ind w:right="1122"/>
        <w:jc w:val="left"/>
      </w:pPr>
      <w:r>
        <w:rPr>
          <w:spacing w:val="-1"/>
        </w:rPr>
        <w:t>之前，仅确认因该交易产生的损益中归属于共同经营其他参与方的部分。投出或出售的资产发生符合《企</w:t>
      </w:r>
      <w:r>
        <w:rPr>
          <w:spacing w:val="-83"/>
        </w:rPr>
        <w:t> </w:t>
      </w:r>
      <w:r>
        <w:rPr>
          <w:spacing w:val="-83"/>
        </w:rPr>
      </w:r>
      <w:r>
        <w:rPr/>
        <w:t>业会计准则第</w:t>
      </w:r>
      <w:r>
        <w:rPr>
          <w:rFonts w:ascii="宋体" w:hAnsi="宋体" w:cs="宋体" w:eastAsia="宋体" w:hint="default"/>
        </w:rPr>
        <w:t>8</w:t>
      </w:r>
      <w:r>
        <w:rPr/>
        <w:t>号——资产减值》等规定的资产减值损失的，合营方全额确认该损失。</w:t>
      </w:r>
    </w:p>
    <w:p>
      <w:pPr>
        <w:pStyle w:val="BodyText"/>
        <w:spacing w:line="408" w:lineRule="auto"/>
        <w:ind w:right="1122" w:firstLine="420"/>
        <w:jc w:val="left"/>
      </w:pPr>
      <w:r>
        <w:rPr>
          <w:spacing w:val="-1"/>
        </w:rPr>
        <w:t>合营方自共同经营购买资产等</w:t>
      </w:r>
      <w:r>
        <w:rPr>
          <w:rFonts w:ascii="宋体" w:hAnsi="宋体" w:cs="宋体" w:eastAsia="宋体" w:hint="default"/>
          <w:spacing w:val="-1"/>
        </w:rPr>
        <w:t>(</w:t>
      </w:r>
      <w:r>
        <w:rPr>
          <w:spacing w:val="-1"/>
        </w:rPr>
        <w:t>该资产构成业务的除外</w:t>
      </w:r>
      <w:r>
        <w:rPr>
          <w:rFonts w:ascii="宋体" w:hAnsi="宋体" w:cs="宋体" w:eastAsia="宋体" w:hint="default"/>
          <w:spacing w:val="-1"/>
        </w:rPr>
        <w:t>)</w:t>
      </w:r>
      <w:r>
        <w:rPr>
          <w:spacing w:val="-1"/>
        </w:rPr>
        <w:t>，在将该资产等出售给第三方之前，仅确认因</w:t>
      </w:r>
      <w:r>
        <w:rPr/>
        <w:t> 该交易产生的损益中归属于共同经营其他参与方的部分。购入的资产发生符合《企业会计准则第</w:t>
      </w:r>
      <w:r>
        <w:rPr>
          <w:rFonts w:ascii="宋体" w:hAnsi="宋体" w:cs="宋体" w:eastAsia="宋体" w:hint="default"/>
        </w:rPr>
        <w:t>8</w:t>
      </w:r>
      <w:r>
        <w:rPr/>
        <w:t>号—— 资产减值》等规定的资产减值损失的，合营方按其承担的份额确认该部分损失。</w:t>
      </w:r>
    </w:p>
    <w:p>
      <w:pPr>
        <w:pStyle w:val="BodyText"/>
        <w:spacing w:line="408" w:lineRule="auto"/>
        <w:ind w:right="0" w:firstLine="420"/>
        <w:jc w:val="left"/>
      </w:pPr>
      <w:r>
        <w:rPr/>
        <w:t>对共同经营不享有共同控制的参与方，如果享有该共同经营相关资产且承担该共同经营相关负债的， 按照上述方法进行会计处理；否则，按照相关企业会计准则的规定进行会计处理。</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spacing w:line="408" w:lineRule="auto" w:before="35"/>
        <w:ind w:left="574" w:right="1302" w:hanging="420"/>
        <w:jc w:val="left"/>
        <w:rPr>
          <w:rFonts w:ascii="宋体" w:hAnsi="宋体" w:cs="宋体" w:eastAsia="宋体" w:hint="default"/>
          <w:sz w:val="21"/>
          <w:szCs w:val="21"/>
        </w:rPr>
      </w:pPr>
      <w:bookmarkStart w:name="8、现金及现金等价物的确定标准" w:id="177"/>
      <w:bookmarkEnd w:id="177"/>
      <w:r>
        <w:rPr/>
      </w:r>
      <w:r>
        <w:rPr>
          <w:rFonts w:ascii="宋体" w:hAnsi="宋体" w:cs="宋体" w:eastAsia="宋体"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列示于现金流量表中的现金是指库存现金及可随时用于支付的存款，现金等价物是指持有的期限短</w:t>
      </w:r>
    </w:p>
    <w:p>
      <w:pPr>
        <w:spacing w:line="408" w:lineRule="auto" w:before="46"/>
        <w:ind w:left="154" w:right="0" w:firstLine="0"/>
        <w:jc w:val="left"/>
        <w:rPr>
          <w:rFonts w:ascii="宋体" w:hAnsi="宋体" w:cs="宋体" w:eastAsia="宋体" w:hint="default"/>
          <w:sz w:val="21"/>
          <w:szCs w:val="21"/>
        </w:rPr>
      </w:pPr>
      <w:r>
        <w:rPr>
          <w:rFonts w:ascii="宋体" w:hAnsi="宋体" w:cs="宋体" w:eastAsia="宋体" w:hint="default"/>
          <w:sz w:val="21"/>
          <w:szCs w:val="21"/>
        </w:rPr>
        <w:t>（一般指从购买日起三个月内到期）、流动性强、易于转换为已知金额现金及价值变动风险很小的投资。</w:t>
      </w:r>
      <w:r>
        <w:rPr>
          <w:rFonts w:ascii="宋体" w:hAnsi="宋体" w:cs="宋体" w:eastAsia="宋体" w:hint="default"/>
          <w:spacing w:val="-38"/>
          <w:sz w:val="21"/>
          <w:szCs w:val="21"/>
        </w:rPr>
        <w:t> </w:t>
      </w:r>
      <w:r>
        <w:rPr>
          <w:rFonts w:ascii="宋体" w:hAnsi="宋体" w:cs="宋体" w:eastAsia="宋体" w:hint="default"/>
          <w:spacing w:val="-38"/>
          <w:sz w:val="21"/>
          <w:szCs w:val="21"/>
        </w:rPr>
      </w:r>
      <w:bookmarkStart w:name="9、外币业务和外币报表折算" w:id="178"/>
      <w:bookmarkEnd w:id="178"/>
      <w:r>
        <w:rPr>
          <w:rFonts w:ascii="宋体" w:hAnsi="宋体" w:cs="宋体" w:eastAsia="宋体" w:hint="default"/>
          <w:spacing w:val="-38"/>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pStyle w:val="BodyText"/>
        <w:tabs>
          <w:tab w:pos="679" w:val="left" w:leader="none"/>
        </w:tabs>
        <w:spacing w:line="408" w:lineRule="auto"/>
        <w:ind w:right="4680"/>
        <w:jc w:val="left"/>
      </w:pPr>
      <w:r>
        <w:rPr>
          <w:rFonts w:ascii="宋体" w:hAnsi="宋体" w:cs="宋体" w:eastAsia="宋体" w:hint="default"/>
        </w:rPr>
        <w:t>9.1</w:t>
        <w:tab/>
      </w:r>
      <w:r>
        <w:rPr/>
        <w:t>外币业务 外币业务按业务发生日的即期汇率将外币金额折算为人民币入账。</w:t>
      </w:r>
    </w:p>
    <w:p>
      <w:pPr>
        <w:pStyle w:val="BodyText"/>
        <w:tabs>
          <w:tab w:pos="679" w:val="left" w:leader="none"/>
        </w:tabs>
        <w:spacing w:line="408" w:lineRule="auto"/>
        <w:ind w:right="1131" w:firstLine="420"/>
        <w:jc w:val="left"/>
      </w:pPr>
      <w:r>
        <w:rPr>
          <w:spacing w:val="-1"/>
        </w:rPr>
        <w:t>于资产负债表日，外币货币性项目采用资产负债表日的即期汇率折算为人民币，所产生的折算差额除</w:t>
      </w:r>
      <w:r>
        <w:rPr/>
        <w:t> </w:t>
      </w:r>
      <w:r>
        <w:rPr>
          <w:spacing w:val="-1"/>
        </w:rPr>
        <w:t>了为购建或生产符合资本化条件的资产而借入的外币借款产生的汇兑差额按资本化的原则处理外，直接计</w:t>
      </w:r>
      <w:r>
        <w:rPr>
          <w:spacing w:val="-81"/>
        </w:rPr>
        <w:t> </w:t>
      </w:r>
      <w:r>
        <w:rPr>
          <w:spacing w:val="-81"/>
        </w:rPr>
      </w:r>
      <w:r>
        <w:rPr/>
        <w:t>入当期损益。以历史成本计量的外币非货币性项目，于资产负债表日采用交易发生日的即期汇率折算。 </w:t>
      </w:r>
      <w:r>
        <w:rPr>
          <w:rFonts w:ascii="宋体" w:hAnsi="宋体" w:cs="宋体" w:eastAsia="宋体" w:hint="default"/>
        </w:rPr>
        <w:t>9.2</w:t>
        <w:tab/>
      </w:r>
      <w:r>
        <w:rPr/>
        <w:t>外币财务报表的折算</w:t>
      </w:r>
    </w:p>
    <w:p>
      <w:pPr>
        <w:pStyle w:val="BodyText"/>
        <w:spacing w:line="408" w:lineRule="auto"/>
        <w:ind w:right="1130" w:firstLine="420"/>
        <w:jc w:val="left"/>
        <w:rPr>
          <w:rFonts w:ascii="宋体" w:hAnsi="宋体" w:cs="宋体" w:eastAsia="宋体" w:hint="default"/>
        </w:rPr>
      </w:pPr>
      <w:r>
        <w:rPr>
          <w:spacing w:val="-1"/>
        </w:rPr>
        <w:t>以非记账本位币编制的资产负债表中的资产和负债项目，采用资产负债表日的即期汇率折算成记账本</w:t>
      </w:r>
      <w:r>
        <w:rPr/>
        <w:t> </w:t>
      </w:r>
      <w:r>
        <w:rPr>
          <w:spacing w:val="-1"/>
        </w:rPr>
        <w:t>位币，所有者权益中除未分配利润项目外，其他项目采用发生时的即期汇率折算。以非记账本位币编制的</w:t>
      </w:r>
      <w:r>
        <w:rPr>
          <w:spacing w:val="-83"/>
        </w:rPr>
        <w:t> </w:t>
      </w:r>
      <w:r>
        <w:rPr>
          <w:spacing w:val="-83"/>
        </w:rPr>
      </w:r>
      <w:r>
        <w:rPr>
          <w:spacing w:val="-1"/>
        </w:rPr>
        <w:t>利润表中的收入与费用项目，采用交易发生日的即期汇率折算成记账本位币。上述折算产生的外币报表折</w:t>
      </w:r>
      <w:r>
        <w:rPr>
          <w:spacing w:val="-81"/>
        </w:rPr>
        <w:t> </w:t>
      </w:r>
      <w:r>
        <w:rPr>
          <w:spacing w:val="-81"/>
        </w:rPr>
      </w:r>
      <w:r>
        <w:rPr>
          <w:spacing w:val="-1"/>
        </w:rPr>
        <w:t>算差额，在其他综合收益中核算。以非记账本位币编制的现金流量表中各项目的现金流量采用现金流量发</w:t>
      </w:r>
      <w:r>
        <w:rPr>
          <w:spacing w:val="-81"/>
        </w:rPr>
        <w:t> </w:t>
      </w:r>
      <w:r>
        <w:rPr>
          <w:spacing w:val="-81"/>
        </w:rPr>
      </w:r>
      <w:r>
        <w:rPr/>
        <w:t>生日的即期汇率折算成记账本位币。汇率变动对现金的影响额，在现金流量表中单独列示。 </w:t>
      </w:r>
      <w:bookmarkStart w:name="10、金融工具" w:id="179"/>
      <w:bookmarkEnd w:id="179"/>
      <w:r>
        <w:rPr/>
      </w:r>
      <w:r>
        <w:rPr>
          <w:rFonts w:ascii="宋体" w:hAnsi="宋体" w:cs="宋体" w:eastAsia="宋体" w:hint="default"/>
          <w:b/>
          <w:bCs/>
        </w:rPr>
        <w:t>10</w:t>
      </w:r>
      <w:r>
        <w:rPr>
          <w:rFonts w:ascii="宋体" w:hAnsi="宋体" w:cs="宋体" w:eastAsia="宋体" w:hint="default"/>
          <w:b/>
          <w:bCs/>
        </w:rPr>
        <w:t>、金融工具</w:t>
      </w:r>
      <w:r>
        <w:rPr>
          <w:rFonts w:ascii="宋体" w:hAnsi="宋体" w:cs="宋体" w:eastAsia="宋体" w:hint="default"/>
        </w:rPr>
      </w:r>
    </w:p>
    <w:p>
      <w:pPr>
        <w:pStyle w:val="BodyText"/>
        <w:tabs>
          <w:tab w:pos="785" w:val="left" w:leader="none"/>
        </w:tabs>
        <w:spacing w:line="408" w:lineRule="auto"/>
        <w:ind w:right="4470"/>
        <w:jc w:val="left"/>
      </w:pPr>
      <w:r>
        <w:rPr>
          <w:rFonts w:ascii="宋体" w:hAnsi="宋体" w:cs="宋体" w:eastAsia="宋体" w:hint="default"/>
        </w:rPr>
        <w:t>10.1</w:t>
        <w:tab/>
      </w:r>
      <w:r>
        <w:rPr/>
        <w:t>金融工具的确认和终止确认 本公司于成为金融工具合同的一方时确认一项金融资产或金融负债。 金融资产满足下列条件之一的，终止确认：</w:t>
      </w:r>
    </w:p>
    <w:p>
      <w:pPr>
        <w:pStyle w:val="BodyText"/>
        <w:spacing w:line="240" w:lineRule="auto"/>
        <w:ind w:left="574" w:right="1122"/>
        <w:jc w:val="left"/>
      </w:pPr>
      <w:r>
        <w:rPr>
          <w:rFonts w:ascii="宋体" w:hAnsi="宋体" w:cs="宋体" w:eastAsia="宋体" w:hint="default"/>
        </w:rPr>
        <w:t>1</w:t>
      </w:r>
      <w:r>
        <w:rPr/>
        <w:t>）收取该金融资产现金流量的合同权利终止；</w:t>
      </w:r>
    </w:p>
    <w:p>
      <w:pPr>
        <w:spacing w:line="240" w:lineRule="auto" w:before="10"/>
        <w:rPr>
          <w:rFonts w:ascii="宋体" w:hAnsi="宋体" w:cs="宋体" w:eastAsia="宋体" w:hint="default"/>
          <w:sz w:val="14"/>
          <w:szCs w:val="14"/>
        </w:rPr>
      </w:pPr>
    </w:p>
    <w:p>
      <w:pPr>
        <w:pStyle w:val="BodyText"/>
        <w:spacing w:line="408" w:lineRule="auto" w:before="0"/>
        <w:ind w:right="1197" w:firstLine="420"/>
        <w:jc w:val="left"/>
      </w:pPr>
      <w:r>
        <w:rPr>
          <w:rFonts w:ascii="宋体" w:hAnsi="宋体" w:cs="宋体" w:eastAsia="宋体" w:hint="default"/>
        </w:rPr>
        <w:t>2</w:t>
      </w:r>
      <w:r>
        <w:rPr/>
        <w:t>）该金融资产已转移，且符合《企业会计准则第</w:t>
      </w:r>
      <w:r>
        <w:rPr>
          <w:rFonts w:ascii="宋体" w:hAnsi="宋体" w:cs="宋体" w:eastAsia="宋体" w:hint="default"/>
        </w:rPr>
        <w:t>23</w:t>
      </w:r>
      <w:r>
        <w:rPr/>
        <w:t>号－金融资产转移》规定的金融资产终止确认条 件。</w:t>
      </w:r>
    </w:p>
    <w:p>
      <w:pPr>
        <w:pStyle w:val="BodyText"/>
        <w:tabs>
          <w:tab w:pos="785" w:val="left" w:leader="none"/>
        </w:tabs>
        <w:spacing w:line="408" w:lineRule="auto"/>
        <w:ind w:right="3420"/>
        <w:jc w:val="left"/>
      </w:pPr>
      <w:r>
        <w:rPr/>
        <w:t>金融负债的现时义务全部或部分已经解除的，终止确认该金融负债或其一部分。 </w:t>
      </w:r>
      <w:r>
        <w:rPr>
          <w:rFonts w:ascii="宋体" w:hAnsi="宋体" w:cs="宋体" w:eastAsia="宋体" w:hint="default"/>
        </w:rPr>
        <w:t>10.2</w:t>
        <w:tab/>
      </w:r>
      <w:r>
        <w:rPr/>
        <w:t>金融资产的分类</w:t>
      </w:r>
    </w:p>
    <w:p>
      <w:pPr>
        <w:pStyle w:val="BodyText"/>
        <w:spacing w:line="408" w:lineRule="auto"/>
        <w:ind w:right="1122" w:firstLine="420"/>
        <w:jc w:val="left"/>
      </w:pPr>
      <w:r>
        <w:rPr>
          <w:spacing w:val="-1"/>
        </w:rPr>
        <w:t>金融资产于初始确认时分类为：以公允价值计量且其变动计入当期损益的金融资产、应收款项、可供</w:t>
      </w:r>
      <w:r>
        <w:rPr/>
        <w:t> 出售金融资产和持有至到期投资。金融资产的分类取决于本公司对金融资产的持有意图和持有能力。</w:t>
      </w:r>
    </w:p>
    <w:p>
      <w:pPr>
        <w:pStyle w:val="BodyText"/>
        <w:spacing w:line="408" w:lineRule="auto"/>
        <w:ind w:left="574" w:right="1122"/>
        <w:jc w:val="left"/>
      </w:pPr>
      <w:r>
        <w:rPr>
          <w:rFonts w:ascii="宋体" w:hAnsi="宋体" w:cs="宋体" w:eastAsia="宋体" w:hint="default"/>
        </w:rPr>
        <w:t>1</w:t>
      </w:r>
      <w:r>
        <w:rPr/>
        <w:t>）以公允价值计量且其变动计入当期损益的金融资产 </w:t>
      </w:r>
      <w:r>
        <w:rPr>
          <w:spacing w:val="-1"/>
        </w:rPr>
        <w:t>以公允价值计量且其变动计入当期损益的金融资产包括持有目的为短期内出售的金融资产，该资产在</w:t>
      </w:r>
    </w:p>
    <w:p>
      <w:pPr>
        <w:pStyle w:val="BodyText"/>
        <w:spacing w:line="408" w:lineRule="auto"/>
        <w:ind w:left="574" w:right="3612" w:hanging="420"/>
        <w:jc w:val="left"/>
      </w:pPr>
      <w:r>
        <w:rPr/>
        <w:t>资产负债表中以“以公允价值计量且其变动计入当期损益的金融资产”列示。 </w:t>
      </w:r>
      <w:r>
        <w:rPr>
          <w:rFonts w:ascii="宋体" w:hAnsi="宋体" w:cs="宋体" w:eastAsia="宋体" w:hint="default"/>
        </w:rPr>
        <w:t>2</w:t>
      </w:r>
      <w:r>
        <w:rPr/>
        <w:t>）应收款项</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97" w:firstLine="315"/>
        <w:jc w:val="left"/>
      </w:pPr>
      <w:r>
        <w:rPr/>
        <w:t>应收款项是指在活跃市场中没有报价、回收金额固定或可确定的非衍生金融资产，包括应收账款、其 他应收款和长期应收款等。</w:t>
      </w:r>
    </w:p>
    <w:p>
      <w:pPr>
        <w:pStyle w:val="BodyText"/>
        <w:spacing w:line="408" w:lineRule="auto"/>
        <w:ind w:left="574" w:right="1302" w:hanging="420"/>
        <w:jc w:val="left"/>
      </w:pPr>
      <w:r>
        <w:rPr>
          <w:rFonts w:ascii="宋体" w:hAnsi="宋体" w:cs="宋体" w:eastAsia="宋体" w:hint="default"/>
        </w:rPr>
        <w:t>3</w:t>
      </w:r>
      <w:r>
        <w:rPr/>
        <w:t>）可供出售金融资产 可供出售金融资产包括初始确认时即被指定为可供出售的非衍生金融资产及未被划分为其他类的金</w:t>
      </w:r>
    </w:p>
    <w:p>
      <w:pPr>
        <w:pStyle w:val="BodyText"/>
        <w:spacing w:line="408" w:lineRule="auto"/>
        <w:ind w:right="1122"/>
        <w:jc w:val="left"/>
      </w:pPr>
      <w:r>
        <w:rPr>
          <w:spacing w:val="-1"/>
        </w:rPr>
        <w:t>融资产。自资产负债表日起</w:t>
      </w:r>
      <w:r>
        <w:rPr>
          <w:rFonts w:ascii="宋体" w:hAnsi="宋体" w:cs="宋体" w:eastAsia="宋体" w:hint="default"/>
          <w:spacing w:val="-1"/>
        </w:rPr>
        <w:t>12</w:t>
      </w:r>
      <w:r>
        <w:rPr>
          <w:spacing w:val="-1"/>
        </w:rPr>
        <w:t>个月内将出售的可供出售金融资产在资产负债表中列示为一年内到期的非流</w:t>
      </w:r>
      <w:r>
        <w:rPr>
          <w:spacing w:val="-82"/>
        </w:rPr>
        <w:t> </w:t>
      </w:r>
      <w:r>
        <w:rPr>
          <w:spacing w:val="-82"/>
        </w:rPr>
      </w:r>
      <w:r>
        <w:rPr/>
        <w:t>动资产。</w:t>
      </w:r>
    </w:p>
    <w:p>
      <w:pPr>
        <w:pStyle w:val="BodyText"/>
        <w:spacing w:line="408" w:lineRule="auto"/>
        <w:ind w:left="574" w:right="1122" w:hanging="420"/>
        <w:jc w:val="left"/>
      </w:pPr>
      <w:r>
        <w:rPr>
          <w:rFonts w:ascii="宋体" w:hAnsi="宋体" w:cs="宋体" w:eastAsia="宋体" w:hint="default"/>
        </w:rPr>
        <w:t>4</w:t>
      </w:r>
      <w:r>
        <w:rPr/>
        <w:t>）持有至到期投资 </w:t>
      </w:r>
      <w:r>
        <w:rPr>
          <w:spacing w:val="-1"/>
        </w:rPr>
        <w:t>持有至到期投资是指到期日固定、回收金额固定或可确定，且管理层有明确意图和能力持有至到期的</w:t>
      </w:r>
    </w:p>
    <w:p>
      <w:pPr>
        <w:pStyle w:val="BodyText"/>
        <w:spacing w:line="408" w:lineRule="auto"/>
        <w:ind w:right="1122"/>
        <w:jc w:val="left"/>
      </w:pPr>
      <w:r>
        <w:rPr>
          <w:spacing w:val="-1"/>
        </w:rPr>
        <w:t>非衍生金融资产。自资产负债表日起</w:t>
      </w:r>
      <w:r>
        <w:rPr>
          <w:rFonts w:ascii="宋体" w:hAnsi="宋体" w:cs="宋体" w:eastAsia="宋体" w:hint="default"/>
          <w:spacing w:val="-1"/>
        </w:rPr>
        <w:t>12</w:t>
      </w:r>
      <w:r>
        <w:rPr>
          <w:spacing w:val="-1"/>
        </w:rPr>
        <w:t>个月内到期的持有至到期投资在资产负债表中列示为一年内到期的</w:t>
      </w:r>
      <w:r>
        <w:rPr>
          <w:spacing w:val="-82"/>
        </w:rPr>
        <w:t> </w:t>
      </w:r>
      <w:r>
        <w:rPr>
          <w:spacing w:val="-82"/>
        </w:rPr>
      </w:r>
      <w:r>
        <w:rPr/>
        <w:t>非流动资产。</w:t>
      </w:r>
    </w:p>
    <w:p>
      <w:pPr>
        <w:pStyle w:val="BodyText"/>
        <w:tabs>
          <w:tab w:pos="785" w:val="left" w:leader="none"/>
        </w:tabs>
        <w:spacing w:line="408" w:lineRule="auto"/>
        <w:ind w:left="574" w:right="1131" w:hanging="420"/>
        <w:jc w:val="left"/>
      </w:pPr>
      <w:r>
        <w:rPr>
          <w:rFonts w:ascii="宋体" w:hAnsi="宋体" w:cs="宋体" w:eastAsia="宋体" w:hint="default"/>
        </w:rPr>
        <w:t>10.3</w:t>
        <w:tab/>
        <w:tab/>
      </w:r>
      <w:r>
        <w:rPr/>
        <w:t>金融资产的计量 </w:t>
      </w:r>
      <w:r>
        <w:rPr>
          <w:spacing w:val="-1"/>
        </w:rPr>
        <w:t>金融资产于本公司成为金融工具合同的一方时，按公允价值在资产负债表内确认。以公允价值计量且</w:t>
      </w:r>
    </w:p>
    <w:p>
      <w:pPr>
        <w:pStyle w:val="BodyText"/>
        <w:spacing w:line="408" w:lineRule="auto"/>
        <w:ind w:right="1122"/>
        <w:jc w:val="left"/>
      </w:pPr>
      <w:r>
        <w:rPr>
          <w:spacing w:val="-1"/>
        </w:rPr>
        <w:t>其变动计入当期损益的金融资产，取得时发生的相关交易费用直接计入当期损益。其他金融资产的相关交</w:t>
      </w:r>
      <w:r>
        <w:rPr>
          <w:spacing w:val="-81"/>
        </w:rPr>
        <w:t> </w:t>
      </w:r>
      <w:r>
        <w:rPr>
          <w:spacing w:val="-81"/>
        </w:rPr>
      </w:r>
      <w:r>
        <w:rPr/>
        <w:t>易费用计入初始确认金额。</w:t>
      </w:r>
    </w:p>
    <w:p>
      <w:pPr>
        <w:pStyle w:val="BodyText"/>
        <w:spacing w:line="408" w:lineRule="auto"/>
        <w:ind w:right="0" w:firstLine="420"/>
        <w:jc w:val="left"/>
      </w:pPr>
      <w:r>
        <w:rPr/>
        <w:t>以公允价值计量且其变动计入当期损益的金融资产和可供出售金融资产按照公允价值进行后续计量， 但在活跃市场中没有报价且其公允价值不能可靠计量的权益工具投资，按照成本计量；应收款项以及持有 至到期投资采用实际利率法，以摊余成本计量。</w:t>
      </w:r>
    </w:p>
    <w:p>
      <w:pPr>
        <w:pStyle w:val="BodyText"/>
        <w:spacing w:line="408" w:lineRule="auto"/>
        <w:ind w:right="1122" w:firstLine="420"/>
        <w:jc w:val="left"/>
      </w:pPr>
      <w:r>
        <w:rPr>
          <w:spacing w:val="-1"/>
        </w:rPr>
        <w:t>以公允价值计量且其变动计入当期损益的金融资产的公允价值变动计入公允价值变动损益；在资产持</w:t>
      </w:r>
      <w:r>
        <w:rPr/>
        <w:t> 有期间所取得的利息或现金股利以及在处置时产生的处置损益，计入当期损益。</w:t>
      </w:r>
    </w:p>
    <w:p>
      <w:pPr>
        <w:pStyle w:val="BodyText"/>
        <w:spacing w:line="408" w:lineRule="auto"/>
        <w:ind w:right="1131" w:firstLine="420"/>
        <w:jc w:val="both"/>
      </w:pPr>
      <w:r>
        <w:rPr>
          <w:spacing w:val="-1"/>
        </w:rPr>
        <w:t>除减值损失及外币货币性金融资产形成的汇兑损益外，可供出售金融资产公允价值变动计入所有者权</w:t>
      </w:r>
      <w:r>
        <w:rPr/>
        <w:t> </w:t>
      </w:r>
      <w:r>
        <w:rPr>
          <w:spacing w:val="-1"/>
        </w:rPr>
        <w:t>益，待该金融资产终止确认时，原直接计入权益的公允价值变动累计额转入当期损益。可供出售债务工具</w:t>
      </w:r>
      <w:r>
        <w:rPr>
          <w:spacing w:val="-83"/>
        </w:rPr>
        <w:t> </w:t>
      </w:r>
      <w:r>
        <w:rPr>
          <w:spacing w:val="-83"/>
        </w:rPr>
      </w:r>
      <w:r>
        <w:rPr>
          <w:spacing w:val="-1"/>
        </w:rPr>
        <w:t>投资在持有期间按实际利率法计算利息，计入投资收益；可供出售权益工具投资的现金股利，于被投资单</w:t>
      </w:r>
      <w:r>
        <w:rPr>
          <w:spacing w:val="-83"/>
        </w:rPr>
        <w:t> </w:t>
      </w:r>
      <w:r>
        <w:rPr>
          <w:spacing w:val="-83"/>
        </w:rPr>
      </w:r>
      <w:r>
        <w:rPr/>
        <w:t>位宣告发放股利时计入投资收益。</w:t>
      </w:r>
    </w:p>
    <w:p>
      <w:pPr>
        <w:pStyle w:val="BodyText"/>
        <w:tabs>
          <w:tab w:pos="785" w:val="left" w:leader="none"/>
        </w:tabs>
        <w:spacing w:line="408" w:lineRule="auto"/>
        <w:ind w:left="574" w:right="1131" w:hanging="420"/>
        <w:jc w:val="left"/>
      </w:pPr>
      <w:r>
        <w:rPr>
          <w:rFonts w:ascii="宋体" w:hAnsi="宋体" w:cs="宋体" w:eastAsia="宋体" w:hint="default"/>
        </w:rPr>
        <w:t>10.4</w:t>
        <w:tab/>
        <w:tab/>
      </w:r>
      <w:r>
        <w:rPr/>
        <w:t>金融资产转移的确认依据和计量方法 </w:t>
      </w:r>
      <w:r>
        <w:rPr>
          <w:spacing w:val="-1"/>
        </w:rPr>
        <w:t>公司已将金融资产所有权上几乎所有的风险和报酬转移给转入方的，终止确认该金融资产；保留了金</w:t>
      </w:r>
    </w:p>
    <w:p>
      <w:pPr>
        <w:pStyle w:val="BodyText"/>
        <w:spacing w:line="408" w:lineRule="auto"/>
        <w:ind w:right="3402"/>
        <w:jc w:val="left"/>
      </w:pPr>
      <w:r>
        <w:rPr/>
        <w:t>融资产所有权上几乎所有的风险和报酬的，不终止确认该金融资产。 金融资产整体转移满足终止确认条件的，将下列两项金额的差额计入当期损益：</w:t>
      </w:r>
    </w:p>
    <w:p>
      <w:pPr>
        <w:pStyle w:val="BodyText"/>
        <w:spacing w:line="240" w:lineRule="auto"/>
        <w:ind w:left="574" w:right="1122"/>
        <w:jc w:val="left"/>
      </w:pPr>
      <w:r>
        <w:rPr>
          <w:rFonts w:ascii="宋体" w:hAnsi="宋体" w:cs="宋体" w:eastAsia="宋体" w:hint="default"/>
        </w:rPr>
        <w:t>1</w:t>
      </w:r>
      <w:r>
        <w:rPr/>
        <w:t>）所转移金融资产的账面价值；</w:t>
      </w:r>
    </w:p>
    <w:p>
      <w:pPr>
        <w:spacing w:line="240" w:lineRule="auto" w:before="10"/>
        <w:rPr>
          <w:rFonts w:ascii="宋体" w:hAnsi="宋体" w:cs="宋体" w:eastAsia="宋体" w:hint="default"/>
          <w:sz w:val="14"/>
          <w:szCs w:val="14"/>
        </w:rPr>
      </w:pPr>
    </w:p>
    <w:p>
      <w:pPr>
        <w:pStyle w:val="BodyText"/>
        <w:spacing w:line="408" w:lineRule="auto" w:before="0"/>
        <w:ind w:right="1122" w:firstLine="420"/>
        <w:jc w:val="left"/>
      </w:pPr>
      <w:r>
        <w:rPr>
          <w:rFonts w:ascii="宋体" w:hAnsi="宋体" w:cs="宋体" w:eastAsia="宋体" w:hint="default"/>
        </w:rPr>
        <w:t>2</w:t>
      </w:r>
      <w:r>
        <w:rPr/>
        <w:t>）因转移而收到的对价，与原直接计入所有者权益的公允价值变动累计额（涉及转移的金融资产为 可供出售金融资产的情形）之和。</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2" w:firstLine="420"/>
        <w:jc w:val="both"/>
      </w:pPr>
      <w:r>
        <w:rPr>
          <w:spacing w:val="-1"/>
        </w:rPr>
        <w:t>因金融资产转移获得了新金融资产或承担了新金融负债的，在转移日按照公允价值确认该金融资产或</w:t>
      </w:r>
      <w:r>
        <w:rPr/>
        <w:t> </w:t>
      </w:r>
      <w:r>
        <w:rPr>
          <w:spacing w:val="-1"/>
        </w:rPr>
        <w:t>金融负债（包括看涨期权、看跌期权、担保负债、远期合同、互换等），并将该金融资产扣除金融负债后</w:t>
      </w:r>
      <w:r>
        <w:rPr>
          <w:spacing w:val="-85"/>
        </w:rPr>
        <w:t> </w:t>
      </w:r>
      <w:r>
        <w:rPr>
          <w:spacing w:val="-85"/>
        </w:rPr>
      </w:r>
      <w:r>
        <w:rPr/>
        <w:t>的净额作为上述对价的组成部分。</w:t>
      </w:r>
    </w:p>
    <w:p>
      <w:pPr>
        <w:pStyle w:val="BodyText"/>
        <w:spacing w:line="408" w:lineRule="auto"/>
        <w:ind w:right="1131" w:firstLine="420"/>
        <w:jc w:val="both"/>
      </w:pPr>
      <w:r>
        <w:rPr>
          <w:spacing w:val="-1"/>
        </w:rPr>
        <w:t>公司与金融资产转入方签订服务合同提供相关服务的（包括收取该金融资产的现金流量，并将所收取</w:t>
      </w:r>
      <w:r>
        <w:rPr/>
        <w:t> </w:t>
      </w:r>
      <w:r>
        <w:rPr>
          <w:spacing w:val="-1"/>
        </w:rPr>
        <w:t>的现金流量交付给指定的资金保管机构等），就该服务合同确认一项服务资产或服务负债。服务负债应当</w:t>
      </w:r>
      <w:r>
        <w:rPr>
          <w:spacing w:val="-83"/>
        </w:rPr>
        <w:t> </w:t>
      </w:r>
      <w:r>
        <w:rPr>
          <w:spacing w:val="-83"/>
        </w:rPr>
      </w:r>
      <w:r>
        <w:rPr/>
        <w:t>按照公允价值进行初始计量，并作为上述对价的组成部分。</w:t>
      </w:r>
    </w:p>
    <w:p>
      <w:pPr>
        <w:pStyle w:val="BodyText"/>
        <w:spacing w:line="408" w:lineRule="auto"/>
        <w:ind w:right="1131" w:firstLine="420"/>
        <w:jc w:val="both"/>
      </w:pPr>
      <w:r>
        <w:rPr>
          <w:spacing w:val="-1"/>
        </w:rPr>
        <w:t>金融资产部分转移满足终止确认条件的，将所转移金融资产整体的账面价值，在终止确认部分和未终</w:t>
      </w:r>
      <w:r>
        <w:rPr/>
        <w:t> </w:t>
      </w:r>
      <w:r>
        <w:rPr>
          <w:spacing w:val="-1"/>
        </w:rPr>
        <w:t>止确认部分（在此种情况下，所保留的服务资产视同未终止确认金融资产的一部分）之间，按照各自的相</w:t>
      </w:r>
      <w:r>
        <w:rPr>
          <w:spacing w:val="-85"/>
        </w:rPr>
        <w:t> </w:t>
      </w:r>
      <w:r>
        <w:rPr>
          <w:spacing w:val="-85"/>
        </w:rPr>
      </w:r>
      <w:r>
        <w:rPr/>
        <w:t>对公允价值进行分摊，并将下列两项金额的差额计入当期损益：</w:t>
      </w:r>
    </w:p>
    <w:p>
      <w:pPr>
        <w:pStyle w:val="BodyText"/>
        <w:spacing w:line="240" w:lineRule="auto"/>
        <w:ind w:left="574" w:right="1122"/>
        <w:jc w:val="left"/>
      </w:pPr>
      <w:r>
        <w:rPr>
          <w:rFonts w:ascii="宋体" w:hAnsi="宋体" w:cs="宋体" w:eastAsia="宋体" w:hint="default"/>
        </w:rPr>
        <w:t>1</w:t>
      </w:r>
      <w:r>
        <w:rPr/>
        <w:t>）终止确认部分的账面价值；</w:t>
      </w:r>
    </w:p>
    <w:p>
      <w:pPr>
        <w:spacing w:line="240" w:lineRule="auto" w:before="10"/>
        <w:rPr>
          <w:rFonts w:ascii="宋体" w:hAnsi="宋体" w:cs="宋体" w:eastAsia="宋体" w:hint="default"/>
          <w:sz w:val="14"/>
          <w:szCs w:val="14"/>
        </w:rPr>
      </w:pPr>
    </w:p>
    <w:p>
      <w:pPr>
        <w:pStyle w:val="BodyText"/>
        <w:spacing w:line="408" w:lineRule="auto" w:before="0"/>
        <w:ind w:right="1141" w:firstLine="420"/>
        <w:jc w:val="both"/>
      </w:pPr>
      <w:r>
        <w:rPr>
          <w:rFonts w:ascii="宋体" w:hAnsi="宋体" w:cs="宋体" w:eastAsia="宋体" w:hint="default"/>
        </w:rPr>
        <w:t>2</w:t>
      </w:r>
      <w:r>
        <w:rPr/>
        <w:t>）终止确认部分的对价，与原直接计入所有者权益的公允价值变动累计额中对应终止确认部分的金 额（涉及转移的金融资产为可供出售金融资产的情形）之和。</w:t>
      </w:r>
    </w:p>
    <w:p>
      <w:pPr>
        <w:pStyle w:val="BodyText"/>
        <w:spacing w:line="408" w:lineRule="auto"/>
        <w:ind w:right="1132" w:firstLine="420"/>
        <w:jc w:val="both"/>
      </w:pPr>
      <w:r>
        <w:rPr>
          <w:spacing w:val="-1"/>
        </w:rPr>
        <w:t>原直接计入所有者权益的公允价值变动累计额中对应终止确认部分的金额，按照金融资产终止确认部</w:t>
      </w:r>
      <w:r>
        <w:rPr/>
        <w:t> 分和未终止确认部分的相对公允价值，对该累计额进行分摊后确定。</w:t>
      </w:r>
    </w:p>
    <w:p>
      <w:pPr>
        <w:pStyle w:val="BodyText"/>
        <w:tabs>
          <w:tab w:pos="785" w:val="left" w:leader="none"/>
        </w:tabs>
        <w:spacing w:line="408" w:lineRule="auto"/>
        <w:ind w:left="574" w:right="1032" w:hanging="420"/>
        <w:jc w:val="left"/>
      </w:pPr>
      <w:r>
        <w:rPr>
          <w:rFonts w:ascii="宋体" w:hAnsi="宋体" w:cs="宋体" w:eastAsia="宋体" w:hint="default"/>
        </w:rPr>
        <w:t>10.5</w:t>
        <w:tab/>
        <w:tab/>
      </w:r>
      <w:r>
        <w:rPr/>
        <w:t>金融负债的分类 金融负债于初始确认时分类为：以公允价值计量且其变动计入当期损益的金融负债和其他金融负债。</w:t>
      </w:r>
    </w:p>
    <w:p>
      <w:pPr>
        <w:pStyle w:val="BodyText"/>
        <w:spacing w:line="408" w:lineRule="auto"/>
        <w:ind w:right="1122"/>
        <w:jc w:val="left"/>
      </w:pPr>
      <w:r>
        <w:rPr>
          <w:spacing w:val="-1"/>
        </w:rPr>
        <w:t>以公允价值计量且其变动计入当期损益的金融负债，包括交易性金融负债和初始确认时指定为以公允价值</w:t>
      </w:r>
      <w:r>
        <w:rPr>
          <w:spacing w:val="-81"/>
        </w:rPr>
        <w:t> </w:t>
      </w:r>
      <w:r>
        <w:rPr>
          <w:spacing w:val="-81"/>
        </w:rPr>
      </w:r>
      <w:r>
        <w:rPr/>
        <w:t>计量且其变动计入当期损益的金融负债。</w:t>
      </w:r>
    </w:p>
    <w:p>
      <w:pPr>
        <w:pStyle w:val="BodyText"/>
        <w:tabs>
          <w:tab w:pos="785" w:val="left" w:leader="none"/>
        </w:tabs>
        <w:spacing w:line="408" w:lineRule="auto"/>
        <w:ind w:left="574" w:right="1131" w:hanging="420"/>
        <w:jc w:val="left"/>
      </w:pPr>
      <w:r>
        <w:rPr>
          <w:rFonts w:ascii="宋体" w:hAnsi="宋体" w:cs="宋体" w:eastAsia="宋体" w:hint="default"/>
        </w:rPr>
        <w:t>10.6</w:t>
        <w:tab/>
        <w:tab/>
      </w:r>
      <w:r>
        <w:rPr/>
        <w:t>金融负债的计量 </w:t>
      </w:r>
      <w:r>
        <w:rPr>
          <w:spacing w:val="-1"/>
        </w:rPr>
        <w:t>金融负债于本公司成为金融工具合同的一方时，按公允价值在资产负债表内确认。以公允价值计量且</w:t>
      </w:r>
    </w:p>
    <w:p>
      <w:pPr>
        <w:pStyle w:val="BodyText"/>
        <w:spacing w:line="408" w:lineRule="auto"/>
        <w:ind w:right="1122"/>
        <w:jc w:val="left"/>
      </w:pPr>
      <w:r>
        <w:rPr>
          <w:spacing w:val="-1"/>
        </w:rPr>
        <w:t>其变动计入当期损益的金融负债，取得时发生的相关交易费用直接计入当期损益；其他金融负债的相关交</w:t>
      </w:r>
      <w:r>
        <w:rPr>
          <w:spacing w:val="-81"/>
        </w:rPr>
        <w:t> </w:t>
      </w:r>
      <w:r>
        <w:rPr>
          <w:spacing w:val="-81"/>
        </w:rPr>
      </w:r>
      <w:r>
        <w:rPr/>
        <w:t>易费用计入初始确认金额。</w:t>
      </w:r>
    </w:p>
    <w:p>
      <w:pPr>
        <w:pStyle w:val="BodyText"/>
        <w:spacing w:line="408" w:lineRule="auto"/>
        <w:ind w:right="1131" w:firstLine="420"/>
        <w:jc w:val="both"/>
      </w:pPr>
      <w:r>
        <w:rPr>
          <w:spacing w:val="-1"/>
        </w:rPr>
        <w:t>以公允价值计量且其变动计入当期损益的金融负债，按照公允价值后续计量，且不扣除将来结清金融</w:t>
      </w:r>
      <w:r>
        <w:rPr/>
        <w:t> 负债时可能发生的交易费用。其他金融负债，采用实际利率法，按照摊余成本进行后续计量。</w:t>
      </w:r>
    </w:p>
    <w:p>
      <w:pPr>
        <w:pStyle w:val="BodyText"/>
        <w:tabs>
          <w:tab w:pos="785" w:val="left" w:leader="none"/>
        </w:tabs>
        <w:spacing w:line="408" w:lineRule="auto"/>
        <w:ind w:left="574" w:right="1131" w:hanging="420"/>
        <w:jc w:val="left"/>
      </w:pPr>
      <w:r>
        <w:rPr>
          <w:rFonts w:ascii="宋体" w:hAnsi="宋体" w:cs="宋体" w:eastAsia="宋体" w:hint="default"/>
        </w:rPr>
        <w:t>10.7</w:t>
        <w:tab/>
        <w:tab/>
      </w:r>
      <w:r>
        <w:rPr/>
        <w:t>金融资产和金融负债的公允价值的确定方法 </w:t>
      </w:r>
      <w:r>
        <w:rPr>
          <w:spacing w:val="-1"/>
        </w:rPr>
        <w:t>存在活跃市场的金融资产或金融负债，采用活跃市场中的报价确定其公允价值。金融工具不存在活跃</w:t>
      </w:r>
    </w:p>
    <w:p>
      <w:pPr>
        <w:pStyle w:val="BodyText"/>
        <w:tabs>
          <w:tab w:pos="785" w:val="left" w:leader="none"/>
        </w:tabs>
        <w:spacing w:line="408" w:lineRule="auto"/>
        <w:ind w:right="1032"/>
        <w:jc w:val="left"/>
      </w:pPr>
      <w:r>
        <w:rPr/>
        <w:t>市场的，采用估值技术确定其公允价值，估值技术包括参考熟悉情况并自愿交易的各方最近进行的市场交 易中使用的价格、参照实质上相同的其他金融工具的当前公允价值、现金流量折现法和期权定价模型等。</w:t>
      </w:r>
      <w:r>
        <w:rPr>
          <w:spacing w:val="-34"/>
        </w:rPr>
        <w:t> </w:t>
      </w:r>
      <w:r>
        <w:rPr>
          <w:spacing w:val="-34"/>
        </w:rPr>
      </w:r>
      <w:r>
        <w:rPr>
          <w:rFonts w:ascii="宋体" w:hAnsi="宋体" w:cs="宋体" w:eastAsia="宋体" w:hint="default"/>
        </w:rPr>
        <w:t>10.8</w:t>
        <w:tab/>
      </w:r>
      <w:r>
        <w:rPr/>
        <w:t>金融资产减值测试方法及会计处理方法</w:t>
      </w:r>
    </w:p>
    <w:p>
      <w:pPr>
        <w:pStyle w:val="BodyText"/>
        <w:spacing w:line="240" w:lineRule="auto"/>
        <w:ind w:left="574" w:right="0"/>
        <w:jc w:val="left"/>
      </w:pPr>
      <w:r>
        <w:rPr/>
        <w:t>除以公允价值计量且其变动计入当期损益的金融资产外，本公司于资产负债表日对金融资产的账面价</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1122" w:hanging="420"/>
        <w:jc w:val="left"/>
      </w:pPr>
      <w:r>
        <w:rPr/>
        <w:t>值进行检查，如果有客观证据表明某项金融资产发生减值的，计提减值准备。 </w:t>
      </w:r>
      <w:r>
        <w:rPr>
          <w:spacing w:val="-1"/>
        </w:rPr>
        <w:t>以摊余成本计量的金融资产发生减值时，按预计未来现金流量</w:t>
      </w:r>
      <w:r>
        <w:rPr>
          <w:rFonts w:ascii="宋体" w:hAnsi="宋体" w:cs="宋体" w:eastAsia="宋体" w:hint="default"/>
          <w:spacing w:val="-1"/>
        </w:rPr>
        <w:t>(</w:t>
      </w:r>
      <w:r>
        <w:rPr>
          <w:spacing w:val="-1"/>
        </w:rPr>
        <w:t>不包括尚未发生的未来信用损失</w:t>
      </w:r>
      <w:r>
        <w:rPr>
          <w:rFonts w:ascii="宋体" w:hAnsi="宋体" w:cs="宋体" w:eastAsia="宋体" w:hint="default"/>
          <w:spacing w:val="-1"/>
        </w:rPr>
        <w:t>)</w:t>
      </w:r>
      <w:r>
        <w:rPr>
          <w:spacing w:val="-1"/>
        </w:rPr>
        <w:t>现值</w:t>
      </w:r>
    </w:p>
    <w:p>
      <w:pPr>
        <w:pStyle w:val="BodyText"/>
        <w:spacing w:line="408" w:lineRule="auto"/>
        <w:ind w:right="1122"/>
        <w:jc w:val="left"/>
      </w:pPr>
      <w:r>
        <w:rPr>
          <w:spacing w:val="-1"/>
        </w:rPr>
        <w:t>低于账面价值的差额，计提减值准备。如果有客观证据表明该金融资产价值已恢复，且客观上与确认该损</w:t>
      </w:r>
      <w:r>
        <w:rPr>
          <w:spacing w:val="-83"/>
        </w:rPr>
        <w:t> </w:t>
      </w:r>
      <w:r>
        <w:rPr>
          <w:spacing w:val="-83"/>
        </w:rPr>
      </w:r>
      <w:r>
        <w:rPr/>
        <w:t>失后发生的事项有关，原确认的减值损失予以转回，计入当期损益。</w:t>
      </w:r>
    </w:p>
    <w:p>
      <w:pPr>
        <w:pStyle w:val="BodyText"/>
        <w:spacing w:line="408" w:lineRule="auto"/>
        <w:ind w:right="1122" w:firstLine="420"/>
        <w:jc w:val="left"/>
        <w:rPr>
          <w:rFonts w:ascii="宋体" w:hAnsi="宋体" w:cs="宋体" w:eastAsia="宋体" w:hint="default"/>
        </w:rPr>
      </w:pPr>
      <w:r>
        <w:rPr>
          <w:spacing w:val="-1"/>
        </w:rPr>
        <w:t>当可供出售金融资产的公允价值发生较大幅度或非暂时性下降，原直接计入所有者权益的因公允价值</w:t>
      </w:r>
      <w:r>
        <w:rPr/>
        <w:t> </w:t>
      </w:r>
      <w:r>
        <w:rPr>
          <w:spacing w:val="-1"/>
        </w:rPr>
        <w:t>下降形成的累计损失计入减值损失。对已确认减值损失的可供出售债务工具投资，在期后公允价值上升且</w:t>
      </w:r>
      <w:r>
        <w:rPr>
          <w:spacing w:val="-81"/>
        </w:rPr>
        <w:t> </w:t>
      </w:r>
      <w:r>
        <w:rPr>
          <w:spacing w:val="-81"/>
        </w:rPr>
      </w:r>
      <w:r>
        <w:rPr>
          <w:spacing w:val="-1"/>
        </w:rPr>
        <w:t>客观上与确认原减值损失确认后发生的事项有关的，原确认的减值损失予以转回，计入当期损益。对已确</w:t>
      </w:r>
      <w:r>
        <w:rPr>
          <w:spacing w:val="-83"/>
        </w:rPr>
        <w:t> </w:t>
      </w:r>
      <w:r>
        <w:rPr>
          <w:spacing w:val="-83"/>
        </w:rPr>
      </w:r>
      <w:r>
        <w:rPr>
          <w:spacing w:val="-1"/>
        </w:rPr>
        <w:t>认减值损失的可供出售权益工具投资，在期后公允价值上升且客观上与确认原减值损失后发生的事项有关</w:t>
      </w:r>
      <w:r>
        <w:rPr>
          <w:spacing w:val="-81"/>
        </w:rPr>
        <w:t> </w:t>
      </w:r>
      <w:r>
        <w:rPr>
          <w:spacing w:val="-81"/>
        </w:rPr>
      </w:r>
      <w:r>
        <w:rPr>
          <w:spacing w:val="-1"/>
        </w:rPr>
        <w:t>的，原确认的减值损失予以转回，直接计入所有者权益。在活跃市场中没有报价且其公允价值不能可靠计</w:t>
      </w:r>
      <w:r>
        <w:rPr>
          <w:spacing w:val="-83"/>
        </w:rPr>
        <w:t> </w:t>
      </w:r>
      <w:r>
        <w:rPr>
          <w:spacing w:val="-83"/>
        </w:rPr>
      </w:r>
      <w:r>
        <w:rPr/>
        <w:t>量的权益工具投资发生的减值损失，如果在以后期间价值得以恢复，也不予转回。 </w:t>
      </w:r>
      <w:bookmarkStart w:name="11、应收票据及应收账款" w:id="180"/>
      <w:bookmarkEnd w:id="180"/>
      <w:r>
        <w:rPr/>
      </w:r>
      <w:r>
        <w:rPr>
          <w:rFonts w:ascii="宋体" w:hAnsi="宋体" w:cs="宋体" w:eastAsia="宋体" w:hint="default"/>
          <w:b/>
          <w:bCs/>
        </w:rPr>
        <w:t>11</w:t>
      </w:r>
      <w:r>
        <w:rPr>
          <w:rFonts w:ascii="宋体" w:hAnsi="宋体" w:cs="宋体" w:eastAsia="宋体" w:hint="default"/>
          <w:b/>
          <w:bCs/>
        </w:rPr>
        <w:t>、应收票据及应收账款</w:t>
      </w:r>
      <w:r>
        <w:rPr>
          <w:rFonts w:ascii="宋体" w:hAnsi="宋体" w:cs="宋体" w:eastAsia="宋体" w:hint="default"/>
        </w:rPr>
      </w:r>
    </w:p>
    <w:p>
      <w:pPr>
        <w:pStyle w:val="Heading4"/>
        <w:spacing w:line="240" w:lineRule="auto" w:before="46"/>
        <w:ind w:right="1122"/>
        <w:jc w:val="left"/>
        <w:rPr>
          <w:b w:val="0"/>
          <w:bCs w:val="0"/>
        </w:rPr>
      </w:pPr>
      <w:bookmarkStart w:name="（1）单项金额重大并单独计提坏账准备的应收款项" w:id="181"/>
      <w:bookmarkEnd w:id="181"/>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4786"/>
        <w:gridCol w:w="4783"/>
      </w:tblGrid>
      <w:tr>
        <w:trPr>
          <w:trHeight w:val="727"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公司单项金额重大的应收款项指单笔金额为</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万元以上的</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客户应收账款及单笔金额为</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万元以上的其他应收款。</w:t>
            </w:r>
          </w:p>
        </w:tc>
      </w:tr>
      <w:tr>
        <w:trPr>
          <w:trHeight w:val="727"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0" w:right="5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值的差额，确认减值损失，计提坏账准备。</w:t>
            </w:r>
          </w:p>
        </w:tc>
      </w:tr>
    </w:tbl>
    <w:p>
      <w:pPr>
        <w:pStyle w:val="Heading4"/>
        <w:spacing w:line="240" w:lineRule="auto" w:before="63"/>
        <w:ind w:right="1122"/>
        <w:jc w:val="left"/>
        <w:rPr>
          <w:b w:val="0"/>
          <w:bCs w:val="0"/>
        </w:rPr>
      </w:pPr>
      <w:bookmarkStart w:name="（2）按信用风险特征组合计提坏账准备的应收款项" w:id="182"/>
      <w:bookmarkEnd w:id="182"/>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4786"/>
        <w:gridCol w:w="4783"/>
      </w:tblGrid>
      <w:tr>
        <w:trPr>
          <w:trHeight w:val="413"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16" w:hRule="exact"/>
        </w:trPr>
        <w:tc>
          <w:tcPr>
            <w:tcW w:w="478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63"/>
        <w:ind w:right="1122"/>
        <w:jc w:val="left"/>
      </w:pPr>
      <w:r>
        <w:rPr/>
        <w:t>组合中，采用账龄分析法计提坏账准备的：</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3173"/>
        <w:gridCol w:w="3201"/>
        <w:gridCol w:w="3189"/>
      </w:tblGrid>
      <w:tr>
        <w:trPr>
          <w:trHeight w:val="413"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8"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70.00%</w:t>
            </w:r>
          </w:p>
        </w:tc>
      </w:tr>
      <w:tr>
        <w:trPr>
          <w:trHeight w:val="41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bl>
    <w:p>
      <w:pPr>
        <w:pStyle w:val="BodyText"/>
        <w:spacing w:line="240" w:lineRule="auto" w:before="63"/>
        <w:ind w:right="1122"/>
        <w:jc w:val="left"/>
      </w:pPr>
      <w:r>
        <w:rPr/>
        <w:t>组合中，采用余额百分比法计提坏账准备的：</w:t>
      </w:r>
    </w:p>
    <w:p>
      <w:pPr>
        <w:spacing w:line="240" w:lineRule="auto" w:before="10"/>
        <w:rPr>
          <w:rFonts w:ascii="宋体" w:hAnsi="宋体" w:cs="宋体" w:eastAsia="宋体" w:hint="default"/>
          <w:sz w:val="14"/>
          <w:szCs w:val="14"/>
        </w:rPr>
      </w:pPr>
    </w:p>
    <w:p>
      <w:pPr>
        <w:pStyle w:val="BodyText"/>
        <w:spacing w:line="408" w:lineRule="auto" w:before="0"/>
        <w:ind w:right="6972"/>
        <w:jc w:val="left"/>
      </w:pPr>
      <w:r>
        <w:rPr/>
        <w:t>□ 适用 √</w:t>
      </w:r>
      <w:r>
        <w:rPr>
          <w:spacing w:val="-1"/>
        </w:rPr>
        <w:t> </w:t>
      </w:r>
      <w:r>
        <w:rPr/>
        <w:t>不适用</w:t>
      </w:r>
      <w:r>
        <w:rPr/>
        <w:t> 组合中，采用其他方法计提坏账准备的：</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3）单项金额不重大但单独计提坏账准备的应收款项" w:id="183"/>
      <w:bookmarkEnd w:id="183"/>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4786"/>
        <w:gridCol w:w="4783"/>
      </w:tblGrid>
      <w:tr>
        <w:trPr>
          <w:trHeight w:val="727"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319" w:lineRule="auto" w:before="51"/>
              <w:ind w:left="20" w:right="59"/>
              <w:jc w:val="left"/>
              <w:rPr>
                <w:rFonts w:ascii="宋体" w:hAnsi="宋体" w:cs="宋体" w:eastAsia="宋体" w:hint="default"/>
                <w:sz w:val="18"/>
                <w:szCs w:val="18"/>
              </w:rPr>
            </w:pPr>
            <w:r>
              <w:rPr>
                <w:rFonts w:ascii="宋体" w:hAnsi="宋体" w:cs="宋体" w:eastAsia="宋体" w:hint="default"/>
                <w:sz w:val="18"/>
                <w:szCs w:val="18"/>
              </w:rPr>
              <w:t>有明显特征表明该等应收款项难以收回，期末余额为</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 元以下的应收款项。</w:t>
            </w:r>
          </w:p>
        </w:tc>
      </w:tr>
      <w:tr>
        <w:trPr>
          <w:trHeight w:val="1351"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0" w:right="58"/>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值的差额，确认减值损失，计提坏账准备；经单独测试未减 值的应收款项，采用账龄分析法，按应收款项的账龄和规定 的提取比例确认减值损失，计提坏账准备。</w:t>
            </w:r>
          </w:p>
        </w:tc>
      </w:tr>
    </w:tbl>
    <w:p>
      <w:pPr>
        <w:spacing w:line="408" w:lineRule="auto" w:before="63"/>
        <w:ind w:left="154" w:right="7182" w:firstLine="0"/>
        <w:jc w:val="left"/>
        <w:rPr>
          <w:rFonts w:ascii="宋体" w:hAnsi="宋体" w:cs="宋体" w:eastAsia="宋体" w:hint="default"/>
          <w:sz w:val="21"/>
          <w:szCs w:val="21"/>
        </w:rPr>
      </w:pPr>
      <w:bookmarkStart w:name="12、存货" w:id="184"/>
      <w:bookmarkEnd w:id="184"/>
      <w:r>
        <w:rPr/>
      </w:r>
      <w:r>
        <w:rPr>
          <w:rFonts w:ascii="宋体" w:hAnsi="宋体" w:cs="宋体" w:eastAsia="宋体" w:hint="default"/>
          <w:b/>
          <w:bCs/>
          <w:sz w:val="21"/>
          <w:szCs w:val="21"/>
        </w:rPr>
        <w:t>12</w:t>
      </w:r>
      <w:r>
        <w:rPr>
          <w:rFonts w:ascii="宋体" w:hAnsi="宋体" w:cs="宋体" w:eastAsia="宋体" w:hint="default"/>
          <w:b/>
          <w:bCs/>
          <w:sz w:val="21"/>
          <w:szCs w:val="21"/>
        </w:rPr>
        <w:t>、存货</w:t>
      </w:r>
      <w:r>
        <w:rPr>
          <w:rFonts w:ascii="宋体" w:hAnsi="宋体" w:cs="宋体" w:eastAsia="宋体" w:hint="default"/>
          <w:b/>
          <w:bCs/>
          <w:w w:val="99"/>
          <w:sz w:val="21"/>
          <w:szCs w:val="21"/>
        </w:rPr>
        <w:t> </w:t>
      </w:r>
      <w:r>
        <w:rPr>
          <w:rFonts w:ascii="宋体" w:hAnsi="宋体" w:cs="宋体" w:eastAsia="宋体" w:hint="default"/>
          <w:sz w:val="21"/>
          <w:szCs w:val="21"/>
        </w:rPr>
        <w:t>公司是否需要遵守特殊行业的披露要求</w:t>
      </w:r>
    </w:p>
    <w:p>
      <w:pPr>
        <w:pStyle w:val="BodyText"/>
        <w:spacing w:line="240" w:lineRule="auto"/>
        <w:ind w:right="1122"/>
        <w:jc w:val="left"/>
      </w:pPr>
      <w:r>
        <w:rPr/>
        <w:t>□ 是 √ 否</w:t>
      </w:r>
    </w:p>
    <w:p>
      <w:pPr>
        <w:spacing w:line="240" w:lineRule="auto" w:before="10"/>
        <w:rPr>
          <w:rFonts w:ascii="宋体" w:hAnsi="宋体" w:cs="宋体" w:eastAsia="宋体" w:hint="default"/>
          <w:sz w:val="14"/>
          <w:szCs w:val="14"/>
        </w:rPr>
      </w:pPr>
    </w:p>
    <w:p>
      <w:pPr>
        <w:pStyle w:val="BodyText"/>
        <w:tabs>
          <w:tab w:pos="785" w:val="left" w:leader="none"/>
        </w:tabs>
        <w:spacing w:line="408" w:lineRule="auto" w:before="0"/>
        <w:ind w:left="574" w:right="1131" w:hanging="420"/>
        <w:jc w:val="left"/>
      </w:pPr>
      <w:r>
        <w:rPr>
          <w:rFonts w:ascii="宋体" w:hAnsi="宋体" w:cs="宋体" w:eastAsia="宋体" w:hint="default"/>
        </w:rPr>
        <w:t>12.1</w:t>
        <w:tab/>
        <w:tab/>
      </w:r>
      <w:r>
        <w:rPr/>
        <w:t>存货的类别 </w:t>
      </w:r>
      <w:r>
        <w:rPr>
          <w:spacing w:val="-1"/>
        </w:rPr>
        <w:t>存货包括原材料、在途物资、周转材料、在产品、发出商品、库存商品等，按成本与可变现净值孰低</w:t>
      </w:r>
    </w:p>
    <w:p>
      <w:pPr>
        <w:pStyle w:val="BodyText"/>
        <w:spacing w:line="240" w:lineRule="auto"/>
        <w:ind w:right="1122"/>
        <w:jc w:val="left"/>
      </w:pPr>
      <w:r>
        <w:rPr/>
        <w:t>列示。</w:t>
      </w:r>
    </w:p>
    <w:p>
      <w:pPr>
        <w:spacing w:line="240" w:lineRule="auto" w:before="10"/>
        <w:rPr>
          <w:rFonts w:ascii="宋体" w:hAnsi="宋体" w:cs="宋体" w:eastAsia="宋体" w:hint="default"/>
          <w:sz w:val="14"/>
          <w:szCs w:val="14"/>
        </w:rPr>
      </w:pPr>
    </w:p>
    <w:p>
      <w:pPr>
        <w:pStyle w:val="BodyText"/>
        <w:tabs>
          <w:tab w:pos="785" w:val="left" w:leader="none"/>
        </w:tabs>
        <w:spacing w:line="408" w:lineRule="auto" w:before="0"/>
        <w:ind w:left="574" w:right="1131" w:hanging="420"/>
        <w:jc w:val="left"/>
      </w:pPr>
      <w:r>
        <w:rPr>
          <w:rFonts w:ascii="宋体" w:hAnsi="宋体" w:cs="宋体" w:eastAsia="宋体" w:hint="default"/>
        </w:rPr>
        <w:t>12.2</w:t>
        <w:tab/>
        <w:tab/>
      </w:r>
      <w:r>
        <w:rPr/>
        <w:t>发出存货的计价方法 </w:t>
      </w:r>
      <w:r>
        <w:rPr>
          <w:spacing w:val="-1"/>
        </w:rPr>
        <w:t>存货发出时的成本按加权平均法核算，产成品和在产品成本包括原材料、直接人工以及在正常生产能</w:t>
      </w:r>
    </w:p>
    <w:p>
      <w:pPr>
        <w:pStyle w:val="BodyText"/>
        <w:tabs>
          <w:tab w:pos="785" w:val="left" w:leader="none"/>
        </w:tabs>
        <w:spacing w:line="408" w:lineRule="auto"/>
        <w:ind w:right="3840"/>
        <w:jc w:val="left"/>
      </w:pPr>
      <w:r>
        <w:rPr/>
        <w:t>力下按照一定方法分配的制造费用。周转材料包括低值易耗品和包装物等。 </w:t>
      </w:r>
      <w:r>
        <w:rPr>
          <w:rFonts w:ascii="宋体" w:hAnsi="宋体" w:cs="宋体" w:eastAsia="宋体" w:hint="default"/>
        </w:rPr>
        <w:t>12.3</w:t>
        <w:tab/>
      </w:r>
      <w:r>
        <w:rPr/>
        <w:t>确定不同类别存货可变现净值的依据</w:t>
      </w:r>
    </w:p>
    <w:p>
      <w:pPr>
        <w:pStyle w:val="BodyText"/>
        <w:spacing w:line="408" w:lineRule="auto"/>
        <w:ind w:right="1130" w:firstLine="420"/>
        <w:jc w:val="both"/>
      </w:pPr>
      <w:r>
        <w:rPr>
          <w:spacing w:val="-6"/>
        </w:rPr>
        <w:t>存货成本高于其可变现净值的，计提存货跌价准备，计入当期损益。可变现净值，是指在日常活动中，</w:t>
      </w:r>
      <w:r>
        <w:rPr/>
        <w:t> </w:t>
      </w:r>
      <w:r>
        <w:rPr>
          <w:spacing w:val="-1"/>
        </w:rPr>
        <w:t>存货的估计售价减去至完工时估计将要发生的成本、估计的销售费用以及相关税费后的金额。公司确定存</w:t>
      </w:r>
      <w:r>
        <w:rPr>
          <w:spacing w:val="-81"/>
        </w:rPr>
        <w:t> </w:t>
      </w:r>
      <w:r>
        <w:rPr>
          <w:spacing w:val="-81"/>
        </w:rPr>
      </w:r>
      <w:r>
        <w:rPr>
          <w:spacing w:val="-1"/>
        </w:rPr>
        <w:t>货的可变现净值，以取得的确凿证据为基础，并且考虑持有存货的目的、资产负债表日后事项的影响等因</w:t>
      </w:r>
      <w:r>
        <w:rPr>
          <w:spacing w:val="-83"/>
        </w:rPr>
        <w:t> </w:t>
      </w:r>
      <w:r>
        <w:rPr>
          <w:spacing w:val="-83"/>
        </w:rPr>
      </w:r>
      <w:r>
        <w:rPr/>
        <w:t>素。</w:t>
      </w:r>
    </w:p>
    <w:p>
      <w:pPr>
        <w:pStyle w:val="BodyText"/>
        <w:spacing w:line="408" w:lineRule="auto"/>
        <w:ind w:right="1131" w:firstLine="420"/>
        <w:jc w:val="both"/>
      </w:pPr>
      <w:r>
        <w:rPr>
          <w:spacing w:val="-1"/>
        </w:rPr>
        <w:t>为生产而持有的材料等，用其生产的产成品的可变现净值高于成本的，该材料仍然按照成本计量；材</w:t>
      </w:r>
      <w:r>
        <w:rPr/>
        <w:t> 料价格的下降表明产成品的可变现净值低于成本的，该材料按照可变现净值计量。</w:t>
      </w:r>
    </w:p>
    <w:p>
      <w:pPr>
        <w:pStyle w:val="BodyText"/>
        <w:spacing w:line="408" w:lineRule="auto"/>
        <w:ind w:right="1131" w:firstLine="420"/>
        <w:jc w:val="both"/>
      </w:pPr>
      <w:r>
        <w:rPr>
          <w:spacing w:val="-1"/>
        </w:rPr>
        <w:t>为执行销售合同或者劳务合同而持有的存货，其可变现净值以合同价格为基础计算。持有存货的数量</w:t>
      </w:r>
      <w:r>
        <w:rPr/>
        <w:t> 多于销售合同订购数量的，超出部分的存货的可变现净值以一般销售价格为基础计算。</w:t>
      </w:r>
    </w:p>
    <w:p>
      <w:pPr>
        <w:pStyle w:val="BodyText"/>
        <w:tabs>
          <w:tab w:pos="785" w:val="left" w:leader="none"/>
        </w:tabs>
        <w:spacing w:line="408" w:lineRule="auto"/>
        <w:ind w:left="574" w:right="7410" w:hanging="420"/>
        <w:jc w:val="left"/>
      </w:pPr>
      <w:r>
        <w:rPr>
          <w:rFonts w:ascii="宋体" w:hAnsi="宋体" w:cs="宋体" w:eastAsia="宋体" w:hint="default"/>
        </w:rPr>
        <w:t>12.4</w:t>
        <w:tab/>
        <w:tab/>
      </w:r>
      <w:r>
        <w:rPr/>
        <w:t>存货的盘存制度 存货盘存制度采用永续盘存制。</w:t>
      </w:r>
    </w:p>
    <w:p>
      <w:pPr>
        <w:pStyle w:val="BodyText"/>
        <w:tabs>
          <w:tab w:pos="785" w:val="left" w:leader="none"/>
        </w:tabs>
        <w:spacing w:line="408" w:lineRule="auto"/>
        <w:ind w:left="574" w:right="5940" w:hanging="420"/>
        <w:jc w:val="left"/>
      </w:pPr>
      <w:r>
        <w:rPr>
          <w:rFonts w:ascii="宋体" w:hAnsi="宋体" w:cs="宋体" w:eastAsia="宋体" w:hint="default"/>
        </w:rPr>
        <w:t>12.5</w:t>
        <w:tab/>
        <w:tab/>
      </w:r>
      <w:r>
        <w:rPr/>
        <w:t>低值易耗品和包装物的摊销方法 低值易耗品在领用时采用一次摊销法核算成本。 包装物在领用时采用一次转销法核算成本。</w:t>
      </w:r>
    </w:p>
    <w:p>
      <w:pPr>
        <w:spacing w:after="0" w:line="408" w:lineRule="auto"/>
        <w:jc w:val="left"/>
        <w:sectPr>
          <w:pgSz w:w="11910" w:h="16840"/>
          <w:pgMar w:header="877" w:footer="1000" w:top="1100" w:bottom="1180" w:left="980" w:right="0"/>
        </w:sectPr>
      </w:pPr>
    </w:p>
    <w:p>
      <w:pPr>
        <w:spacing w:line="240" w:lineRule="auto" w:before="9"/>
        <w:rPr>
          <w:rFonts w:ascii="宋体" w:hAnsi="宋体" w:cs="宋体" w:eastAsia="宋体" w:hint="default"/>
          <w:sz w:val="20"/>
          <w:szCs w:val="20"/>
        </w:rPr>
      </w:pPr>
    </w:p>
    <w:p>
      <w:pPr>
        <w:spacing w:line="340" w:lineRule="auto" w:before="35"/>
        <w:ind w:left="154" w:right="6132" w:firstLine="0"/>
        <w:jc w:val="left"/>
        <w:rPr>
          <w:rFonts w:ascii="宋体" w:hAnsi="宋体" w:cs="宋体" w:eastAsia="宋体" w:hint="default"/>
          <w:sz w:val="21"/>
          <w:szCs w:val="21"/>
        </w:rPr>
      </w:pPr>
      <w:bookmarkStart w:name="13、持有待售资产" w:id="185"/>
      <w:bookmarkEnd w:id="185"/>
      <w:r>
        <w:rPr/>
      </w:r>
      <w:r>
        <w:rPr>
          <w:rFonts w:ascii="宋体" w:hAnsi="宋体" w:cs="宋体" w:eastAsia="宋体"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t>同时满足下列条件的资产，确认为持有待售资产：</w:t>
      </w:r>
    </w:p>
    <w:p>
      <w:pPr>
        <w:pStyle w:val="BodyText"/>
        <w:spacing w:line="240" w:lineRule="auto" w:before="105"/>
        <w:ind w:left="574" w:right="1122"/>
        <w:jc w:val="left"/>
      </w:pPr>
      <w:r>
        <w:rPr>
          <w:rFonts w:ascii="宋体" w:hAnsi="宋体" w:cs="宋体" w:eastAsia="宋体" w:hint="default"/>
        </w:rPr>
        <w:t>13.1</w:t>
      </w:r>
      <w:r>
        <w:rPr>
          <w:rFonts w:ascii="宋体" w:hAnsi="宋体" w:cs="宋体" w:eastAsia="宋体" w:hint="default"/>
          <w:spacing w:val="-53"/>
        </w:rPr>
        <w:t> </w:t>
      </w:r>
      <w:r>
        <w:rPr/>
        <w:t>该资产必须在其当期状况下仅根据出售此类资产的通常和惯用条款即可立即出售；</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rFonts w:ascii="宋体" w:hAnsi="宋体" w:cs="宋体" w:eastAsia="宋体" w:hint="default"/>
        </w:rPr>
        <w:t>13.2</w:t>
      </w:r>
      <w:r>
        <w:rPr>
          <w:rFonts w:ascii="宋体" w:hAnsi="宋体" w:cs="宋体" w:eastAsia="宋体" w:hint="default"/>
          <w:spacing w:val="-53"/>
        </w:rPr>
        <w:t> </w:t>
      </w:r>
      <w:r>
        <w:rPr/>
        <w:t>公司已经就处置该部分资产作出决议；</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rFonts w:ascii="宋体" w:hAnsi="宋体" w:cs="宋体" w:eastAsia="宋体" w:hint="default"/>
        </w:rPr>
        <w:t>13.3</w:t>
      </w:r>
      <w:r>
        <w:rPr>
          <w:rFonts w:ascii="宋体" w:hAnsi="宋体" w:cs="宋体" w:eastAsia="宋体" w:hint="default"/>
          <w:spacing w:val="-53"/>
        </w:rPr>
        <w:t> </w:t>
      </w:r>
      <w:r>
        <w:rPr/>
        <w:t>公司已经与受让方签订了不可撤销的转让协议；</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rFonts w:ascii="宋体" w:hAnsi="宋体" w:cs="宋体" w:eastAsia="宋体" w:hint="default"/>
        </w:rPr>
        <w:t>13.4</w:t>
      </w:r>
      <w:r>
        <w:rPr>
          <w:rFonts w:ascii="宋体" w:hAnsi="宋体" w:cs="宋体" w:eastAsia="宋体" w:hint="default"/>
          <w:spacing w:val="-53"/>
        </w:rPr>
        <w:t> </w:t>
      </w:r>
      <w:r>
        <w:rPr/>
        <w:t>该项转让将在一年内完成。</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14、长期股权投资" w:id="186"/>
      <w:bookmarkEnd w:id="186"/>
      <w:r>
        <w:rPr>
          <w:b w:val="0"/>
          <w:bCs w:val="0"/>
        </w:rPr>
      </w:r>
      <w:r>
        <w:rPr>
          <w:rFonts w:ascii="宋体" w:hAnsi="宋体" w:cs="宋体" w:eastAsia="宋体" w:hint="default"/>
        </w:rPr>
        <w:t>14</w:t>
      </w:r>
      <w:r>
        <w:rPr/>
        <w:t>、长期股权投资</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4" w:right="1122" w:hanging="420"/>
        <w:jc w:val="left"/>
      </w:pPr>
      <w:r>
        <w:rPr>
          <w:rFonts w:ascii="宋体" w:hAnsi="宋体" w:cs="宋体" w:eastAsia="宋体" w:hint="default"/>
          <w:sz w:val="18"/>
          <w:szCs w:val="18"/>
        </w:rPr>
        <w:t>14.1 </w:t>
      </w:r>
      <w:r>
        <w:rPr/>
        <w:t>共同控制、重大影响的判断标准 </w:t>
      </w:r>
      <w:r>
        <w:rPr>
          <w:spacing w:val="-1"/>
        </w:rPr>
        <w:t>按照相关约定对某项安排所共有的控制，并且该安排的相关活动必须经过分享控制权的参与方一致同</w:t>
      </w:r>
    </w:p>
    <w:p>
      <w:pPr>
        <w:pStyle w:val="BodyText"/>
        <w:spacing w:line="408" w:lineRule="auto"/>
        <w:ind w:right="1122"/>
        <w:jc w:val="left"/>
      </w:pPr>
      <w:r>
        <w:rPr>
          <w:spacing w:val="-1"/>
        </w:rPr>
        <w:t>意后才能决策，则视为共同控制。如果存在两个或两个以上的参与方组合能够集体控制某项安排的，不视</w:t>
      </w:r>
      <w:r>
        <w:rPr>
          <w:spacing w:val="-83"/>
        </w:rPr>
        <w:t> </w:t>
      </w:r>
      <w:r>
        <w:rPr>
          <w:spacing w:val="-83"/>
        </w:rPr>
      </w:r>
      <w:r>
        <w:rPr/>
        <w:t>为共同控制。</w:t>
      </w:r>
    </w:p>
    <w:p>
      <w:pPr>
        <w:pStyle w:val="BodyText"/>
        <w:spacing w:line="408" w:lineRule="auto"/>
        <w:ind w:right="1122" w:firstLine="420"/>
        <w:jc w:val="left"/>
      </w:pPr>
      <w:r>
        <w:rPr>
          <w:spacing w:val="-1"/>
        </w:rPr>
        <w:t>对被投资单位的财务和经营政策有参与决策的权力，但并不能够控制或者与其他方一起共同控制这些</w:t>
      </w:r>
      <w:r>
        <w:rPr/>
        <w:t> 政策的制定，则视为对被投资单位实施重大影响。</w:t>
      </w:r>
    </w:p>
    <w:p>
      <w:pPr>
        <w:pStyle w:val="BodyText"/>
        <w:tabs>
          <w:tab w:pos="785" w:val="left" w:leader="none"/>
        </w:tabs>
        <w:spacing w:line="408" w:lineRule="auto"/>
        <w:ind w:left="574" w:right="1148" w:hanging="420"/>
        <w:jc w:val="left"/>
      </w:pPr>
      <w:r>
        <w:rPr>
          <w:rFonts w:ascii="宋体" w:hAnsi="宋体" w:cs="宋体" w:eastAsia="宋体" w:hint="default"/>
        </w:rPr>
        <w:t>14.2</w:t>
        <w:tab/>
        <w:tab/>
      </w:r>
      <w:r>
        <w:rPr/>
        <w:t>初始投资成本确定 企业合并形成的长期股权投资，按照本附注“3.5同一控制下和非同一控制下企业合并的会计处理方</w:t>
      </w:r>
    </w:p>
    <w:p>
      <w:pPr>
        <w:pStyle w:val="BodyText"/>
        <w:spacing w:line="408" w:lineRule="auto"/>
        <w:ind w:right="1023"/>
        <w:jc w:val="left"/>
      </w:pPr>
      <w:r>
        <w:rPr>
          <w:spacing w:val="-3"/>
        </w:rPr>
        <w:t>法”的相关内容确认初始投资成本；除企业合并形成的长期股权投资以外，其他方式取得的长期股权投资，</w:t>
      </w:r>
      <w:r>
        <w:rPr>
          <w:spacing w:val="-92"/>
        </w:rPr>
        <w:t> </w:t>
      </w:r>
      <w:r>
        <w:rPr>
          <w:spacing w:val="-92"/>
        </w:rPr>
      </w:r>
      <w:r>
        <w:rPr/>
        <w:t>按照下述方法确认其初始投资成本：</w:t>
      </w:r>
    </w:p>
    <w:p>
      <w:pPr>
        <w:pStyle w:val="BodyText"/>
        <w:spacing w:line="408" w:lineRule="auto"/>
        <w:ind w:right="1122" w:firstLine="420"/>
        <w:jc w:val="left"/>
      </w:pPr>
      <w:r>
        <w:rPr>
          <w:rFonts w:ascii="宋体" w:hAnsi="宋体" w:cs="宋体" w:eastAsia="宋体" w:hint="default"/>
        </w:rPr>
        <w:t>1</w:t>
      </w:r>
      <w:r>
        <w:rPr/>
        <w:t>）以支付现金取得的长期股权投资，应当按照实际支付的购买价款作为初始投资成本。初始投资成 本包括与取得长期股权投资直接相关的费用、税金及其他必要支出。</w:t>
      </w:r>
    </w:p>
    <w:p>
      <w:pPr>
        <w:pStyle w:val="BodyText"/>
        <w:spacing w:line="408" w:lineRule="auto"/>
        <w:ind w:right="1130" w:firstLine="420"/>
        <w:jc w:val="right"/>
      </w:pPr>
      <w:r>
        <w:rPr>
          <w:rFonts w:ascii="宋体" w:hAnsi="宋体" w:cs="宋体" w:eastAsia="宋体" w:hint="default"/>
          <w:spacing w:val="-3"/>
        </w:rPr>
        <w:t>2</w:t>
      </w:r>
      <w:r>
        <w:rPr>
          <w:spacing w:val="-3"/>
        </w:rPr>
        <w:t>）以发行权益性证券取得的长期股权投资，应当按照发行权益性证券的公允价值作为初始投资成本。</w:t>
      </w:r>
      <w:r>
        <w:rPr/>
        <w:t> </w:t>
      </w:r>
      <w:r>
        <w:rPr>
          <w:spacing w:val="-5"/>
        </w:rPr>
        <w:t>与发行权益性证券直接相关的费用，应当按照《企业会计准则第</w:t>
      </w:r>
      <w:r>
        <w:rPr>
          <w:rFonts w:ascii="宋体" w:hAnsi="宋体" w:cs="宋体" w:eastAsia="宋体" w:hint="default"/>
          <w:spacing w:val="-5"/>
        </w:rPr>
        <w:t>37</w:t>
      </w:r>
      <w:r>
        <w:rPr>
          <w:spacing w:val="-5"/>
        </w:rPr>
        <w:t>号——金融工具列报》的有关规定确定。</w:t>
      </w:r>
      <w:r>
        <w:rPr/>
        <w:t> </w:t>
      </w:r>
      <w:r>
        <w:rPr>
          <w:rFonts w:ascii="宋体" w:hAnsi="宋体" w:cs="宋体" w:eastAsia="宋体" w:hint="default"/>
        </w:rPr>
        <w:t>3</w:t>
      </w:r>
      <w:r>
        <w:rPr/>
        <w:t>）在非货币性资产交换具备商业实质和换入资产或换出资产的公允价值能够可靠计量的前提下，非 </w:t>
      </w:r>
      <w:r>
        <w:rPr>
          <w:spacing w:val="-1"/>
        </w:rPr>
        <w:t>货币性资产交换换入的长期股权投资以换出资产的公允价值为基础确定其初始投资成本，除非有确凿证据</w:t>
      </w:r>
      <w:r>
        <w:rPr>
          <w:spacing w:val="-87"/>
        </w:rPr>
        <w:t> </w:t>
      </w:r>
      <w:r>
        <w:rPr>
          <w:spacing w:val="-87"/>
        </w:rPr>
      </w:r>
      <w:r>
        <w:rPr>
          <w:spacing w:val="-1"/>
        </w:rPr>
        <w:t>表明换入资产的公允价值更加可靠；不满足上述前提的非货币性资产交换，以换出资产的账面价值和应支</w:t>
      </w:r>
    </w:p>
    <w:p>
      <w:pPr>
        <w:pStyle w:val="BodyText"/>
        <w:spacing w:line="408" w:lineRule="auto"/>
        <w:ind w:left="574" w:right="2667" w:hanging="420"/>
        <w:jc w:val="left"/>
      </w:pPr>
      <w:r>
        <w:rPr/>
        <w:t>付的相关税费作为换入长期股权投资的初始投资成本。 </w:t>
      </w:r>
      <w:r>
        <w:rPr>
          <w:rFonts w:ascii="宋体" w:hAnsi="宋体" w:cs="宋体" w:eastAsia="宋体" w:hint="default"/>
        </w:rPr>
        <w:t>4</w:t>
      </w:r>
      <w:r>
        <w:rPr/>
        <w:t>）通过债务重组取得的长期股权投资，其初始投资成本按照公允价值为基础确定。</w:t>
      </w:r>
    </w:p>
    <w:p>
      <w:pPr>
        <w:pStyle w:val="BodyText"/>
        <w:tabs>
          <w:tab w:pos="785" w:val="left" w:leader="none"/>
        </w:tabs>
        <w:spacing w:line="240" w:lineRule="auto"/>
        <w:ind w:right="1122"/>
        <w:jc w:val="left"/>
      </w:pPr>
      <w:r>
        <w:rPr>
          <w:rFonts w:ascii="宋体" w:hAnsi="宋体" w:cs="宋体" w:eastAsia="宋体" w:hint="default"/>
        </w:rPr>
        <w:t>14.3</w:t>
        <w:tab/>
      </w:r>
      <w:r>
        <w:rPr/>
        <w:t>后续计量及损益确认方法</w:t>
      </w:r>
    </w:p>
    <w:p>
      <w:pPr>
        <w:spacing w:line="240" w:lineRule="auto" w:before="10"/>
        <w:rPr>
          <w:rFonts w:ascii="宋体" w:hAnsi="宋体" w:cs="宋体" w:eastAsia="宋体" w:hint="default"/>
          <w:sz w:val="14"/>
          <w:szCs w:val="14"/>
        </w:rPr>
      </w:pPr>
    </w:p>
    <w:p>
      <w:pPr>
        <w:pStyle w:val="BodyText"/>
        <w:spacing w:line="408" w:lineRule="auto" w:before="0"/>
        <w:ind w:left="574" w:right="1122" w:hanging="420"/>
        <w:jc w:val="left"/>
      </w:pPr>
      <w:r>
        <w:rPr>
          <w:rFonts w:ascii="宋体" w:hAnsi="宋体" w:cs="宋体" w:eastAsia="宋体" w:hint="default"/>
        </w:rPr>
        <w:t>14.3.1 </w:t>
      </w:r>
      <w:r>
        <w:rPr/>
        <w:t>成本法后续计量 </w:t>
      </w:r>
      <w:r>
        <w:rPr>
          <w:spacing w:val="-1"/>
        </w:rPr>
        <w:t>公司能够对被投资单位实施控制的长期股权投资采用成本法核算，长期股权投资按照初始投资成本计</w:t>
      </w:r>
    </w:p>
    <w:p>
      <w:pPr>
        <w:pStyle w:val="BodyText"/>
        <w:spacing w:line="240" w:lineRule="auto"/>
        <w:ind w:right="0"/>
        <w:jc w:val="left"/>
      </w:pPr>
      <w:r>
        <w:rPr/>
        <w:t>价。追加或收回投资调整长期股权投资的成本。被投资单位宣告分派的现金股利或利润，确认为当期投资</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收益。</w:t>
      </w:r>
    </w:p>
    <w:p>
      <w:pPr>
        <w:spacing w:line="240" w:lineRule="auto" w:before="10"/>
        <w:rPr>
          <w:rFonts w:ascii="宋体" w:hAnsi="宋体" w:cs="宋体" w:eastAsia="宋体" w:hint="default"/>
          <w:sz w:val="14"/>
          <w:szCs w:val="14"/>
        </w:rPr>
      </w:pPr>
    </w:p>
    <w:p>
      <w:pPr>
        <w:pStyle w:val="BodyText"/>
        <w:spacing w:line="408" w:lineRule="auto" w:before="0"/>
        <w:ind w:left="574" w:right="1122" w:hanging="420"/>
        <w:jc w:val="left"/>
      </w:pPr>
      <w:r>
        <w:rPr>
          <w:rFonts w:ascii="宋体" w:hAnsi="宋体" w:cs="宋体" w:eastAsia="宋体" w:hint="default"/>
        </w:rPr>
        <w:t>14.3.2 </w:t>
      </w:r>
      <w:r>
        <w:rPr/>
        <w:t>权益法后续计量 </w:t>
      </w:r>
      <w:r>
        <w:rPr>
          <w:spacing w:val="-1"/>
        </w:rPr>
        <w:t>公司对联营企业和合营企业的长期股权投资，采用权益法核算，长期股权投资的初始投资成本大于投</w:t>
      </w:r>
    </w:p>
    <w:p>
      <w:pPr>
        <w:pStyle w:val="BodyText"/>
        <w:spacing w:line="408" w:lineRule="auto"/>
        <w:ind w:right="1131"/>
        <w:jc w:val="both"/>
      </w:pPr>
      <w:r>
        <w:rPr>
          <w:spacing w:val="-1"/>
        </w:rPr>
        <w:t>资时应享有被投资单位可辨认净资产公允价值份额的，不调整长期股权投资的初始投资成本；长期股权投</w:t>
      </w:r>
      <w:r>
        <w:rPr>
          <w:spacing w:val="-81"/>
        </w:rPr>
        <w:t> </w:t>
      </w:r>
      <w:r>
        <w:rPr>
          <w:spacing w:val="-81"/>
        </w:rPr>
      </w:r>
      <w:r>
        <w:rPr>
          <w:spacing w:val="-1"/>
        </w:rPr>
        <w:t>资的初始投资成本小于投资时应享有被投资单位可辨认净资产公允价值份额的，其差额计入当期损益，同</w:t>
      </w:r>
      <w:r>
        <w:rPr>
          <w:spacing w:val="-81"/>
        </w:rPr>
        <w:t> </w:t>
      </w:r>
      <w:r>
        <w:rPr>
          <w:spacing w:val="-81"/>
        </w:rPr>
      </w:r>
      <w:r>
        <w:rPr/>
        <w:t>时调整长期股权投资的成本。</w:t>
      </w:r>
    </w:p>
    <w:p>
      <w:pPr>
        <w:pStyle w:val="BodyText"/>
        <w:spacing w:line="408" w:lineRule="auto"/>
        <w:ind w:right="1131" w:firstLine="420"/>
        <w:jc w:val="both"/>
      </w:pPr>
      <w:r>
        <w:rPr>
          <w:spacing w:val="-1"/>
        </w:rPr>
        <w:t>采用权益法核算时，投资方取得长期股权投资后，按照应享有或应分担的被投资单位实现的净损益和</w:t>
      </w:r>
      <w:r>
        <w:rPr/>
        <w:t> </w:t>
      </w:r>
      <w:r>
        <w:rPr>
          <w:spacing w:val="-1"/>
        </w:rPr>
        <w:t>其他综合收益的份额，分别确认投资收益和其他综合收益，同时调整长期股权投资的账面价值；投资方按</w:t>
      </w:r>
      <w:r>
        <w:rPr>
          <w:spacing w:val="-83"/>
        </w:rPr>
        <w:t> </w:t>
      </w:r>
      <w:r>
        <w:rPr>
          <w:spacing w:val="-83"/>
        </w:rPr>
      </w:r>
      <w:r>
        <w:rPr>
          <w:spacing w:val="-1"/>
        </w:rPr>
        <w:t>照被投资单位宣告分派的利润或现金股利计算应享有的部分，相应减少长期股权投资的账面价值；投资方</w:t>
      </w:r>
      <w:r>
        <w:rPr>
          <w:spacing w:val="-81"/>
        </w:rPr>
        <w:t> </w:t>
      </w:r>
      <w:r>
        <w:rPr>
          <w:spacing w:val="-81"/>
        </w:rPr>
      </w:r>
      <w:r>
        <w:rPr>
          <w:spacing w:val="-1"/>
        </w:rPr>
        <w:t>对于被投资单位除净损益、其他综合收益和利润分配以外所有者权益的其他变动，调整长期股权投资的账</w:t>
      </w:r>
      <w:r>
        <w:rPr>
          <w:spacing w:val="-81"/>
        </w:rPr>
        <w:t> </w:t>
      </w:r>
      <w:r>
        <w:rPr>
          <w:spacing w:val="-81"/>
        </w:rPr>
      </w:r>
      <w:r>
        <w:rPr>
          <w:spacing w:val="-1"/>
        </w:rPr>
        <w:t>面价值并计入所有者权益。投资方在确认应享有被投资单位净损益的份额时，以取得投资时被投资单位可</w:t>
      </w:r>
      <w:r>
        <w:rPr>
          <w:spacing w:val="-81"/>
        </w:rPr>
        <w:t> </w:t>
      </w:r>
      <w:r>
        <w:rPr>
          <w:spacing w:val="-81"/>
        </w:rPr>
      </w:r>
      <w:r>
        <w:rPr>
          <w:spacing w:val="-1"/>
        </w:rPr>
        <w:t>辨认净资产的公允价值为基础，对被投资单位的净利润进行调整后确认。被投资单位采用的会计政策及会</w:t>
      </w:r>
      <w:r>
        <w:rPr>
          <w:spacing w:val="-81"/>
        </w:rPr>
        <w:t> </w:t>
      </w:r>
      <w:r>
        <w:rPr>
          <w:spacing w:val="-81"/>
        </w:rPr>
      </w:r>
      <w:r>
        <w:rPr>
          <w:spacing w:val="-1"/>
        </w:rPr>
        <w:t>计期间与投资方不一致的，按照投资方的会计政策及会计期间对被投资单位的财务报表进行调整，并据以</w:t>
      </w:r>
      <w:r>
        <w:rPr>
          <w:spacing w:val="-81"/>
        </w:rPr>
        <w:t> </w:t>
      </w:r>
      <w:r>
        <w:rPr>
          <w:spacing w:val="-81"/>
        </w:rPr>
      </w:r>
      <w:r>
        <w:rPr/>
        <w:t>确认投资收益和其他综合收益等。</w:t>
      </w:r>
    </w:p>
    <w:p>
      <w:pPr>
        <w:pStyle w:val="BodyText"/>
        <w:spacing w:line="408" w:lineRule="auto"/>
        <w:ind w:right="0" w:firstLine="420"/>
        <w:jc w:val="left"/>
      </w:pPr>
      <w:r>
        <w:rPr/>
        <w:t>投资方确认被投资单位发生的净亏损，以长期股权投资的账面价值以及其他实质上构成对被投资单位 净投资的长期权益减记至零为限，投资方负有承担额外损失义务的除外。被投资单位以后实现净利润的，</w:t>
      </w:r>
      <w:r>
        <w:rPr>
          <w:spacing w:val="-38"/>
        </w:rPr>
        <w:t> </w:t>
      </w:r>
      <w:r>
        <w:rPr>
          <w:spacing w:val="-38"/>
        </w:rPr>
      </w:r>
      <w:r>
        <w:rPr/>
        <w:t>投资方在其收益分享额弥补未确认的亏损分担额后，恢复确认收益分享额。 投资方计算确认应享有或应分担被投资单位的净损益时，与联营企业、合营企业之间发生的未实现内部交</w:t>
      </w:r>
      <w:r>
        <w:rPr/>
        <w:t> 易损益按照应享有的比例计算归属于投资方的部分，予以抵销，在此基础上确认投资收益。投资方与被投 资单位发生的未实现内部交易损失，按照《企业会计准则第</w:t>
      </w:r>
      <w:r>
        <w:rPr>
          <w:rFonts w:ascii="宋体" w:hAnsi="宋体" w:cs="宋体" w:eastAsia="宋体" w:hint="default"/>
        </w:rPr>
        <w:t>8</w:t>
      </w:r>
      <w:r>
        <w:rPr/>
        <w:t>号——资产减值》等的有关规定属于资产减 值损失的，全额确认。</w:t>
      </w:r>
    </w:p>
    <w:p>
      <w:pPr>
        <w:pStyle w:val="BodyText"/>
        <w:spacing w:line="408" w:lineRule="auto"/>
        <w:ind w:right="1131" w:firstLine="420"/>
        <w:jc w:val="both"/>
      </w:pPr>
      <w:r>
        <w:rPr>
          <w:spacing w:val="-1"/>
        </w:rPr>
        <w:t>投资方对联营企业的权益性投资，其中一部分通过风险投资机构、共同基金、信托公司或包括投连险</w:t>
      </w:r>
      <w:r>
        <w:rPr/>
        <w:t> </w:t>
      </w:r>
      <w:r>
        <w:rPr>
          <w:spacing w:val="-1"/>
        </w:rPr>
        <w:t>基金在内的类似主体间接持有的，无论以上主体是否对这部分投资具有重大影响，投资方都按照金融工具</w:t>
      </w:r>
      <w:r>
        <w:rPr>
          <w:spacing w:val="-81"/>
        </w:rPr>
        <w:t> </w:t>
      </w:r>
      <w:r>
        <w:rPr>
          <w:spacing w:val="-81"/>
        </w:rPr>
      </w:r>
      <w:r>
        <w:rPr>
          <w:spacing w:val="-1"/>
        </w:rPr>
        <w:t>政策的有关规定，对间接持有的该部分投资选择以公允价值计量且其变动计入损益，并对其余部分采用权</w:t>
      </w:r>
      <w:r>
        <w:rPr>
          <w:spacing w:val="-81"/>
        </w:rPr>
        <w:t> </w:t>
      </w:r>
      <w:r>
        <w:rPr>
          <w:spacing w:val="-81"/>
        </w:rPr>
      </w:r>
      <w:r>
        <w:rPr/>
        <w:t>益法核算。</w:t>
      </w:r>
    </w:p>
    <w:p>
      <w:pPr>
        <w:pStyle w:val="BodyText"/>
        <w:spacing w:line="408" w:lineRule="auto"/>
        <w:ind w:left="574" w:right="1122" w:hanging="420"/>
        <w:jc w:val="left"/>
      </w:pPr>
      <w:r>
        <w:rPr>
          <w:rFonts w:ascii="宋体" w:hAnsi="宋体" w:cs="宋体" w:eastAsia="宋体" w:hint="default"/>
        </w:rPr>
        <w:t>14.3.3 </w:t>
      </w:r>
      <w:r>
        <w:rPr/>
        <w:t>因追加投资等原因能够对被投资单位施加重大影响或实施共同控制但不构成控制的处理 </w:t>
      </w:r>
      <w:r>
        <w:rPr>
          <w:spacing w:val="-1"/>
        </w:rPr>
        <w:t>按照《企业会计准则第</w:t>
      </w:r>
      <w:r>
        <w:rPr>
          <w:rFonts w:ascii="宋体" w:hAnsi="宋体" w:cs="宋体" w:eastAsia="宋体" w:hint="default"/>
          <w:spacing w:val="-1"/>
        </w:rPr>
        <w:t>22</w:t>
      </w:r>
      <w:r>
        <w:rPr>
          <w:spacing w:val="-1"/>
        </w:rPr>
        <w:t>号——金融工具确认和计量》确定的原持有的股权投资的公允价值加上新增</w:t>
      </w:r>
    </w:p>
    <w:p>
      <w:pPr>
        <w:pStyle w:val="BodyText"/>
        <w:spacing w:line="408" w:lineRule="auto"/>
        <w:ind w:right="1131"/>
        <w:jc w:val="both"/>
      </w:pPr>
      <w:r>
        <w:rPr>
          <w:spacing w:val="-1"/>
        </w:rPr>
        <w:t>投资成本之和，作为改按权益法核算的初始投资成本。原持有的股权投资分类为可供出售金融资产的，其</w:t>
      </w:r>
      <w:r>
        <w:rPr>
          <w:spacing w:val="-83"/>
        </w:rPr>
        <w:t> </w:t>
      </w:r>
      <w:r>
        <w:rPr>
          <w:spacing w:val="-83"/>
        </w:rPr>
      </w:r>
      <w:r>
        <w:rPr>
          <w:spacing w:val="-1"/>
        </w:rPr>
        <w:t>公允价值与账面价值之间的差额，以及原计入其他综合收益的累计公允价值变动转入改按权益法核算的当</w:t>
      </w:r>
      <w:r>
        <w:rPr>
          <w:spacing w:val="-81"/>
        </w:rPr>
        <w:t> </w:t>
      </w:r>
      <w:r>
        <w:rPr>
          <w:spacing w:val="-81"/>
        </w:rPr>
      </w:r>
      <w:r>
        <w:rPr/>
        <w:t>期损益。</w:t>
      </w:r>
    </w:p>
    <w:p>
      <w:pPr>
        <w:spacing w:after="0" w:line="408" w:lineRule="auto"/>
        <w:jc w:val="both"/>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1122" w:hanging="420"/>
        <w:jc w:val="left"/>
      </w:pPr>
      <w:r>
        <w:rPr>
          <w:rFonts w:ascii="宋体" w:hAnsi="宋体" w:cs="宋体" w:eastAsia="宋体" w:hint="default"/>
        </w:rPr>
        <w:t>14.3.4 </w:t>
      </w:r>
      <w:r>
        <w:rPr/>
        <w:t>处置部分股权的处理 </w:t>
      </w:r>
      <w:r>
        <w:rPr>
          <w:spacing w:val="-1"/>
        </w:rPr>
        <w:t>因处置部分股权投资等原因丧失了对被投资单位的共同控制或重大影响的，处置后的剩余股权改按本</w:t>
      </w:r>
    </w:p>
    <w:p>
      <w:pPr>
        <w:pStyle w:val="BodyText"/>
        <w:spacing w:line="408" w:lineRule="auto"/>
        <w:ind w:right="1131"/>
        <w:jc w:val="both"/>
      </w:pPr>
      <w:r>
        <w:rPr>
          <w:spacing w:val="-1"/>
        </w:rPr>
        <w:t>附注“金融工具”的政策核算，其在丧失共同控制或重大影响之日的公允价值与账面价值之间的差额计入</w:t>
      </w:r>
      <w:r>
        <w:rPr>
          <w:spacing w:val="-81"/>
        </w:rPr>
        <w:t> </w:t>
      </w:r>
      <w:r>
        <w:rPr>
          <w:spacing w:val="-81"/>
        </w:rPr>
      </w:r>
      <w:r>
        <w:rPr>
          <w:spacing w:val="-1"/>
        </w:rPr>
        <w:t>当期损益。原股权投资因采用权益法核算而确认的其他综合收益，在终止采用权益法核算时采用与被投资</w:t>
      </w:r>
      <w:r>
        <w:rPr>
          <w:spacing w:val="-81"/>
        </w:rPr>
        <w:t> </w:t>
      </w:r>
      <w:r>
        <w:rPr>
          <w:spacing w:val="-81"/>
        </w:rPr>
      </w:r>
      <w:r>
        <w:rPr/>
        <w:t>单位直接处置相关资产或负债相同的基础进行会计处理。</w:t>
      </w:r>
    </w:p>
    <w:p>
      <w:pPr>
        <w:pStyle w:val="BodyText"/>
        <w:spacing w:line="408" w:lineRule="auto"/>
        <w:ind w:right="1131" w:firstLine="420"/>
        <w:jc w:val="both"/>
      </w:pPr>
      <w:r>
        <w:rPr>
          <w:spacing w:val="-1"/>
        </w:rPr>
        <w:t>因处置部分权益性投资等原因丧失了对被投资单位的控制的，在编制个别财务报表时，处置后的剩余</w:t>
      </w:r>
      <w:r>
        <w:rPr/>
        <w:t> </w:t>
      </w:r>
      <w:r>
        <w:rPr>
          <w:spacing w:val="-1"/>
        </w:rPr>
        <w:t>股权能够对被投资单位实施共同控制或施加重大影响的，改按权益法核算，并对该剩余股权视同自取得时</w:t>
      </w:r>
      <w:r>
        <w:rPr>
          <w:spacing w:val="-81"/>
        </w:rPr>
        <w:t> </w:t>
      </w:r>
      <w:r>
        <w:rPr>
          <w:spacing w:val="-81"/>
        </w:rPr>
      </w:r>
      <w:r>
        <w:rPr>
          <w:spacing w:val="-1"/>
        </w:rPr>
        <w:t>即采用权益法核算进行调整；处置后的剩余股权不能对被投资单位实施共同控制或施加重大影响的，改按</w:t>
      </w:r>
      <w:r>
        <w:rPr>
          <w:spacing w:val="-81"/>
        </w:rPr>
        <w:t> </w:t>
      </w:r>
      <w:r>
        <w:rPr>
          <w:spacing w:val="-81"/>
        </w:rPr>
      </w:r>
      <w:r>
        <w:rPr>
          <w:spacing w:val="-1"/>
        </w:rPr>
        <w:t>本附注“金融工具”的有关政策进行会计处理，其在丧失控制之日的公允价值与账面价值间的差额计入当</w:t>
      </w:r>
      <w:r>
        <w:rPr>
          <w:spacing w:val="-81"/>
        </w:rPr>
        <w:t> </w:t>
      </w:r>
      <w:r>
        <w:rPr>
          <w:spacing w:val="-81"/>
        </w:rPr>
      </w:r>
      <w:r>
        <w:rPr/>
        <w:t>期损益。在编制合并财务报表时，按照本附注“合并财务报表的编制方法”的相关内容处理。</w:t>
      </w:r>
    </w:p>
    <w:p>
      <w:pPr>
        <w:pStyle w:val="BodyText"/>
        <w:spacing w:line="408" w:lineRule="auto"/>
        <w:ind w:left="574" w:right="1122" w:hanging="420"/>
        <w:jc w:val="left"/>
      </w:pPr>
      <w:r>
        <w:rPr>
          <w:rFonts w:ascii="宋体" w:hAnsi="宋体" w:cs="宋体" w:eastAsia="宋体" w:hint="default"/>
        </w:rPr>
        <w:t>14.3.5 </w:t>
      </w:r>
      <w:r>
        <w:rPr/>
        <w:t>对联营企业或合营企业的权益性投资全部或部分分类为持有待售资产的处理 </w:t>
      </w:r>
      <w:r>
        <w:rPr>
          <w:spacing w:val="-1"/>
        </w:rPr>
        <w:t>分类为持有待售资产的对联营企业或合营企业的权益性投资，以账面价值与公允价值减去处置费用孰</w:t>
      </w:r>
    </w:p>
    <w:p>
      <w:pPr>
        <w:pStyle w:val="BodyText"/>
        <w:spacing w:line="408" w:lineRule="auto"/>
        <w:ind w:right="1023"/>
        <w:jc w:val="left"/>
      </w:pPr>
      <w:r>
        <w:rPr/>
        <w:t>低的金额列示，公允价值减去处置费用低于原账面价值的金额，确认为资产减值损失。对于未划分为持有 待售资产的剩余权益性投资，采用权益法进行会计处理。已划分为持有待售的对联营企业或合营企业的权 </w:t>
      </w:r>
      <w:r>
        <w:rPr>
          <w:spacing w:val="-3"/>
        </w:rPr>
        <w:t>益性投资，不再符合持有待售资产分类条件的，从被分类为持有待售资产之日起采用权益法进行追溯调整。</w:t>
      </w:r>
      <w:r>
        <w:rPr>
          <w:spacing w:val="-92"/>
        </w:rPr>
        <w:t> </w:t>
      </w:r>
      <w:r>
        <w:rPr>
          <w:spacing w:val="-92"/>
        </w:rPr>
      </w:r>
      <w:r>
        <w:rPr/>
        <w:t>分类为持有待售期间的财务报表作相应调整。</w:t>
      </w:r>
    </w:p>
    <w:p>
      <w:pPr>
        <w:pStyle w:val="BodyText"/>
        <w:spacing w:line="408" w:lineRule="auto"/>
        <w:ind w:left="574" w:right="1122" w:hanging="420"/>
        <w:jc w:val="left"/>
      </w:pPr>
      <w:r>
        <w:rPr>
          <w:rFonts w:ascii="宋体" w:hAnsi="宋体" w:cs="宋体" w:eastAsia="宋体" w:hint="default"/>
        </w:rPr>
        <w:t>14.3.6 </w:t>
      </w:r>
      <w:r>
        <w:rPr/>
        <w:t>处置长期股权投资的处理 </w:t>
      </w:r>
      <w:r>
        <w:rPr>
          <w:spacing w:val="-1"/>
        </w:rPr>
        <w:t>处置长期股权投资，其账面价值与实际取得价款之间的差额，计入当期损益。采用权益法核算的长期</w:t>
      </w:r>
    </w:p>
    <w:p>
      <w:pPr>
        <w:pStyle w:val="BodyText"/>
        <w:spacing w:line="408" w:lineRule="auto"/>
        <w:ind w:right="1122"/>
        <w:jc w:val="left"/>
      </w:pPr>
      <w:r>
        <w:rPr>
          <w:spacing w:val="-1"/>
        </w:rPr>
        <w:t>股权投资，在处置该项投资时，采用与被投资单位直接处置相关资产或负债相同的基础，按相应比例对原</w:t>
      </w:r>
      <w:r>
        <w:rPr>
          <w:spacing w:val="-83"/>
        </w:rPr>
        <w:t> </w:t>
      </w:r>
      <w:r>
        <w:rPr>
          <w:spacing w:val="-83"/>
        </w:rPr>
      </w:r>
      <w:r>
        <w:rPr/>
        <w:t>计入其他综合收益的部分进行会计处理。</w:t>
      </w:r>
    </w:p>
    <w:p>
      <w:pPr>
        <w:spacing w:line="408" w:lineRule="auto" w:before="46"/>
        <w:ind w:left="154" w:right="7392" w:firstLine="0"/>
        <w:jc w:val="left"/>
        <w:rPr>
          <w:rFonts w:ascii="宋体" w:hAnsi="宋体" w:cs="宋体" w:eastAsia="宋体" w:hint="default"/>
          <w:sz w:val="21"/>
          <w:szCs w:val="21"/>
        </w:rPr>
      </w:pPr>
      <w:bookmarkStart w:name="15、投资性房地产" w:id="187"/>
      <w:bookmarkEnd w:id="187"/>
      <w:r>
        <w:rPr/>
      </w:r>
      <w:r>
        <w:rPr>
          <w:rFonts w:ascii="宋体" w:hAnsi="宋体" w:cs="宋体" w:eastAsia="宋体"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投资性房地产计量模式：成本法计量 折旧或摊销方法</w:t>
      </w:r>
    </w:p>
    <w:p>
      <w:pPr>
        <w:pStyle w:val="BodyText"/>
        <w:spacing w:line="408" w:lineRule="auto"/>
        <w:ind w:right="1131" w:firstLine="420"/>
        <w:jc w:val="both"/>
      </w:pPr>
      <w:r>
        <w:rPr>
          <w:spacing w:val="-1"/>
        </w:rPr>
        <w:t>投资性房地产包括已出租持有并准备增值后转让的土地使用权以及已出租的建筑物，以实际成本进行</w:t>
      </w:r>
      <w:r>
        <w:rPr/>
        <w:t> </w:t>
      </w:r>
      <w:r>
        <w:rPr>
          <w:spacing w:val="-1"/>
        </w:rPr>
        <w:t>初始计量。与投资性房地产有关的后续支出，在相关的经济利益很可能流入本公司且其成本能够可靠的计</w:t>
      </w:r>
      <w:r>
        <w:rPr>
          <w:spacing w:val="-81"/>
        </w:rPr>
        <w:t> </w:t>
      </w:r>
      <w:r>
        <w:rPr>
          <w:spacing w:val="-81"/>
        </w:rPr>
      </w:r>
      <w:r>
        <w:rPr>
          <w:spacing w:val="-1"/>
        </w:rPr>
        <w:t>量时，计入投资性房地产成本；否则，在发生时计入当期损益。本公司采用成本模式对所有投资性房地产</w:t>
      </w:r>
      <w:r>
        <w:rPr>
          <w:spacing w:val="-86"/>
        </w:rPr>
        <w:t> </w:t>
      </w:r>
      <w:r>
        <w:rPr>
          <w:spacing w:val="-86"/>
        </w:rPr>
      </w:r>
      <w:r>
        <w:rPr>
          <w:spacing w:val="-1"/>
        </w:rPr>
        <w:t>进行后续计量，按其预计使用寿命及净残值率对建筑物和土地使用权计提折旧或摊销。投资性房地产的预</w:t>
      </w:r>
      <w:r>
        <w:rPr>
          <w:spacing w:val="-81"/>
        </w:rPr>
        <w:t> </w:t>
      </w:r>
      <w:r>
        <w:rPr>
          <w:spacing w:val="-81"/>
        </w:rPr>
      </w:r>
      <w:r>
        <w:rPr/>
        <w:t>计使用寿命、净残值率及年折旧</w:t>
      </w:r>
      <w:r>
        <w:rPr>
          <w:rFonts w:ascii="宋体" w:hAnsi="宋体" w:cs="宋体" w:eastAsia="宋体" w:hint="default"/>
        </w:rPr>
        <w:t>(</w:t>
      </w:r>
      <w:r>
        <w:rPr/>
        <w:t>摊销</w:t>
      </w:r>
      <w:r>
        <w:rPr>
          <w:rFonts w:ascii="宋体" w:hAnsi="宋体" w:cs="宋体" w:eastAsia="宋体" w:hint="default"/>
        </w:rPr>
        <w:t>)</w:t>
      </w:r>
      <w:r>
        <w:rPr/>
        <w:t>率列示如下：</w:t>
      </w:r>
    </w:p>
    <w:tbl>
      <w:tblPr>
        <w:tblW w:w="0" w:type="auto"/>
        <w:jc w:val="left"/>
        <w:tblInd w:w="133" w:type="dxa"/>
        <w:tblLayout w:type="fixed"/>
        <w:tblCellMar>
          <w:top w:w="0" w:type="dxa"/>
          <w:left w:w="0" w:type="dxa"/>
          <w:bottom w:w="0" w:type="dxa"/>
          <w:right w:w="0" w:type="dxa"/>
        </w:tblCellMar>
        <w:tblLook w:val="01E0"/>
      </w:tblPr>
      <w:tblGrid>
        <w:gridCol w:w="2268"/>
        <w:gridCol w:w="2121"/>
        <w:gridCol w:w="2544"/>
        <w:gridCol w:w="2712"/>
      </w:tblGrid>
      <w:tr>
        <w:trPr>
          <w:trHeight w:val="377" w:hRule="exact"/>
        </w:trPr>
        <w:tc>
          <w:tcPr>
            <w:tcW w:w="226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28"/>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5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预计净残值率（</w:t>
            </w:r>
            <w:r>
              <w:rPr>
                <w:rFonts w:ascii="宋体" w:hAnsi="宋体" w:cs="宋体" w:eastAsia="宋体" w:hint="default"/>
                <w:sz w:val="18"/>
                <w:szCs w:val="18"/>
              </w:rPr>
              <w:t>%</w:t>
            </w:r>
            <w:r>
              <w:rPr>
                <w:rFonts w:ascii="宋体" w:hAnsi="宋体" w:cs="宋体" w:eastAsia="宋体" w:hint="default"/>
                <w:sz w:val="18"/>
                <w:szCs w:val="18"/>
              </w:rPr>
              <w:t>）</w:t>
            </w:r>
          </w:p>
        </w:tc>
        <w:tc>
          <w:tcPr>
            <w:tcW w:w="27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
              <w:ind w:left="5" w:right="0"/>
              <w:jc w:val="center"/>
              <w:rPr>
                <w:rFonts w:ascii="宋体" w:hAnsi="宋体" w:cs="宋体" w:eastAsia="宋体" w:hint="default"/>
                <w:sz w:val="18"/>
                <w:szCs w:val="18"/>
              </w:rPr>
            </w:pPr>
            <w:r>
              <w:rPr>
                <w:rFonts w:ascii="宋体" w:hAnsi="宋体" w:cs="宋体" w:eastAsia="宋体" w:hint="default"/>
                <w:sz w:val="18"/>
                <w:szCs w:val="18"/>
              </w:rPr>
              <w:t>年折旧</w:t>
            </w:r>
            <w:r>
              <w:rPr>
                <w:rFonts w:ascii="宋体" w:hAnsi="宋体" w:cs="宋体" w:eastAsia="宋体" w:hint="default"/>
                <w:sz w:val="18"/>
                <w:szCs w:val="18"/>
              </w:rPr>
              <w:t>(</w:t>
            </w:r>
            <w:r>
              <w:rPr>
                <w:rFonts w:ascii="宋体" w:hAnsi="宋体" w:cs="宋体" w:eastAsia="宋体" w:hint="default"/>
                <w:sz w:val="18"/>
                <w:szCs w:val="18"/>
              </w:rPr>
              <w:t>摊销</w:t>
            </w:r>
            <w:r>
              <w:rPr>
                <w:rFonts w:ascii="宋体" w:hAnsi="宋体" w:cs="宋体" w:eastAsia="宋体" w:hint="default"/>
                <w:sz w:val="18"/>
                <w:szCs w:val="18"/>
              </w:rPr>
              <w:t>)</w:t>
            </w:r>
            <w:r>
              <w:rPr>
                <w:rFonts w:ascii="宋体" w:hAnsi="宋体" w:cs="宋体" w:eastAsia="宋体" w:hint="default"/>
                <w:sz w:val="18"/>
                <w:szCs w:val="18"/>
              </w:rPr>
              <w:t>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77" w:hRule="exact"/>
        </w:trPr>
        <w:tc>
          <w:tcPr>
            <w:tcW w:w="22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27"/>
              <w:jc w:val="center"/>
              <w:rPr>
                <w:rFonts w:ascii="宋体" w:hAnsi="宋体" w:cs="宋体" w:eastAsia="宋体" w:hint="default"/>
                <w:sz w:val="18"/>
                <w:szCs w:val="18"/>
              </w:rPr>
            </w:pPr>
            <w:r>
              <w:rPr>
                <w:rFonts w:ascii="宋体"/>
                <w:sz w:val="18"/>
              </w:rPr>
              <w:t>20-50</w:t>
            </w:r>
          </w:p>
        </w:tc>
        <w:tc>
          <w:tcPr>
            <w:tcW w:w="2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sz w:val="18"/>
              </w:rPr>
              <w:t>5.00</w:t>
            </w:r>
          </w:p>
        </w:tc>
        <w:tc>
          <w:tcPr>
            <w:tcW w:w="27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
              <w:ind w:left="5" w:right="0"/>
              <w:jc w:val="center"/>
              <w:rPr>
                <w:rFonts w:ascii="宋体" w:hAnsi="宋体" w:cs="宋体" w:eastAsia="宋体" w:hint="default"/>
                <w:sz w:val="18"/>
                <w:szCs w:val="18"/>
              </w:rPr>
            </w:pPr>
            <w:r>
              <w:rPr>
                <w:rFonts w:ascii="宋体"/>
                <w:sz w:val="18"/>
              </w:rPr>
              <w:t>1.90-4.75</w:t>
            </w:r>
          </w:p>
        </w:tc>
      </w:tr>
    </w:tbl>
    <w:p>
      <w:pPr>
        <w:spacing w:after="0" w:line="240" w:lineRule="auto"/>
        <w:jc w:val="center"/>
        <w:rPr>
          <w:rFonts w:ascii="宋体" w:hAnsi="宋体" w:cs="宋体" w:eastAsia="宋体" w:hint="default"/>
          <w:sz w:val="18"/>
          <w:szCs w:val="18"/>
        </w:rPr>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16、固定资产" w:id="188"/>
      <w:bookmarkEnd w:id="188"/>
      <w:r>
        <w:rPr>
          <w:b w:val="0"/>
          <w:bCs w:val="0"/>
        </w:rPr>
      </w:r>
      <w:r>
        <w:rPr>
          <w:rFonts w:ascii="宋体" w:hAnsi="宋体" w:cs="宋体" w:eastAsia="宋体" w:hint="default"/>
        </w:rPr>
        <w:t>16</w:t>
      </w:r>
      <w:r>
        <w:rPr/>
        <w:t>、固定资产</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2"/>
        <w:jc w:val="left"/>
        <w:rPr>
          <w:b w:val="0"/>
          <w:bCs w:val="0"/>
        </w:rPr>
      </w:pPr>
      <w:bookmarkStart w:name="（1）确认条件" w:id="189"/>
      <w:bookmarkEnd w:id="189"/>
      <w:r>
        <w:rPr>
          <w:b w:val="0"/>
          <w:bCs w:val="0"/>
        </w:rPr>
      </w:r>
      <w:r>
        <w:rPr/>
        <w:t>（</w:t>
      </w:r>
      <w:r>
        <w:rPr>
          <w:rFonts w:ascii="宋体" w:hAnsi="宋体" w:cs="宋体" w:eastAsia="宋体" w:hint="default"/>
        </w:rPr>
        <w:t>1</w:t>
      </w:r>
      <w:r>
        <w:rPr/>
        <w:t>）确认条件</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22" w:firstLine="420"/>
        <w:jc w:val="left"/>
      </w:pPr>
      <w:r>
        <w:rPr>
          <w:spacing w:val="-1"/>
        </w:rPr>
        <w:t>固定资产是指为生产商品、提供劳务、出租或经营管理而持有的，使用寿命超过一个会计年度的有形</w:t>
      </w:r>
      <w:r>
        <w:rPr/>
        <w:t> 资产。固定资产同时满足下列条件的，才能予以确认：</w:t>
      </w:r>
    </w:p>
    <w:p>
      <w:pPr>
        <w:pStyle w:val="BodyText"/>
        <w:spacing w:line="240" w:lineRule="auto"/>
        <w:ind w:left="574" w:right="1122"/>
        <w:jc w:val="left"/>
      </w:pPr>
      <w:r>
        <w:rPr>
          <w:rFonts w:ascii="宋体" w:hAnsi="宋体" w:cs="宋体" w:eastAsia="宋体" w:hint="default"/>
        </w:rPr>
        <w:t>1</w:t>
      </w:r>
      <w:r>
        <w:rPr/>
        <w:t>）与该固定资产有关的经济利益很可能流入企业；</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rFonts w:ascii="宋体" w:hAnsi="宋体" w:cs="宋体" w:eastAsia="宋体" w:hint="default"/>
        </w:rPr>
        <w:t>2</w:t>
      </w:r>
      <w:r>
        <w:rPr/>
        <w:t>）该固定资产的成本能够可靠地计量。</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2）折旧方法" w:id="190"/>
      <w:bookmarkEnd w:id="190"/>
      <w:r>
        <w:rPr>
          <w:b w:val="0"/>
          <w:bCs w:val="0"/>
        </w:rPr>
      </w:r>
      <w:r>
        <w:rPr/>
        <w:t>（</w:t>
      </w: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9"/>
          <w:szCs w:val="9"/>
        </w:rPr>
      </w:pPr>
    </w:p>
    <w:tbl>
      <w:tblPr>
        <w:tblW w:w="0" w:type="auto"/>
        <w:jc w:val="left"/>
        <w:tblInd w:w="172" w:type="dxa"/>
        <w:tblLayout w:type="fixed"/>
        <w:tblCellMar>
          <w:top w:w="0" w:type="dxa"/>
          <w:left w:w="0" w:type="dxa"/>
          <w:bottom w:w="0" w:type="dxa"/>
          <w:right w:w="0" w:type="dxa"/>
        </w:tblCellMar>
        <w:tblLook w:val="01E0"/>
      </w:tblPr>
      <w:tblGrid>
        <w:gridCol w:w="1915"/>
        <w:gridCol w:w="1914"/>
        <w:gridCol w:w="1914"/>
        <w:gridCol w:w="1914"/>
        <w:gridCol w:w="1913"/>
      </w:tblGrid>
      <w:tr>
        <w:trPr>
          <w:trHeight w:val="490" w:hRule="exact"/>
        </w:trPr>
        <w:tc>
          <w:tcPr>
            <w:tcW w:w="19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8"/>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88"/>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82"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20-50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5.00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1.90-4.75</w:t>
            </w:r>
          </w:p>
        </w:tc>
      </w:tr>
      <w:tr>
        <w:trPr>
          <w:trHeight w:val="484"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房屋装修费</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8"/>
              <w:jc w:val="right"/>
              <w:rPr>
                <w:rFonts w:ascii="宋体" w:hAnsi="宋体" w:cs="宋体" w:eastAsia="宋体" w:hint="default"/>
                <w:sz w:val="18"/>
                <w:szCs w:val="18"/>
              </w:rPr>
            </w:pPr>
            <w:r>
              <w:rPr>
                <w:rFonts w:ascii="宋体"/>
                <w:sz w:val="18"/>
              </w:rPr>
              <w:t>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8"/>
              <w:jc w:val="right"/>
              <w:rPr>
                <w:rFonts w:ascii="宋体" w:hAnsi="宋体" w:cs="宋体" w:eastAsia="宋体" w:hint="default"/>
                <w:sz w:val="18"/>
                <w:szCs w:val="18"/>
              </w:rPr>
            </w:pPr>
            <w:r>
              <w:rPr>
                <w:rFonts w:ascii="宋体"/>
                <w:sz w:val="18"/>
              </w:rPr>
              <w:t>5.00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9.50</w:t>
            </w:r>
          </w:p>
        </w:tc>
      </w:tr>
      <w:tr>
        <w:trPr>
          <w:trHeight w:val="482"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3-10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5.00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9.50-31.67</w:t>
            </w:r>
          </w:p>
        </w:tc>
      </w:tr>
      <w:tr>
        <w:trPr>
          <w:trHeight w:val="484"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8"/>
              <w:jc w:val="right"/>
              <w:rPr>
                <w:rFonts w:ascii="宋体" w:hAnsi="宋体" w:cs="宋体" w:eastAsia="宋体" w:hint="default"/>
                <w:sz w:val="18"/>
                <w:szCs w:val="18"/>
              </w:rPr>
            </w:pPr>
            <w:r>
              <w:rPr>
                <w:rFonts w:ascii="宋体"/>
                <w:sz w:val="18"/>
              </w:rPr>
              <w:t>5-10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8"/>
              <w:jc w:val="right"/>
              <w:rPr>
                <w:rFonts w:ascii="宋体" w:hAnsi="宋体" w:cs="宋体" w:eastAsia="宋体" w:hint="default"/>
                <w:sz w:val="18"/>
                <w:szCs w:val="18"/>
              </w:rPr>
            </w:pPr>
            <w:r>
              <w:rPr>
                <w:rFonts w:ascii="宋体"/>
                <w:sz w:val="18"/>
              </w:rPr>
              <w:t>5.00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9.50-19.00</w:t>
            </w:r>
          </w:p>
        </w:tc>
      </w:tr>
      <w:tr>
        <w:trPr>
          <w:trHeight w:val="490" w:hRule="exact"/>
        </w:trPr>
        <w:tc>
          <w:tcPr>
            <w:tcW w:w="19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5</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5.00</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19.00</w:t>
            </w:r>
          </w:p>
        </w:tc>
      </w:tr>
    </w:tbl>
    <w:p>
      <w:pPr>
        <w:pStyle w:val="Heading4"/>
        <w:spacing w:line="240" w:lineRule="auto" w:before="63"/>
        <w:ind w:right="1122"/>
        <w:jc w:val="left"/>
        <w:rPr>
          <w:b w:val="0"/>
          <w:bCs w:val="0"/>
        </w:rPr>
      </w:pPr>
      <w:bookmarkStart w:name="（3）融资租入固定资产的认定依据、计价和折旧方法" w:id="191"/>
      <w:bookmarkEnd w:id="191"/>
      <w:r>
        <w:rPr>
          <w:b w:val="0"/>
          <w:bCs w:val="0"/>
        </w:rPr>
      </w:r>
      <w:r>
        <w:rPr/>
        <w:t>（</w:t>
      </w:r>
      <w:r>
        <w:rPr>
          <w:rFonts w:ascii="宋体" w:hAnsi="宋体" w:cs="宋体" w:eastAsia="宋体"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7、在建工程" w:id="192"/>
      <w:bookmarkEnd w:id="192"/>
      <w:r>
        <w:rPr>
          <w:rFonts w:ascii="宋体" w:hAnsi="宋体" w:cs="宋体" w:eastAsia="宋体" w:hint="default"/>
          <w:sz w:val="21"/>
          <w:szCs w:val="21"/>
        </w:rPr>
      </w:r>
      <w:r>
        <w:rPr>
          <w:rFonts w:ascii="宋体" w:hAnsi="宋体" w:cs="宋体" w:eastAsia="宋体"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BodyText"/>
        <w:spacing w:line="240" w:lineRule="auto"/>
        <w:ind w:right="1122"/>
        <w:jc w:val="left"/>
      </w:pPr>
      <w:r>
        <w:rPr/>
        <w:t>公司是否需要遵守特殊行业的披露要求</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是 √ 否</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spacing w:val="-1"/>
        </w:rPr>
        <w:t>在建工程按实际发生的成本计量。实际成本包括建筑费用、其他为使在建工程达到预定可使用状态所</w:t>
      </w:r>
      <w:r>
        <w:rPr/>
        <w:t> </w:t>
      </w:r>
      <w:r>
        <w:rPr>
          <w:spacing w:val="-1"/>
        </w:rPr>
        <w:t>发生的必要支出以及在资产达到预定可使用状态之前所发生的符合资本化条件的借款费用。在建工程在达</w:t>
      </w:r>
      <w:r>
        <w:rPr>
          <w:spacing w:val="-81"/>
        </w:rPr>
        <w:t> </w:t>
      </w:r>
      <w:r>
        <w:rPr>
          <w:spacing w:val="-81"/>
        </w:rPr>
      </w:r>
      <w:r>
        <w:rPr/>
        <w:t>到预定可使用状态时，转入固定资产并自次月起开始计提折旧。</w:t>
      </w:r>
    </w:p>
    <w:p>
      <w:pPr>
        <w:pStyle w:val="Heading4"/>
        <w:spacing w:line="240" w:lineRule="auto" w:before="46"/>
        <w:ind w:right="1122"/>
        <w:jc w:val="left"/>
        <w:rPr>
          <w:b w:val="0"/>
          <w:bCs w:val="0"/>
        </w:rPr>
      </w:pPr>
      <w:bookmarkStart w:name="18、借款费用" w:id="193"/>
      <w:bookmarkEnd w:id="193"/>
      <w:r>
        <w:rPr>
          <w:b w:val="0"/>
          <w:bCs w:val="0"/>
        </w:rPr>
      </w:r>
      <w:r>
        <w:rPr>
          <w:rFonts w:ascii="宋体" w:hAnsi="宋体" w:cs="宋体" w:eastAsia="宋体" w:hint="default"/>
        </w:rPr>
        <w:t>18</w:t>
      </w:r>
      <w:r>
        <w:rPr/>
        <w:t>、借款费用</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023" w:firstLine="420"/>
        <w:jc w:val="left"/>
      </w:pPr>
      <w:r>
        <w:rPr>
          <w:spacing w:val="3"/>
        </w:rPr>
        <w:t>发生的可直接归属于需要经过相当长时间的购建活动才能达到预定可使用状态之固定资产的购建的</w:t>
      </w:r>
      <w:r>
        <w:rPr/>
        <w:t> </w:t>
      </w:r>
      <w:r>
        <w:rPr>
          <w:spacing w:val="-3"/>
        </w:rPr>
        <w:t>借款费用，在资产支出及借款费用已经发生、为使资产达到预定可使用状态所必要的购建活动已经开始时，</w:t>
      </w:r>
      <w:r>
        <w:rPr>
          <w:spacing w:val="-92"/>
        </w:rPr>
        <w:t> </w:t>
      </w:r>
      <w:r>
        <w:rPr>
          <w:spacing w:val="-92"/>
        </w:rPr>
      </w:r>
      <w:r>
        <w:rPr/>
        <w:t>开始资本化并计入该资产的成本。当购建的资产达到预定可使用状态时停止资本化，其后发生的借款费用</w:t>
      </w:r>
      <w:r>
        <w:rPr/>
        <w:t> 计入当期损益。如果资产的购建活动发生非正常中断，并且中断时间连续超过</w:t>
      </w:r>
      <w:r>
        <w:rPr>
          <w:rFonts w:ascii="宋体" w:hAnsi="宋体" w:cs="宋体" w:eastAsia="宋体" w:hint="default"/>
        </w:rPr>
        <w:t>3</w:t>
      </w:r>
      <w:r>
        <w:rPr/>
        <w:t>个月，暂停借款费用的资</w:t>
      </w:r>
      <w:r>
        <w:rPr>
          <w:spacing w:val="-25"/>
        </w:rPr>
        <w:t> </w:t>
      </w:r>
      <w:r>
        <w:rPr>
          <w:spacing w:val="-25"/>
        </w:rPr>
      </w:r>
      <w:r>
        <w:rPr/>
        <w:t>本化，直至资产的购建活动重新开始。</w:t>
      </w:r>
    </w:p>
    <w:p>
      <w:pPr>
        <w:pStyle w:val="BodyText"/>
        <w:spacing w:line="408" w:lineRule="auto"/>
        <w:ind w:right="1122" w:firstLine="420"/>
        <w:jc w:val="left"/>
      </w:pPr>
      <w:r>
        <w:rPr>
          <w:spacing w:val="-1"/>
        </w:rPr>
        <w:t>在资本化期间内，专门借款（指为购建或者生产符合资本化条件的资产而专门借入的款项）以专门借</w:t>
      </w:r>
      <w:r>
        <w:rPr/>
        <w:t> </w:t>
      </w:r>
      <w:r>
        <w:rPr>
          <w:spacing w:val="-1"/>
        </w:rPr>
        <w:t>款当期实际发生的利息费用，减去将尚未动用的借款资金存入银行取得的利息收入或进行暂时性投资取得</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的投资收益后确定应予资本化的利息金额；一般借款则根据累计资产支出超过专门借款部分的资产支出加</w:t>
      </w:r>
      <w:r>
        <w:rPr>
          <w:spacing w:val="-81"/>
        </w:rPr>
        <w:t> </w:t>
      </w:r>
      <w:r>
        <w:rPr>
          <w:spacing w:val="-81"/>
        </w:rPr>
      </w:r>
      <w:r>
        <w:rPr>
          <w:spacing w:val="-1"/>
        </w:rPr>
        <w:t>权平均数乘以所占用一般借款的资本化率，计算确定一般借款应予资本化的利息金额。资本化率根据一般</w:t>
      </w:r>
      <w:r>
        <w:rPr>
          <w:spacing w:val="-81"/>
        </w:rPr>
        <w:t> </w:t>
      </w:r>
      <w:r>
        <w:rPr>
          <w:spacing w:val="-81"/>
        </w:rPr>
      </w:r>
      <w:r>
        <w:rPr/>
        <w:t>借款加权平均利率计算确定。</w:t>
      </w:r>
    </w:p>
    <w:p>
      <w:pPr>
        <w:pStyle w:val="BodyText"/>
        <w:spacing w:line="408" w:lineRule="auto"/>
        <w:ind w:right="1122" w:firstLine="420"/>
        <w:jc w:val="left"/>
      </w:pPr>
      <w:r>
        <w:rPr>
          <w:spacing w:val="-1"/>
        </w:rPr>
        <w:t>借款存在折价或者溢价的，按照实际利率法确定每一会计期间应摊销的折价或者溢价金额，调整每期</w:t>
      </w:r>
      <w:r>
        <w:rPr/>
        <w:t> 利息金额。</w:t>
      </w:r>
    </w:p>
    <w:p>
      <w:pPr>
        <w:pStyle w:val="Heading4"/>
        <w:spacing w:line="240" w:lineRule="auto" w:before="46"/>
        <w:ind w:right="1122"/>
        <w:jc w:val="left"/>
        <w:rPr>
          <w:b w:val="0"/>
          <w:bCs w:val="0"/>
        </w:rPr>
      </w:pPr>
      <w:bookmarkStart w:name="19、生物资产" w:id="194"/>
      <w:bookmarkEnd w:id="194"/>
      <w:r>
        <w:rPr>
          <w:b w:val="0"/>
          <w:bCs w:val="0"/>
        </w:rPr>
      </w:r>
      <w:r>
        <w:rPr>
          <w:rFonts w:ascii="Times New Roman" w:hAnsi="Times New Roman" w:cs="Times New Roman" w:eastAsia="Times New Roman" w:hint="default"/>
        </w:rPr>
        <w:t>19</w:t>
      </w:r>
      <w:r>
        <w:rPr/>
        <w:t>、生物资产</w:t>
      </w:r>
      <w:r>
        <w:rPr>
          <w:b w:val="0"/>
          <w:bCs w:val="0"/>
        </w:rPr>
      </w:r>
    </w:p>
    <w:p>
      <w:pPr>
        <w:pStyle w:val="BodyText"/>
        <w:spacing w:line="240" w:lineRule="auto" w:before="177"/>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20、油气资产" w:id="195"/>
      <w:bookmarkEnd w:id="195"/>
      <w:r>
        <w:rPr>
          <w:b w:val="0"/>
          <w:bCs w:val="0"/>
        </w:rPr>
      </w:r>
      <w:r>
        <w:rPr>
          <w:rFonts w:ascii="Times New Roman" w:hAnsi="Times New Roman" w:cs="Times New Roman" w:eastAsia="Times New Roman" w:hint="default"/>
        </w:rPr>
        <w:t>20</w:t>
      </w:r>
      <w:r>
        <w:rPr/>
        <w:t>、油气资产</w:t>
      </w:r>
      <w:r>
        <w:rPr>
          <w:b w:val="0"/>
          <w:bCs w:val="0"/>
        </w:rPr>
      </w:r>
    </w:p>
    <w:p>
      <w:pPr>
        <w:spacing w:line="408" w:lineRule="auto" w:before="177"/>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1、无形资产" w:id="196"/>
      <w:bookmarkEnd w:id="196"/>
      <w:r>
        <w:rPr>
          <w:rFonts w:ascii="宋体" w:hAnsi="宋体" w:cs="宋体" w:eastAsia="宋体" w:hint="default"/>
          <w:sz w:val="21"/>
          <w:szCs w:val="21"/>
        </w:rPr>
      </w:r>
      <w:r>
        <w:rPr>
          <w:rFonts w:ascii="宋体" w:hAnsi="宋体" w:cs="宋体" w:eastAsia="宋体"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408" w:lineRule="auto" w:before="46"/>
        <w:ind w:left="154" w:right="7182" w:firstLine="0"/>
        <w:jc w:val="left"/>
        <w:rPr>
          <w:rFonts w:ascii="宋体" w:hAnsi="宋体" w:cs="宋体" w:eastAsia="宋体" w:hint="default"/>
          <w:sz w:val="21"/>
          <w:szCs w:val="21"/>
        </w:rPr>
      </w:pPr>
      <w:bookmarkStart w:name="（1）计价方法、使用寿命、减值测试" w:id="197"/>
      <w:bookmarkEnd w:id="19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公司是否需要遵守特殊行业的披露要求</w:t>
      </w:r>
    </w:p>
    <w:p>
      <w:pPr>
        <w:pStyle w:val="BodyText"/>
        <w:spacing w:line="240" w:lineRule="auto"/>
        <w:ind w:right="1122"/>
        <w:jc w:val="left"/>
      </w:pPr>
      <w:r>
        <w:rPr/>
        <w:t>□ 是 √ 否</w:t>
      </w:r>
    </w:p>
    <w:p>
      <w:pPr>
        <w:spacing w:line="240" w:lineRule="auto" w:before="10"/>
        <w:rPr>
          <w:rFonts w:ascii="宋体" w:hAnsi="宋体" w:cs="宋体" w:eastAsia="宋体" w:hint="default"/>
          <w:sz w:val="14"/>
          <w:szCs w:val="14"/>
        </w:rPr>
      </w:pPr>
    </w:p>
    <w:p>
      <w:pPr>
        <w:pStyle w:val="BodyText"/>
        <w:spacing w:line="408" w:lineRule="auto" w:before="0"/>
        <w:ind w:right="1131" w:firstLine="423"/>
        <w:jc w:val="both"/>
      </w:pPr>
      <w:r>
        <w:rPr/>
        <w:t>无形资产包括土地使用权、专利权及非专利技术、通过建设经营移交方式</w:t>
      </w:r>
      <w:r>
        <w:rPr>
          <w:rFonts w:ascii="宋体" w:hAnsi="宋体" w:cs="宋体" w:eastAsia="宋体" w:hint="default"/>
        </w:rPr>
        <w:t>(BOT)</w:t>
      </w:r>
      <w:r>
        <w:rPr/>
        <w:t>取得的资产等。无形 </w:t>
      </w:r>
      <w:r>
        <w:rPr>
          <w:spacing w:val="-1"/>
        </w:rPr>
        <w:t>资产以实际成本计量。公司制改建时国有股股东投入的无形资产，按国有资产管理部门确认的评估值作为</w:t>
      </w:r>
      <w:r>
        <w:rPr>
          <w:spacing w:val="-81"/>
        </w:rPr>
        <w:t> </w:t>
      </w:r>
      <w:r>
        <w:rPr>
          <w:spacing w:val="-81"/>
        </w:rPr>
      </w:r>
      <w:r>
        <w:rPr/>
        <w:t>入账价值。</w:t>
      </w:r>
    </w:p>
    <w:p>
      <w:pPr>
        <w:pStyle w:val="BodyText"/>
        <w:spacing w:line="408" w:lineRule="auto"/>
        <w:ind w:right="1122" w:firstLine="423"/>
        <w:jc w:val="left"/>
      </w:pPr>
      <w:r>
        <w:rPr>
          <w:spacing w:val="-1"/>
        </w:rPr>
        <w:t>土地使用权按使用年限</w:t>
      </w:r>
      <w:r>
        <w:rPr>
          <w:rFonts w:ascii="宋体" w:hAnsi="宋体" w:cs="宋体" w:eastAsia="宋体" w:hint="default"/>
          <w:spacing w:val="-1"/>
        </w:rPr>
        <w:t>50</w:t>
      </w:r>
      <w:r>
        <w:rPr>
          <w:spacing w:val="-1"/>
        </w:rPr>
        <w:t>年平均摊销。外购土地及建筑物的价款难以在土地使用权与建筑物之间合理</w:t>
      </w:r>
      <w:r>
        <w:rPr/>
        <w:t> 分配的，全部作为固定资产。专利权按法律规定的有效年限</w:t>
      </w:r>
      <w:r>
        <w:rPr>
          <w:rFonts w:ascii="宋体" w:hAnsi="宋体" w:cs="宋体" w:eastAsia="宋体" w:hint="default"/>
        </w:rPr>
        <w:t>10</w:t>
      </w:r>
      <w:r>
        <w:rPr/>
        <w:t>年平均摊销。软件按</w:t>
      </w:r>
      <w:r>
        <w:rPr>
          <w:rFonts w:ascii="宋体" w:hAnsi="宋体" w:cs="宋体" w:eastAsia="宋体" w:hint="default"/>
        </w:rPr>
        <w:t>10</w:t>
      </w:r>
      <w:r>
        <w:rPr/>
        <w:t>年平均摊销。 对使用寿命有限的无形资产的预计使用寿命及摊销方法于每年年度终了进行复核并作适当调整。</w:t>
      </w:r>
    </w:p>
    <w:p>
      <w:pPr>
        <w:spacing w:line="408" w:lineRule="auto" w:before="46"/>
        <w:ind w:left="577" w:right="1122" w:hanging="424"/>
        <w:jc w:val="left"/>
        <w:rPr>
          <w:rFonts w:ascii="宋体" w:hAnsi="宋体" w:cs="宋体" w:eastAsia="宋体" w:hint="default"/>
          <w:sz w:val="21"/>
          <w:szCs w:val="21"/>
        </w:rPr>
      </w:pPr>
      <w:bookmarkStart w:name="（2）内部研究开发支出会计政策" w:id="198"/>
      <w:bookmarkEnd w:id="198"/>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根据内部研究开发项目支出的性质以及研发活动最终形成无形资产是否具有较大不确定性，分为研究</w:t>
      </w:r>
    </w:p>
    <w:p>
      <w:pPr>
        <w:pStyle w:val="BodyText"/>
        <w:spacing w:line="408" w:lineRule="auto"/>
        <w:ind w:left="577" w:right="1122" w:hanging="424"/>
        <w:jc w:val="left"/>
      </w:pPr>
      <w:r>
        <w:rPr/>
        <w:t>阶段支出和开发阶段支出。 </w:t>
      </w:r>
      <w:r>
        <w:rPr>
          <w:spacing w:val="-6"/>
        </w:rPr>
        <w:t>研究阶段的支出，于发生时计入当期损益；开发阶段的支出，同时满足下列条件的，确认为无形资产：</w:t>
      </w:r>
      <w:r>
        <w:rPr/>
        <w:t> </w:t>
      </w:r>
      <w:r>
        <w:rPr>
          <w:rFonts w:ascii="宋体" w:hAnsi="宋体" w:cs="宋体" w:eastAsia="宋体" w:hint="default"/>
        </w:rPr>
        <w:t>1</w:t>
      </w:r>
      <w:r>
        <w:rPr/>
        <w:t>）完成该无形资产以使其能够使用或出售在技术上具有可行性；</w:t>
      </w:r>
    </w:p>
    <w:p>
      <w:pPr>
        <w:pStyle w:val="BodyText"/>
        <w:spacing w:line="240" w:lineRule="auto"/>
        <w:ind w:left="577" w:right="1122"/>
        <w:jc w:val="left"/>
      </w:pPr>
      <w:r>
        <w:rPr>
          <w:rFonts w:ascii="宋体" w:hAnsi="宋体" w:cs="宋体" w:eastAsia="宋体" w:hint="default"/>
        </w:rPr>
        <w:t>2</w:t>
      </w:r>
      <w:r>
        <w:rPr/>
        <w:t>）管理层具有完成该无形资产并使用或出售的意图；</w:t>
      </w:r>
    </w:p>
    <w:p>
      <w:pPr>
        <w:spacing w:line="240" w:lineRule="auto" w:before="10"/>
        <w:rPr>
          <w:rFonts w:ascii="宋体" w:hAnsi="宋体" w:cs="宋体" w:eastAsia="宋体" w:hint="default"/>
          <w:sz w:val="14"/>
          <w:szCs w:val="14"/>
        </w:rPr>
      </w:pPr>
    </w:p>
    <w:p>
      <w:pPr>
        <w:pStyle w:val="BodyText"/>
        <w:spacing w:line="240" w:lineRule="auto" w:before="0"/>
        <w:ind w:left="577" w:right="1122"/>
        <w:jc w:val="left"/>
      </w:pPr>
      <w:r>
        <w:rPr>
          <w:rFonts w:ascii="宋体" w:hAnsi="宋体" w:cs="宋体" w:eastAsia="宋体" w:hint="default"/>
        </w:rPr>
        <w:t>3</w:t>
      </w:r>
      <w:r>
        <w:rPr/>
        <w:t>）能够证明该无形资产将如何产生经济利益；</w:t>
      </w:r>
    </w:p>
    <w:p>
      <w:pPr>
        <w:spacing w:line="240" w:lineRule="auto" w:before="10"/>
        <w:rPr>
          <w:rFonts w:ascii="宋体" w:hAnsi="宋体" w:cs="宋体" w:eastAsia="宋体" w:hint="default"/>
          <w:sz w:val="14"/>
          <w:szCs w:val="14"/>
        </w:rPr>
      </w:pPr>
    </w:p>
    <w:p>
      <w:pPr>
        <w:pStyle w:val="BodyText"/>
        <w:spacing w:line="408" w:lineRule="auto" w:before="0"/>
        <w:ind w:right="1122" w:firstLine="423"/>
        <w:jc w:val="left"/>
      </w:pPr>
      <w:r>
        <w:rPr>
          <w:rFonts w:ascii="宋体" w:hAnsi="宋体" w:cs="宋体" w:eastAsia="宋体" w:hint="default"/>
        </w:rPr>
        <w:t>4</w:t>
      </w:r>
      <w:r>
        <w:rPr/>
        <w:t>）有足够的技术、财务资源和其他资源支持，以完成该无形资产的开发，并有能力使用或出售该无 形资产；</w:t>
      </w:r>
    </w:p>
    <w:p>
      <w:pPr>
        <w:pStyle w:val="BodyText"/>
        <w:spacing w:line="408" w:lineRule="auto"/>
        <w:ind w:left="577" w:right="1122"/>
        <w:jc w:val="left"/>
      </w:pPr>
      <w:r>
        <w:rPr>
          <w:rFonts w:ascii="宋体" w:hAnsi="宋体" w:cs="宋体" w:eastAsia="宋体" w:hint="default"/>
        </w:rPr>
        <w:t>5</w:t>
      </w:r>
      <w:r>
        <w:rPr/>
        <w:t>）归属于该无形资产开发阶段的支出能够可靠地计量。 </w:t>
      </w:r>
      <w:r>
        <w:rPr>
          <w:spacing w:val="-1"/>
        </w:rPr>
        <w:t>不满足上述条件的开发阶段的支出，于发生时计入当期损益。前期已计入损益的开发支出不在以后期</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22"/>
        <w:jc w:val="left"/>
      </w:pPr>
      <w:r>
        <w:rPr>
          <w:spacing w:val="-1"/>
        </w:rPr>
        <w:t>间确认为资产。已资本化的开发阶段的支出在资产负债表上列示为开发支出，自该项目达到预定可使用状</w:t>
      </w:r>
      <w:r>
        <w:rPr>
          <w:spacing w:val="-81"/>
        </w:rPr>
        <w:t> </w:t>
      </w:r>
      <w:r>
        <w:rPr>
          <w:spacing w:val="-81"/>
        </w:rPr>
      </w:r>
      <w:r>
        <w:rPr/>
        <w:t>态之日起转为无形资产。</w:t>
      </w:r>
    </w:p>
    <w:p>
      <w:pPr>
        <w:spacing w:line="408" w:lineRule="auto" w:before="46"/>
        <w:ind w:left="154" w:right="3402" w:firstLine="420"/>
        <w:jc w:val="left"/>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当开发支出的可收回金额低于其账面价值时，账面价值减记至可收回金额。 </w:t>
      </w:r>
      <w:bookmarkStart w:name="22、长期资产减值" w:id="199"/>
      <w:bookmarkEnd w:id="199"/>
      <w:r>
        <w:rPr>
          <w:rFonts w:ascii="宋体" w:hAnsi="宋体" w:cs="宋体" w:eastAsia="宋体" w:hint="default"/>
          <w:sz w:val="21"/>
          <w:szCs w:val="21"/>
        </w:rPr>
      </w:r>
      <w:r>
        <w:rPr>
          <w:rFonts w:ascii="宋体" w:hAnsi="宋体" w:cs="宋体" w:eastAsia="宋体"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pStyle w:val="BodyText"/>
        <w:spacing w:line="408" w:lineRule="auto"/>
        <w:ind w:right="1131" w:firstLine="420"/>
        <w:jc w:val="both"/>
      </w:pPr>
      <w:r>
        <w:rPr>
          <w:spacing w:val="-1"/>
        </w:rPr>
        <w:t>在财务报表中单独列示的商誉和使用寿命不确定的无形资产，无论是否存在减值迹象，至少每年进行</w:t>
      </w:r>
      <w:r>
        <w:rPr/>
        <w:t> </w:t>
      </w:r>
      <w:r>
        <w:rPr>
          <w:spacing w:val="-1"/>
        </w:rPr>
        <w:t>减值测试。固定资产、无形资产、以成本模式计量的投资性房地产及长期股权投资等，于资产负债表日存</w:t>
      </w:r>
      <w:r>
        <w:rPr>
          <w:spacing w:val="-86"/>
        </w:rPr>
        <w:t> </w:t>
      </w:r>
      <w:r>
        <w:rPr>
          <w:spacing w:val="-86"/>
        </w:rPr>
      </w:r>
      <w:r>
        <w:rPr>
          <w:spacing w:val="-1"/>
        </w:rPr>
        <w:t>在减值迹象的，进行减值测试。减值测试结果表明资产的可收回金额低于其账面价值的，按其差额计提减</w:t>
      </w:r>
      <w:r>
        <w:rPr>
          <w:spacing w:val="-83"/>
        </w:rPr>
        <w:t> </w:t>
      </w:r>
      <w:r>
        <w:rPr>
          <w:spacing w:val="-83"/>
        </w:rPr>
      </w:r>
      <w:r>
        <w:rPr>
          <w:spacing w:val="-1"/>
        </w:rPr>
        <w:t>值准备并计入减值损失。可收回金额为资产的公允价值减去处置费用后的净额与资产预计未来现金流量的</w:t>
      </w:r>
      <w:r>
        <w:rPr>
          <w:spacing w:val="-81"/>
        </w:rPr>
        <w:t> </w:t>
      </w:r>
      <w:r>
        <w:rPr>
          <w:spacing w:val="-81"/>
        </w:rPr>
      </w:r>
      <w:r>
        <w:rPr>
          <w:spacing w:val="-1"/>
        </w:rPr>
        <w:t>现值两者之间的较高者。资产减值准备按单项资产为基础计算并确认，如果难以对单项资产的可收回金额</w:t>
      </w:r>
      <w:r>
        <w:rPr>
          <w:spacing w:val="-81"/>
        </w:rPr>
        <w:t> </w:t>
      </w:r>
      <w:r>
        <w:rPr>
          <w:spacing w:val="-81"/>
        </w:rPr>
      </w:r>
      <w:r>
        <w:rPr>
          <w:spacing w:val="-1"/>
        </w:rPr>
        <w:t>进行估计的，以该资产所属的资产组确定资产组的可收回金额。资产组是能够独立产生现金流入的最小资</w:t>
      </w:r>
      <w:r>
        <w:rPr>
          <w:spacing w:val="-81"/>
        </w:rPr>
        <w:t> </w:t>
      </w:r>
      <w:r>
        <w:rPr>
          <w:spacing w:val="-81"/>
        </w:rPr>
      </w:r>
      <w:r>
        <w:rPr/>
        <w:t>产组合。前述资产减值损失一经确认，如果在以后期间价值得以恢复，也不予转回。</w:t>
      </w:r>
    </w:p>
    <w:p>
      <w:pPr>
        <w:pStyle w:val="BodyText"/>
        <w:spacing w:line="408" w:lineRule="auto"/>
        <w:ind w:left="574" w:right="1302" w:hanging="420"/>
        <w:jc w:val="left"/>
      </w:pPr>
      <w:bookmarkStart w:name="23、长期待摊费用" w:id="200"/>
      <w:bookmarkEnd w:id="200"/>
      <w:r>
        <w:rPr/>
      </w:r>
      <w:r>
        <w:rPr>
          <w:rFonts w:ascii="宋体" w:hAnsi="宋体" w:cs="宋体" w:eastAsia="宋体" w:hint="default"/>
          <w:b/>
          <w:bCs/>
        </w:rPr>
        <w:t>23</w:t>
      </w:r>
      <w:r>
        <w:rPr>
          <w:rFonts w:ascii="宋体" w:hAnsi="宋体" w:cs="宋体" w:eastAsia="宋体" w:hint="default"/>
          <w:b/>
          <w:bCs/>
        </w:rPr>
        <w:t>、长期待摊费用</w:t>
      </w:r>
      <w:r>
        <w:rPr>
          <w:rFonts w:ascii="宋体" w:hAnsi="宋体" w:cs="宋体" w:eastAsia="宋体" w:hint="default"/>
          <w:b/>
          <w:bCs/>
          <w:w w:val="99"/>
        </w:rPr>
        <w:t> </w:t>
      </w:r>
      <w:r>
        <w:rPr/>
        <w:t>长期待摊费用包括经营租入固定资产改良及其他已经发生但应由本期和以后各期负担的分摊期限在</w:t>
      </w:r>
    </w:p>
    <w:p>
      <w:pPr>
        <w:pStyle w:val="BodyText"/>
        <w:spacing w:line="408" w:lineRule="auto"/>
        <w:ind w:right="1722"/>
        <w:jc w:val="left"/>
        <w:rPr>
          <w:rFonts w:ascii="宋体" w:hAnsi="宋体" w:cs="宋体" w:eastAsia="宋体" w:hint="default"/>
        </w:rPr>
      </w:pPr>
      <w:r>
        <w:rPr/>
        <w:t>一年以上的各项费用，按预计受益期间分期平均摊销，并以实际支出减去累计摊销后的净额列示。 </w:t>
      </w:r>
      <w:bookmarkStart w:name="24、职工薪酬" w:id="201"/>
      <w:bookmarkEnd w:id="201"/>
      <w:r>
        <w:rPr/>
      </w:r>
      <w:r>
        <w:rPr>
          <w:rFonts w:ascii="宋体" w:hAnsi="宋体" w:cs="宋体" w:eastAsia="宋体" w:hint="default"/>
          <w:b/>
          <w:bCs/>
        </w:rPr>
        <w:t>24</w:t>
      </w:r>
      <w:r>
        <w:rPr>
          <w:rFonts w:ascii="宋体" w:hAnsi="宋体" w:cs="宋体" w:eastAsia="宋体" w:hint="default"/>
          <w:b/>
          <w:bCs/>
        </w:rPr>
        <w:t>、职工薪酬</w:t>
      </w:r>
      <w:r>
        <w:rPr>
          <w:rFonts w:ascii="宋体" w:hAnsi="宋体" w:cs="宋体" w:eastAsia="宋体" w:hint="default"/>
        </w:rPr>
      </w:r>
    </w:p>
    <w:p>
      <w:pPr>
        <w:spacing w:line="408" w:lineRule="auto" w:before="46"/>
        <w:ind w:left="574" w:right="1122" w:hanging="420"/>
        <w:jc w:val="left"/>
        <w:rPr>
          <w:rFonts w:ascii="宋体" w:hAnsi="宋体" w:cs="宋体" w:eastAsia="宋体" w:hint="default"/>
          <w:sz w:val="21"/>
          <w:szCs w:val="21"/>
        </w:rPr>
      </w:pPr>
      <w:bookmarkStart w:name="（1）短期薪酬的会计处理方法" w:id="202"/>
      <w:bookmarkEnd w:id="20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BodyText"/>
        <w:spacing w:line="408" w:lineRule="auto"/>
        <w:ind w:right="1027"/>
        <w:jc w:val="left"/>
      </w:pPr>
      <w:r>
        <w:rPr/>
        <w:t>成本。发生的职工福利费，在实际发生时根据实际发生额计入当期损益或相关资产成本。职工福利费为非 货币性福利的，按照公允价值计量。为职工缴纳的医疗保险费、工伤保险费、生育保险费等社会保险费和 住房公积金，以及按规定提取的工会经费和职工教育经费，在职工为公司提供服务的会计期间，根据规定 的计提基础和计提比例计算确定相应的职工薪酬金额，并确认相应负债，计入当期损益或相关资产成本。</w:t>
      </w:r>
      <w:r>
        <w:rPr>
          <w:spacing w:val="-38"/>
        </w:rPr>
        <w:t> </w:t>
      </w:r>
      <w:r>
        <w:rPr>
          <w:spacing w:val="-38"/>
        </w:rPr>
      </w:r>
      <w:r>
        <w:rPr/>
        <w:t>在职工提供服务从而增加了其未来享有的带薪缺勤权利时，确认与累积带薪缺勤相关的职工薪酬，并以累</w:t>
      </w:r>
      <w:r>
        <w:rPr/>
        <w:t> 积未行使权利而增加的预期支付金额计量。在职工实际发生缺勤的会计期间确认与非累积带薪缺勤相关的 职工薪酬。</w:t>
      </w:r>
    </w:p>
    <w:p>
      <w:pPr>
        <w:pStyle w:val="BodyText"/>
        <w:spacing w:line="408" w:lineRule="auto"/>
        <w:ind w:left="574" w:right="4032"/>
        <w:jc w:val="left"/>
      </w:pPr>
      <w:r>
        <w:rPr/>
        <w:t>利润分享计划同时满足下列条件时，公司确认相关的应付职工薪酬： </w:t>
      </w:r>
      <w:r>
        <w:rPr>
          <w:rFonts w:ascii="宋体" w:hAnsi="宋体" w:cs="宋体" w:eastAsia="宋体" w:hint="default"/>
        </w:rPr>
        <w:t>1</w:t>
      </w:r>
      <w:r>
        <w:rPr/>
        <w:t>）因过去事项导致现在具有支付职工薪酬的法定义务或推定义务；</w:t>
      </w:r>
    </w:p>
    <w:p>
      <w:pPr>
        <w:pStyle w:val="BodyText"/>
        <w:spacing w:line="240" w:lineRule="auto"/>
        <w:ind w:left="574" w:right="1122"/>
        <w:jc w:val="left"/>
      </w:pPr>
      <w:r>
        <w:rPr>
          <w:rFonts w:ascii="宋体" w:hAnsi="宋体" w:cs="宋体" w:eastAsia="宋体" w:hint="default"/>
        </w:rPr>
        <w:t>2</w:t>
      </w:r>
      <w:r>
        <w:rPr/>
        <w:t>）因利润分享计划所产生的应付职工薪酬义务金额能够可靠估计。</w:t>
      </w:r>
    </w:p>
    <w:p>
      <w:pPr>
        <w:spacing w:line="240" w:lineRule="auto" w:before="10"/>
        <w:rPr>
          <w:rFonts w:ascii="宋体" w:hAnsi="宋体" w:cs="宋体" w:eastAsia="宋体" w:hint="default"/>
          <w:sz w:val="14"/>
          <w:szCs w:val="14"/>
        </w:rPr>
      </w:pPr>
    </w:p>
    <w:p>
      <w:pPr>
        <w:spacing w:line="408" w:lineRule="auto" w:before="0"/>
        <w:ind w:left="154" w:right="7695" w:firstLine="0"/>
        <w:jc w:val="left"/>
        <w:rPr>
          <w:rFonts w:ascii="宋体" w:hAnsi="宋体" w:cs="宋体" w:eastAsia="宋体" w:hint="default"/>
          <w:sz w:val="21"/>
          <w:szCs w:val="21"/>
        </w:rPr>
      </w:pPr>
      <w:bookmarkStart w:name="（2）离职后福利的会计处理方法" w:id="203"/>
      <w:bookmarkEnd w:id="203"/>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设定提存计划</w:t>
      </w:r>
    </w:p>
    <w:p>
      <w:pPr>
        <w:pStyle w:val="BodyText"/>
        <w:spacing w:line="240" w:lineRule="auto"/>
        <w:ind w:left="574" w:right="0"/>
        <w:jc w:val="left"/>
      </w:pPr>
      <w:r>
        <w:rPr/>
        <w:t>公司在职工为其提供服务的会计期间，将根据设定提存计划计算的应缴存金额确认为负债，并计入当</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期损益或相关资产成本。根据设定提存计划，预期不会在职工提供相关服务的年度报告期结束后十二个月</w:t>
      </w:r>
      <w:r>
        <w:rPr>
          <w:spacing w:val="-81"/>
        </w:rPr>
        <w:t> </w:t>
      </w:r>
      <w:r>
        <w:rPr>
          <w:spacing w:val="-81"/>
        </w:rPr>
      </w:r>
      <w:r>
        <w:rPr/>
        <w:t>内支付全部应缴存金额的，公司将全部应缴存金额以折现后的金额计量应付职工薪酬。</w:t>
      </w:r>
    </w:p>
    <w:p>
      <w:pPr>
        <w:pStyle w:val="BodyText"/>
        <w:spacing w:line="408" w:lineRule="auto"/>
        <w:ind w:left="574" w:right="5502" w:hanging="420"/>
        <w:jc w:val="left"/>
      </w:pPr>
      <w:r>
        <w:rPr>
          <w:rFonts w:ascii="宋体" w:hAnsi="宋体" w:cs="宋体" w:eastAsia="宋体" w:hint="default"/>
        </w:rPr>
        <w:t>2.</w:t>
      </w:r>
      <w:r>
        <w:rPr/>
        <w:t>设定受益计划 公司对设定受益计划的会计处理包括下列四个步骤：</w:t>
      </w:r>
    </w:p>
    <w:p>
      <w:pPr>
        <w:pStyle w:val="BodyText"/>
        <w:spacing w:line="408" w:lineRule="auto"/>
        <w:ind w:right="1131" w:firstLine="420"/>
        <w:jc w:val="both"/>
      </w:pPr>
      <w:r>
        <w:rPr>
          <w:rFonts w:ascii="宋体" w:hAnsi="宋体" w:cs="宋体" w:eastAsia="宋体" w:hint="default"/>
        </w:rPr>
        <w:t>1</w:t>
      </w:r>
      <w:r>
        <w:rPr/>
        <w:t>）根据预期累计福利单位法，采用无偏且相互一致的精算假设对有关人口统计变量和财务变量等做 </w:t>
      </w:r>
      <w:r>
        <w:rPr>
          <w:spacing w:val="-1"/>
        </w:rPr>
        <w:t>出估计，计量设定受益计划所产生的义务，并确定相关义务的归属期间。公司将设定受益计划所产生的义</w:t>
      </w:r>
      <w:r>
        <w:rPr>
          <w:spacing w:val="-83"/>
        </w:rPr>
        <w:t> </w:t>
      </w:r>
      <w:r>
        <w:rPr>
          <w:spacing w:val="-83"/>
        </w:rPr>
      </w:r>
      <w:r>
        <w:rPr/>
        <w:t>务予以折现，以确定设定受益计划义务的现值和当期服务成本。</w:t>
      </w:r>
    </w:p>
    <w:p>
      <w:pPr>
        <w:pStyle w:val="BodyText"/>
        <w:spacing w:line="408" w:lineRule="auto"/>
        <w:ind w:right="1128" w:firstLine="420"/>
        <w:jc w:val="both"/>
      </w:pPr>
      <w:r>
        <w:rPr>
          <w:rFonts w:ascii="宋体" w:hAnsi="宋体" w:cs="宋体" w:eastAsia="宋体" w:hint="default"/>
        </w:rPr>
        <w:t>2</w:t>
      </w:r>
      <w:r>
        <w:rPr/>
        <w:t>）设定受益计划存在资产的，公司将设定受益计划义务现值减去设定受益计划资产公允价值所形成</w:t>
      </w:r>
      <w:r>
        <w:rPr>
          <w:spacing w:val="2"/>
        </w:rPr>
        <w:t> </w:t>
      </w:r>
      <w:r>
        <w:rPr>
          <w:spacing w:val="-1"/>
        </w:rPr>
        <w:t>的赤字或盈余确认为一项设定受益计划净负债或净资产。设定受益计划存在盈余的，公司以设定受益计划</w:t>
      </w:r>
      <w:r>
        <w:rPr>
          <w:spacing w:val="-81"/>
        </w:rPr>
        <w:t> </w:t>
      </w:r>
      <w:r>
        <w:rPr>
          <w:spacing w:val="-81"/>
        </w:rPr>
      </w:r>
      <w:r>
        <w:rPr/>
        <w:t>的盈余和资产上限两项的孰低者计量设定受益计划净资产。</w:t>
      </w:r>
    </w:p>
    <w:p>
      <w:pPr>
        <w:pStyle w:val="BodyText"/>
        <w:spacing w:line="240" w:lineRule="auto"/>
        <w:ind w:left="574" w:right="1122"/>
        <w:jc w:val="left"/>
      </w:pPr>
      <w:r>
        <w:rPr>
          <w:rFonts w:ascii="宋体" w:hAnsi="宋体" w:cs="宋体" w:eastAsia="宋体" w:hint="default"/>
        </w:rPr>
        <w:t>3</w:t>
      </w:r>
      <w:r>
        <w:rPr/>
        <w:t>）确定应当计入当期损益的金额。</w:t>
      </w:r>
    </w:p>
    <w:p>
      <w:pPr>
        <w:spacing w:line="240" w:lineRule="auto" w:before="10"/>
        <w:rPr>
          <w:rFonts w:ascii="宋体" w:hAnsi="宋体" w:cs="宋体" w:eastAsia="宋体" w:hint="default"/>
          <w:sz w:val="14"/>
          <w:szCs w:val="14"/>
        </w:rPr>
      </w:pPr>
    </w:p>
    <w:p>
      <w:pPr>
        <w:pStyle w:val="BodyText"/>
        <w:spacing w:line="408" w:lineRule="auto" w:before="0"/>
        <w:ind w:left="574" w:right="1122"/>
        <w:jc w:val="left"/>
      </w:pPr>
      <w:r>
        <w:rPr>
          <w:rFonts w:ascii="宋体" w:hAnsi="宋体" w:cs="宋体" w:eastAsia="宋体" w:hint="default"/>
        </w:rPr>
        <w:t>4</w:t>
      </w:r>
      <w:r>
        <w:rPr/>
        <w:t>）确定应当计入其他综合收益的金额。 </w:t>
      </w:r>
      <w:r>
        <w:rPr>
          <w:spacing w:val="3"/>
        </w:rPr>
        <w:t>公司根据预期累计福利单位法确定的公式将设定受益计划产生的福利义务归属于职工提供服务的期</w:t>
      </w:r>
    </w:p>
    <w:p>
      <w:pPr>
        <w:pStyle w:val="BodyText"/>
        <w:spacing w:line="408" w:lineRule="auto"/>
        <w:ind w:right="1131"/>
        <w:jc w:val="both"/>
      </w:pPr>
      <w:r>
        <w:rPr>
          <w:spacing w:val="-1"/>
        </w:rPr>
        <w:t>间，并计入当期损益或相关资产成本。当职工后续年度的服务将导致其享有的设定受益计划福利水平显著</w:t>
      </w:r>
      <w:r>
        <w:rPr>
          <w:spacing w:val="-81"/>
        </w:rPr>
        <w:t> </w:t>
      </w:r>
      <w:r>
        <w:rPr>
          <w:spacing w:val="-81"/>
        </w:rPr>
      </w:r>
      <w:r>
        <w:rPr>
          <w:spacing w:val="-1"/>
        </w:rPr>
        <w:t>高于以前年度时，按照直线法将累计设定受益计划义务分摊确认于职工提供服务而导致企业第一次产生设</w:t>
      </w:r>
      <w:r>
        <w:rPr>
          <w:spacing w:val="-81"/>
        </w:rPr>
        <w:t> </w:t>
      </w:r>
      <w:r>
        <w:rPr>
          <w:spacing w:val="-81"/>
        </w:rPr>
      </w:r>
      <w:r>
        <w:rPr/>
        <w:t>定受益计划福利义务至职工提供服务不再导致该福利义务显著增加的期间。</w:t>
      </w:r>
    </w:p>
    <w:p>
      <w:pPr>
        <w:pStyle w:val="BodyText"/>
        <w:spacing w:line="408" w:lineRule="auto"/>
        <w:ind w:right="1131" w:firstLine="420"/>
        <w:jc w:val="both"/>
      </w:pPr>
      <w:r>
        <w:rPr>
          <w:spacing w:val="-1"/>
        </w:rPr>
        <w:t>报告期末，公司将设定受益计划产生的职工薪酬成本确认为：服务成本、设定受益计划净负债或净资</w:t>
      </w:r>
      <w:r>
        <w:rPr/>
        <w:t> </w:t>
      </w:r>
      <w:r>
        <w:rPr>
          <w:spacing w:val="-1"/>
        </w:rPr>
        <w:t>产的利息净额，以及重新计量设定受益计划净负债或净资产所产生的变动。在设定受益计划下，公司在下</w:t>
      </w:r>
      <w:r>
        <w:rPr>
          <w:spacing w:val="-83"/>
        </w:rPr>
        <w:t> </w:t>
      </w:r>
      <w:r>
        <w:rPr>
          <w:spacing w:val="-83"/>
        </w:rPr>
      </w:r>
      <w:r>
        <w:rPr/>
        <w:t>列日期孰早日将过去服务成本确认为当期费用：</w:t>
      </w:r>
    </w:p>
    <w:p>
      <w:pPr>
        <w:pStyle w:val="BodyText"/>
        <w:spacing w:line="240" w:lineRule="auto"/>
        <w:ind w:left="574" w:right="1122"/>
        <w:jc w:val="left"/>
      </w:pPr>
      <w:r>
        <w:rPr>
          <w:rFonts w:ascii="宋体" w:hAnsi="宋体" w:cs="宋体" w:eastAsia="宋体" w:hint="default"/>
        </w:rPr>
        <w:t>1</w:t>
      </w:r>
      <w:r>
        <w:rPr/>
        <w:t>）修改设定受益计划时。</w:t>
      </w:r>
    </w:p>
    <w:p>
      <w:pPr>
        <w:spacing w:line="240" w:lineRule="auto" w:before="10"/>
        <w:rPr>
          <w:rFonts w:ascii="宋体" w:hAnsi="宋体" w:cs="宋体" w:eastAsia="宋体" w:hint="default"/>
          <w:sz w:val="14"/>
          <w:szCs w:val="14"/>
        </w:rPr>
      </w:pPr>
    </w:p>
    <w:p>
      <w:pPr>
        <w:pStyle w:val="BodyText"/>
        <w:spacing w:line="408" w:lineRule="auto" w:before="0"/>
        <w:ind w:right="5502" w:firstLine="420"/>
        <w:jc w:val="left"/>
      </w:pPr>
      <w:r>
        <w:rPr>
          <w:rFonts w:ascii="宋体" w:hAnsi="宋体" w:cs="宋体" w:eastAsia="宋体" w:hint="default"/>
        </w:rPr>
        <w:t>2</w:t>
      </w:r>
      <w:r>
        <w:rPr/>
        <w:t>）企业确认相关重组费用或辞退福利时。 公司在设定受益计划结算时，确认一项结算利得或损失。</w:t>
      </w:r>
    </w:p>
    <w:p>
      <w:pPr>
        <w:pStyle w:val="BodyText"/>
        <w:spacing w:line="408" w:lineRule="auto"/>
        <w:ind w:left="469" w:right="1122" w:hanging="316"/>
        <w:jc w:val="left"/>
      </w:pPr>
      <w:bookmarkStart w:name="（3）辞退福利的会计处理方法" w:id="204"/>
      <w:bookmarkEnd w:id="204"/>
      <w:r>
        <w:rPr/>
      </w: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）辞退福利的会计处理方法</w:t>
      </w:r>
      <w:r>
        <w:rPr>
          <w:rFonts w:ascii="宋体" w:hAnsi="宋体" w:cs="宋体" w:eastAsia="宋体" w:hint="default"/>
          <w:b/>
          <w:bCs/>
          <w:w w:val="99"/>
        </w:rPr>
        <w:t> </w:t>
      </w:r>
      <w:r>
        <w:rPr>
          <w:spacing w:val="-3"/>
        </w:rPr>
        <w:t>公司向职工提供辞退福利的，在下列两者孰早日确认辞退福利产生的职工薪酬负债，并计入当期损益：</w:t>
      </w:r>
      <w:r>
        <w:rPr/>
        <w:t> </w:t>
      </w:r>
      <w:r>
        <w:rPr>
          <w:rFonts w:ascii="宋体" w:hAnsi="宋体" w:cs="宋体" w:eastAsia="宋体" w:hint="default"/>
        </w:rPr>
        <w:t>1</w:t>
      </w:r>
      <w:r>
        <w:rPr/>
        <w:t>）公司不能单方面撤回因解除劳动关系计划或裁减建议所提供的辞退福利时。</w:t>
      </w:r>
    </w:p>
    <w:p>
      <w:pPr>
        <w:pStyle w:val="BodyText"/>
        <w:spacing w:line="408" w:lineRule="auto"/>
        <w:ind w:left="469" w:right="3087" w:firstLine="104"/>
        <w:jc w:val="left"/>
      </w:pPr>
      <w:r>
        <w:rPr>
          <w:rFonts w:ascii="宋体" w:hAnsi="宋体" w:cs="宋体" w:eastAsia="宋体" w:hint="default"/>
        </w:rPr>
        <w:t>2</w:t>
      </w:r>
      <w:r>
        <w:rPr/>
        <w:t>）公司确认与涉及支付辞退福利的重组相关的成本或费用时。 公司按照辞退计划条款的规定，合理预计并确认辞退福利产生的应付职工薪酬。</w:t>
      </w:r>
    </w:p>
    <w:p>
      <w:pPr>
        <w:spacing w:line="408" w:lineRule="auto" w:before="46"/>
        <w:ind w:left="574" w:right="1122" w:hanging="420"/>
        <w:jc w:val="left"/>
        <w:rPr>
          <w:rFonts w:ascii="宋体" w:hAnsi="宋体" w:cs="宋体" w:eastAsia="宋体" w:hint="default"/>
          <w:sz w:val="21"/>
          <w:szCs w:val="21"/>
        </w:rPr>
      </w:pPr>
      <w:bookmarkStart w:name="（4）其他长期职工福利的会计处理方法" w:id="205"/>
      <w:bookmarkEnd w:id="205"/>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公司向职工提供的其他长期职工福利，符合设定提存计划条件的，按照关于设定提存计划的有关政策</w:t>
      </w:r>
    </w:p>
    <w:p>
      <w:pPr>
        <w:pStyle w:val="BodyText"/>
        <w:spacing w:line="240" w:lineRule="auto"/>
        <w:ind w:right="0"/>
        <w:jc w:val="left"/>
      </w:pPr>
      <w:r>
        <w:rPr/>
        <w:t>进行处理。除上述情形外，公司按照关于设定受益计划的有关政策，确认和计量其他长期职工福利净负债</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2562" w:hanging="420"/>
        <w:jc w:val="left"/>
      </w:pPr>
      <w:r>
        <w:rPr/>
        <w:t>或净资产。在报告期末，将其他长期职工福利产生的职工薪酬成本确认为下列组成部分： </w:t>
      </w:r>
      <w:r>
        <w:rPr>
          <w:rFonts w:ascii="宋体" w:hAnsi="宋体" w:cs="宋体" w:eastAsia="宋体" w:hint="default"/>
        </w:rPr>
        <w:t>1</w:t>
      </w:r>
      <w:r>
        <w:rPr/>
        <w:t>）服务成本。</w:t>
      </w:r>
    </w:p>
    <w:p>
      <w:pPr>
        <w:pStyle w:val="BodyText"/>
        <w:spacing w:line="240" w:lineRule="auto"/>
        <w:ind w:left="574" w:right="1122"/>
        <w:jc w:val="left"/>
      </w:pPr>
      <w:r>
        <w:rPr>
          <w:rFonts w:ascii="宋体" w:hAnsi="宋体" w:cs="宋体" w:eastAsia="宋体" w:hint="default"/>
        </w:rPr>
        <w:t>2</w:t>
      </w:r>
      <w:r>
        <w:rPr/>
        <w:t>）其他长期职工福利净负债或净资产的利息净额。</w:t>
      </w:r>
    </w:p>
    <w:p>
      <w:pPr>
        <w:spacing w:line="240" w:lineRule="auto" w:before="10"/>
        <w:rPr>
          <w:rFonts w:ascii="宋体" w:hAnsi="宋体" w:cs="宋体" w:eastAsia="宋体" w:hint="default"/>
          <w:sz w:val="14"/>
          <w:szCs w:val="14"/>
        </w:rPr>
      </w:pPr>
    </w:p>
    <w:p>
      <w:pPr>
        <w:pStyle w:val="BodyText"/>
        <w:spacing w:line="408" w:lineRule="auto" w:before="0"/>
        <w:ind w:left="574" w:right="1122"/>
        <w:jc w:val="left"/>
      </w:pPr>
      <w:r>
        <w:rPr>
          <w:rFonts w:ascii="宋体" w:hAnsi="宋体" w:cs="宋体" w:eastAsia="宋体" w:hint="default"/>
        </w:rPr>
        <w:t>3</w:t>
      </w:r>
      <w:r>
        <w:rPr/>
        <w:t>）重新计量其他长期职工福利净负债或净资产所产生的变动。 为简化相关会计处理，上述项目的总净额应计入当期损益或相关资产成本。 </w:t>
      </w:r>
      <w:r>
        <w:rPr>
          <w:spacing w:val="-1"/>
        </w:rPr>
        <w:t>长期残疾福利水平取决于职工提供服务期间长短的，公司在职工提供服务的期间确认应付长期残疾福</w:t>
      </w:r>
    </w:p>
    <w:p>
      <w:pPr>
        <w:pStyle w:val="BodyText"/>
        <w:spacing w:line="408" w:lineRule="auto"/>
        <w:ind w:right="1122"/>
        <w:jc w:val="left"/>
      </w:pPr>
      <w:r>
        <w:rPr>
          <w:spacing w:val="-1"/>
        </w:rPr>
        <w:t>利义务；长期残疾福利与职工提供服务期间长短无关的，公司在导致职工长期残疾的事件发生的当期确认</w:t>
      </w:r>
      <w:r>
        <w:rPr>
          <w:spacing w:val="-81"/>
        </w:rPr>
        <w:t> </w:t>
      </w:r>
      <w:r>
        <w:rPr>
          <w:spacing w:val="-81"/>
        </w:rPr>
      </w:r>
      <w:r>
        <w:rPr/>
        <w:t>应付长期残疾福利义务。</w:t>
      </w:r>
    </w:p>
    <w:p>
      <w:pPr>
        <w:pStyle w:val="Heading4"/>
        <w:spacing w:line="240" w:lineRule="auto" w:before="46"/>
        <w:ind w:right="1122"/>
        <w:jc w:val="left"/>
        <w:rPr>
          <w:b w:val="0"/>
          <w:bCs w:val="0"/>
        </w:rPr>
      </w:pPr>
      <w:bookmarkStart w:name="25、预计负债" w:id="206"/>
      <w:bookmarkEnd w:id="206"/>
      <w:r>
        <w:rPr>
          <w:b w:val="0"/>
          <w:bCs w:val="0"/>
        </w:rPr>
      </w:r>
      <w:r>
        <w:rPr>
          <w:rFonts w:ascii="宋体" w:hAnsi="宋体" w:cs="宋体" w:eastAsia="宋体" w:hint="default"/>
        </w:rPr>
        <w:t>25</w:t>
      </w:r>
      <w:r>
        <w:rPr/>
        <w:t>、预计负债</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31" w:firstLine="420"/>
        <w:jc w:val="both"/>
      </w:pPr>
      <w:r>
        <w:rPr>
          <w:spacing w:val="-1"/>
        </w:rPr>
        <w:t>对因产品质量保证、亏损合同等形成的现时义务，其履行很可能导致经济利益的流出，在该义务的金</w:t>
      </w:r>
      <w:r>
        <w:rPr/>
        <w:t> 额能够可靠计量时，确认为预计负债。对于未来经营亏损，不确认预计负债。</w:t>
      </w:r>
    </w:p>
    <w:p>
      <w:pPr>
        <w:pStyle w:val="BodyText"/>
        <w:spacing w:line="408" w:lineRule="auto"/>
        <w:ind w:right="1131" w:firstLine="420"/>
        <w:jc w:val="both"/>
      </w:pPr>
      <w:r>
        <w:rPr>
          <w:spacing w:val="-1"/>
        </w:rPr>
        <w:t>预计负债按照履行相关现时义务所需支出的最佳估计数进行初始计量，并综合考虑与或有事项有关的</w:t>
      </w:r>
      <w:r>
        <w:rPr/>
        <w:t> </w:t>
      </w: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确定最佳估计数；因随着时间推移所进行的折现还原而导致的预计负债账面价值的增加金额，确认为利息</w:t>
      </w:r>
      <w:r>
        <w:rPr>
          <w:spacing w:val="-81"/>
        </w:rPr>
        <w:t> </w:t>
      </w:r>
      <w:r>
        <w:rPr>
          <w:spacing w:val="-81"/>
        </w:rPr>
      </w:r>
      <w:r>
        <w:rPr/>
        <w:t>费用。</w:t>
      </w:r>
    </w:p>
    <w:p>
      <w:pPr>
        <w:pStyle w:val="BodyText"/>
        <w:spacing w:line="408" w:lineRule="auto"/>
        <w:ind w:right="1722" w:firstLine="420"/>
        <w:jc w:val="left"/>
        <w:rPr>
          <w:rFonts w:ascii="宋体" w:hAnsi="宋体" w:cs="宋体" w:eastAsia="宋体" w:hint="default"/>
        </w:rPr>
      </w:pPr>
      <w:r>
        <w:rPr/>
        <w:t>于资产负债表日，对预计负债的账面价值进行复核并作适当调整，以反映当前的最佳估计数。 </w:t>
      </w:r>
      <w:bookmarkStart w:name="26、股份支付" w:id="207"/>
      <w:bookmarkEnd w:id="207"/>
      <w:r>
        <w:rPr/>
      </w:r>
      <w:r>
        <w:rPr>
          <w:rFonts w:ascii="宋体" w:hAnsi="宋体" w:cs="宋体" w:eastAsia="宋体" w:hint="default"/>
          <w:b/>
          <w:bCs/>
        </w:rPr>
        <w:t>26</w:t>
      </w:r>
      <w:r>
        <w:rPr>
          <w:rFonts w:ascii="宋体" w:hAnsi="宋体" w:cs="宋体" w:eastAsia="宋体" w:hint="default"/>
          <w:b/>
          <w:bCs/>
        </w:rPr>
        <w:t>、股份支付</w:t>
      </w:r>
      <w:r>
        <w:rPr>
          <w:rFonts w:ascii="宋体" w:hAnsi="宋体" w:cs="宋体" w:eastAsia="宋体" w:hint="default"/>
        </w:rPr>
      </w:r>
    </w:p>
    <w:p>
      <w:pPr>
        <w:pStyle w:val="BodyText"/>
        <w:spacing w:line="408" w:lineRule="auto"/>
        <w:ind w:left="574" w:right="2142" w:hanging="420"/>
        <w:jc w:val="left"/>
      </w:pPr>
      <w:r>
        <w:rPr>
          <w:rFonts w:ascii="宋体" w:hAnsi="宋体" w:cs="宋体" w:eastAsia="宋体" w:hint="default"/>
        </w:rPr>
        <w:t>26.1</w:t>
      </w:r>
      <w:r>
        <w:rPr/>
        <w:t>股份支付的种类 根据结算方式分为以权益结算的涉及职工的股份支付、以现金结算的涉及职工的股份支付</w:t>
      </w:r>
    </w:p>
    <w:p>
      <w:pPr>
        <w:pStyle w:val="BodyText"/>
        <w:tabs>
          <w:tab w:pos="785" w:val="left" w:leader="none"/>
        </w:tabs>
        <w:spacing w:line="408" w:lineRule="auto"/>
        <w:ind w:left="574" w:right="4050" w:hanging="420"/>
        <w:jc w:val="left"/>
      </w:pPr>
      <w:r>
        <w:rPr>
          <w:rFonts w:ascii="宋体" w:hAnsi="宋体" w:cs="宋体" w:eastAsia="宋体" w:hint="default"/>
        </w:rPr>
        <w:t>26.2</w:t>
        <w:tab/>
        <w:tab/>
      </w:r>
      <w:r>
        <w:rPr/>
        <w:t>权益工具公允价值的确定方法 公司</w:t>
      </w:r>
      <w:r>
        <w:rPr>
          <w:rFonts w:ascii="宋体" w:hAnsi="宋体" w:cs="宋体" w:eastAsia="宋体" w:hint="default"/>
        </w:rPr>
        <w:t>2016</w:t>
      </w:r>
      <w:r>
        <w:rPr/>
        <w:t>年授予的限制性股票采用期权定价模型等确定其公允价值。</w:t>
      </w:r>
    </w:p>
    <w:p>
      <w:pPr>
        <w:pStyle w:val="BodyText"/>
        <w:tabs>
          <w:tab w:pos="785" w:val="left" w:leader="none"/>
        </w:tabs>
        <w:spacing w:line="408" w:lineRule="auto"/>
        <w:ind w:left="574" w:right="1131" w:hanging="420"/>
        <w:jc w:val="left"/>
      </w:pPr>
      <w:r>
        <w:rPr>
          <w:rFonts w:ascii="宋体" w:hAnsi="宋体" w:cs="宋体" w:eastAsia="宋体" w:hint="default"/>
        </w:rPr>
        <w:t>26.3</w:t>
        <w:tab/>
        <w:tab/>
      </w:r>
      <w:r>
        <w:rPr/>
        <w:t>确认可行权权益工具最佳估计的依据 </w:t>
      </w:r>
      <w:r>
        <w:rPr>
          <w:spacing w:val="-1"/>
        </w:rPr>
        <w:t>等待期内每个资产负债表日，根据最新取得的可行权职工人数变动等后续信息作出最佳估计，修正预</w:t>
      </w:r>
    </w:p>
    <w:p>
      <w:pPr>
        <w:pStyle w:val="BodyText"/>
        <w:tabs>
          <w:tab w:pos="785" w:val="left" w:leader="none"/>
        </w:tabs>
        <w:spacing w:line="408" w:lineRule="auto"/>
        <w:ind w:right="1740"/>
        <w:jc w:val="left"/>
      </w:pPr>
      <w:r>
        <w:rPr/>
        <w:t>计可行权的权益工具数量。在可行权日，最终预计可行权权益工具的数量与实际可行权数量一致。 </w:t>
      </w:r>
      <w:r>
        <w:rPr>
          <w:rFonts w:ascii="宋体" w:hAnsi="宋体" w:cs="宋体" w:eastAsia="宋体" w:hint="default"/>
        </w:rPr>
        <w:t>26.4</w:t>
        <w:tab/>
      </w:r>
      <w:r>
        <w:rPr/>
        <w:t>实施、修改、终止股份支付计划的相关会计处理</w:t>
      </w:r>
    </w:p>
    <w:p>
      <w:pPr>
        <w:pStyle w:val="BodyText"/>
        <w:spacing w:line="408" w:lineRule="auto"/>
        <w:ind w:right="1131" w:firstLine="420"/>
        <w:jc w:val="both"/>
      </w:pPr>
      <w:r>
        <w:rPr>
          <w:spacing w:val="-1"/>
        </w:rPr>
        <w:t>以权益结算的涉及职工的股份支付，授予后立即可行权的，按照授予日权益工具的公允价值计入成本</w:t>
      </w:r>
      <w:r>
        <w:rPr/>
        <w:t> </w:t>
      </w:r>
      <w:r>
        <w:rPr>
          <w:spacing w:val="-1"/>
        </w:rPr>
        <w:t>费用和资本公积；授予后须完成等待期内的服务或达到规定业绩条件才可行权的，在等待期内的每个资产</w:t>
      </w:r>
      <w:r>
        <w:rPr>
          <w:spacing w:val="-81"/>
        </w:rPr>
        <w:t> </w:t>
      </w:r>
      <w:r>
        <w:rPr>
          <w:spacing w:val="-81"/>
        </w:rPr>
      </w:r>
      <w:r>
        <w:rPr>
          <w:spacing w:val="-1"/>
        </w:rPr>
        <w:t>负债表日，以对可行权权益工具数量的最佳估计为基础，按照权益工具授予日的公允价值，将当期取得的</w:t>
      </w:r>
      <w:r>
        <w:rPr>
          <w:spacing w:val="-83"/>
        </w:rPr>
        <w:t> </w:t>
      </w:r>
      <w:r>
        <w:rPr>
          <w:spacing w:val="-83"/>
        </w:rPr>
      </w:r>
      <w:r>
        <w:rPr/>
        <w:t>服务计入相关成本或费用和资本公积。</w:t>
      </w:r>
    </w:p>
    <w:p>
      <w:pPr>
        <w:pStyle w:val="BodyText"/>
        <w:spacing w:line="240" w:lineRule="auto"/>
        <w:ind w:left="574" w:right="0"/>
        <w:jc w:val="left"/>
      </w:pPr>
      <w:r>
        <w:rPr/>
        <w:t>以现金结算的涉及职工的股份支付，授予后立即可行权的，按照授予日本公司承担负债的公允价值计</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入相关成本或费用和相应负债；授予后须完成等待期内的服务或达到规定业绩条件才可行权的，在等待期</w:t>
      </w:r>
      <w:r>
        <w:rPr>
          <w:spacing w:val="-81"/>
        </w:rPr>
        <w:t> </w:t>
      </w:r>
      <w:r>
        <w:rPr>
          <w:spacing w:val="-81"/>
        </w:rPr>
      </w:r>
      <w:r>
        <w:rPr>
          <w:spacing w:val="-1"/>
        </w:rPr>
        <w:t>内的每个资产负债表日，以对可行权情况的最佳估计为基础，按照本公司承担负债的公允价值金额，将当</w:t>
      </w:r>
      <w:r>
        <w:rPr>
          <w:spacing w:val="-83"/>
        </w:rPr>
        <w:t> </w:t>
      </w:r>
      <w:r>
        <w:rPr>
          <w:spacing w:val="-83"/>
        </w:rPr>
      </w:r>
      <w:r>
        <w:rPr/>
        <w:t>期取得的服务计入相关成本或费用和相应负债。</w:t>
      </w:r>
    </w:p>
    <w:p>
      <w:pPr>
        <w:pStyle w:val="Heading4"/>
        <w:spacing w:line="240" w:lineRule="auto" w:before="46"/>
        <w:ind w:right="1122"/>
        <w:jc w:val="left"/>
        <w:rPr>
          <w:b w:val="0"/>
          <w:bCs w:val="0"/>
        </w:rPr>
      </w:pPr>
      <w:bookmarkStart w:name="27、优先股、永续债等其他金融工具" w:id="208"/>
      <w:bookmarkEnd w:id="208"/>
      <w:r>
        <w:rPr>
          <w:b w:val="0"/>
          <w:bCs w:val="0"/>
        </w:rPr>
      </w:r>
      <w:r>
        <w:rPr>
          <w:rFonts w:ascii="宋体" w:hAnsi="宋体" w:cs="宋体" w:eastAsia="宋体" w:hint="default"/>
        </w:rPr>
        <w:t>27</w:t>
      </w:r>
      <w:r>
        <w:rPr/>
        <w:t>、优先股、永续债等其他金融工具</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8、收入" w:id="209"/>
      <w:bookmarkEnd w:id="209"/>
      <w:r>
        <w:rPr>
          <w:rFonts w:ascii="宋体" w:hAnsi="宋体" w:cs="宋体" w:eastAsia="宋体" w:hint="default"/>
          <w:sz w:val="21"/>
          <w:szCs w:val="21"/>
        </w:rPr>
      </w:r>
      <w:r>
        <w:rPr>
          <w:rFonts w:ascii="宋体" w:hAnsi="宋体" w:cs="宋体" w:eastAsia="宋体"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spacing w:line="240" w:lineRule="auto"/>
        <w:ind w:right="1122"/>
        <w:jc w:val="left"/>
      </w:pPr>
      <w:r>
        <w:rPr/>
        <w:t>公司是否需要遵守特殊行业的披露要求</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是 √ 否</w:t>
      </w:r>
    </w:p>
    <w:p>
      <w:pPr>
        <w:spacing w:line="240" w:lineRule="auto" w:before="10"/>
        <w:rPr>
          <w:rFonts w:ascii="宋体" w:hAnsi="宋体" w:cs="宋体" w:eastAsia="宋体" w:hint="default"/>
          <w:sz w:val="14"/>
          <w:szCs w:val="14"/>
        </w:rPr>
      </w:pPr>
    </w:p>
    <w:p>
      <w:pPr>
        <w:pStyle w:val="BodyText"/>
        <w:spacing w:line="408" w:lineRule="auto" w:before="0"/>
        <w:ind w:right="1122" w:firstLine="420"/>
        <w:jc w:val="left"/>
      </w:pPr>
      <w:r>
        <w:rPr>
          <w:spacing w:val="-1"/>
        </w:rPr>
        <w:t>收入的金额按照本公司在日常经营活动中销售商品和提供劳务时，已收或应收合同或协议价款的公允</w:t>
      </w:r>
      <w:r>
        <w:rPr/>
        <w:t> 价值确定。收入按扣除增值税、商业折扣、销售折让及销售退回的净额列示。</w:t>
      </w:r>
    </w:p>
    <w:p>
      <w:pPr>
        <w:pStyle w:val="BodyText"/>
        <w:spacing w:line="408" w:lineRule="auto"/>
        <w:ind w:right="1122" w:firstLine="420"/>
        <w:jc w:val="left"/>
      </w:pPr>
      <w:r>
        <w:rPr>
          <w:spacing w:val="-1"/>
        </w:rPr>
        <w:t>与交易相关的经济利益能够流入本公司，相关的收入能够可靠计量且满足下列各项经营活动的特定收</w:t>
      </w:r>
      <w:r>
        <w:rPr/>
        <w:t> 入确认标准时，确认相关的收入。</w:t>
      </w:r>
    </w:p>
    <w:p>
      <w:pPr>
        <w:pStyle w:val="BodyText"/>
        <w:tabs>
          <w:tab w:pos="785" w:val="left" w:leader="none"/>
        </w:tabs>
        <w:spacing w:line="408" w:lineRule="auto"/>
        <w:ind w:left="574" w:right="1132" w:hanging="420"/>
        <w:jc w:val="left"/>
      </w:pPr>
      <w:r>
        <w:rPr>
          <w:rFonts w:ascii="宋体" w:hAnsi="宋体" w:cs="宋体" w:eastAsia="宋体" w:hint="default"/>
        </w:rPr>
        <w:t>28.1</w:t>
        <w:tab/>
        <w:tab/>
      </w:r>
      <w:r>
        <w:rPr/>
        <w:t>销售商品 </w:t>
      </w:r>
      <w:r>
        <w:rPr>
          <w:spacing w:val="-1"/>
        </w:rPr>
        <w:t>商品销售在商品所有权上的主要风险和报酬已转移给买方，本公司不再对该商品实施继续管理权和实</w:t>
      </w:r>
    </w:p>
    <w:p>
      <w:pPr>
        <w:pStyle w:val="BodyText"/>
        <w:spacing w:line="408" w:lineRule="auto"/>
        <w:ind w:right="1122"/>
        <w:jc w:val="left"/>
      </w:pPr>
      <w:r>
        <w:rPr>
          <w:spacing w:val="-1"/>
        </w:rPr>
        <w:t>际控制权，与交易相关的经济利益很可能流入企业，并且与销售该商品相关的收入和成本能够可靠地计量</w:t>
      </w:r>
      <w:r>
        <w:rPr>
          <w:spacing w:val="-81"/>
        </w:rPr>
        <w:t> </w:t>
      </w:r>
      <w:r>
        <w:rPr>
          <w:spacing w:val="-81"/>
        </w:rPr>
      </w:r>
      <w:r>
        <w:rPr>
          <w:spacing w:val="-1"/>
        </w:rPr>
        <w:t>时，确认营业收入的实现。收入的金额按照本公司在日常经营活动中销售商品和提供劳务时，已收或应收</w:t>
      </w:r>
      <w:r>
        <w:rPr>
          <w:spacing w:val="-83"/>
        </w:rPr>
        <w:t> </w:t>
      </w:r>
      <w:r>
        <w:rPr>
          <w:spacing w:val="-83"/>
        </w:rPr>
      </w:r>
      <w:r>
        <w:rPr/>
        <w:t>合同或协议价款的公允价值确定。收入按扣除增值税、商业折扣、销售折让及销售退回的净额列示。 产品销售收入一般在按合同生产、发货，并经客户验收时确认收入。</w:t>
      </w:r>
    </w:p>
    <w:p>
      <w:pPr>
        <w:pStyle w:val="BodyText"/>
        <w:tabs>
          <w:tab w:pos="785" w:val="left" w:leader="none"/>
        </w:tabs>
        <w:spacing w:line="408" w:lineRule="auto"/>
        <w:ind w:left="574" w:right="1130" w:hanging="420"/>
        <w:jc w:val="left"/>
      </w:pPr>
      <w:r>
        <w:rPr>
          <w:rFonts w:ascii="宋体" w:hAnsi="宋体" w:cs="宋体" w:eastAsia="宋体" w:hint="default"/>
        </w:rPr>
        <w:t>28.2</w:t>
        <w:tab/>
        <w:tab/>
      </w:r>
      <w:r>
        <w:rPr/>
        <w:t>提供劳务 </w:t>
      </w:r>
      <w:r>
        <w:rPr>
          <w:spacing w:val="-1"/>
        </w:rPr>
        <w:t>提供的劳务在同一会计年度开始并完成的，在劳务已经提供，收到价款或取得收取价款的证据时，确</w:t>
      </w:r>
    </w:p>
    <w:p>
      <w:pPr>
        <w:pStyle w:val="BodyText"/>
        <w:spacing w:line="408" w:lineRule="auto"/>
        <w:ind w:right="1131"/>
        <w:jc w:val="both"/>
      </w:pPr>
      <w:r>
        <w:rPr>
          <w:spacing w:val="-1"/>
        </w:rPr>
        <w:t>认营业收入的实现；劳务的开始和完成分属不同会计年度的，在劳务合同的总收入、劳务的完成程度能够</w:t>
      </w:r>
      <w:r>
        <w:rPr>
          <w:spacing w:val="-83"/>
        </w:rPr>
        <w:t> </w:t>
      </w:r>
      <w:r>
        <w:rPr>
          <w:spacing w:val="-83"/>
        </w:rPr>
      </w:r>
      <w:r>
        <w:rPr>
          <w:spacing w:val="-1"/>
        </w:rPr>
        <w:t>可靠地确定，与交易相关的价款能够流入，已经发生的成本和为完成劳务将要发生的成本能够可靠地计量</w:t>
      </w:r>
      <w:r>
        <w:rPr>
          <w:spacing w:val="-81"/>
        </w:rPr>
        <w:t> </w:t>
      </w:r>
      <w:r>
        <w:rPr>
          <w:spacing w:val="-81"/>
        </w:rPr>
      </w:r>
      <w:r>
        <w:rPr>
          <w:spacing w:val="-1"/>
        </w:rPr>
        <w:t>时，按完工百分比法确认营业收入的实现；长期合同工程在合同结果已经能够合理地预见时，按结账时已</w:t>
      </w:r>
      <w:r>
        <w:rPr>
          <w:spacing w:val="-83"/>
        </w:rPr>
        <w:t> </w:t>
      </w:r>
      <w:r>
        <w:rPr>
          <w:spacing w:val="-83"/>
        </w:rPr>
      </w:r>
      <w:r>
        <w:rPr/>
        <w:t>完成工程进度的百分比法确认营业收入的实现。</w:t>
      </w:r>
    </w:p>
    <w:p>
      <w:pPr>
        <w:pStyle w:val="BodyText"/>
        <w:spacing w:line="408" w:lineRule="auto"/>
        <w:ind w:right="1122" w:firstLine="420"/>
        <w:jc w:val="left"/>
      </w:pPr>
      <w:r>
        <w:rPr>
          <w:rFonts w:ascii="宋体" w:hAnsi="宋体" w:cs="宋体" w:eastAsia="宋体" w:hint="default"/>
        </w:rPr>
        <w:t>1</w:t>
      </w:r>
      <w:r>
        <w:rPr/>
        <w:t>）软件开发等技术服务收入确认的方法：公司为客户提供的软件开发等技术服务收入通常在开发完 成，客户验收后确认收入。</w:t>
      </w:r>
    </w:p>
    <w:p>
      <w:pPr>
        <w:pStyle w:val="BodyText"/>
        <w:spacing w:line="408" w:lineRule="auto"/>
        <w:ind w:right="1122" w:firstLine="420"/>
        <w:jc w:val="left"/>
      </w:pPr>
      <w:r>
        <w:rPr>
          <w:rFonts w:ascii="宋体" w:hAnsi="宋体" w:cs="宋体" w:eastAsia="宋体" w:hint="default"/>
        </w:rPr>
        <w:t>2</w:t>
      </w:r>
      <w:r>
        <w:rPr/>
        <w:t>）电力工程施工收入确认的方法：对于电力工程施工收入合同，公司按照完工百分比法确认收入。 完工百分比由施工验收签单所确定的工程量占合同要求及安装设备总量的比例来确定。</w:t>
      </w:r>
    </w:p>
    <w:p>
      <w:pPr>
        <w:pStyle w:val="BodyText"/>
        <w:spacing w:line="408" w:lineRule="auto"/>
        <w:ind w:left="574" w:right="1122"/>
        <w:jc w:val="left"/>
      </w:pPr>
      <w:r>
        <w:rPr>
          <w:rFonts w:ascii="宋体" w:hAnsi="宋体" w:cs="宋体" w:eastAsia="宋体" w:hint="default"/>
        </w:rPr>
        <w:t>3</w:t>
      </w:r>
      <w:r>
        <w:rPr/>
        <w:t>）电力设计收入确认的方法 </w:t>
      </w:r>
      <w:r>
        <w:rPr>
          <w:spacing w:val="-1"/>
        </w:rPr>
        <w:t>公司为客户提供的电力设计服务收入通常在按合同约定设计完成交付图纸，客户完成设计成果验收后</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22"/>
        <w:jc w:val="left"/>
      </w:pPr>
      <w:r>
        <w:rPr/>
        <w:t>确认收入。</w:t>
      </w:r>
    </w:p>
    <w:p>
      <w:pPr>
        <w:spacing w:line="240" w:lineRule="auto" w:before="10"/>
        <w:rPr>
          <w:rFonts w:ascii="宋体" w:hAnsi="宋体" w:cs="宋体" w:eastAsia="宋体" w:hint="default"/>
          <w:sz w:val="14"/>
          <w:szCs w:val="14"/>
        </w:rPr>
      </w:pPr>
    </w:p>
    <w:p>
      <w:pPr>
        <w:pStyle w:val="BodyText"/>
        <w:tabs>
          <w:tab w:pos="785" w:val="left" w:leader="none"/>
        </w:tabs>
        <w:spacing w:line="408" w:lineRule="auto" w:before="0"/>
        <w:ind w:left="574" w:right="1131" w:hanging="420"/>
        <w:jc w:val="left"/>
      </w:pPr>
      <w:r>
        <w:rPr>
          <w:rFonts w:ascii="宋体" w:hAnsi="宋体" w:cs="宋体" w:eastAsia="宋体" w:hint="default"/>
        </w:rPr>
        <w:t>28.3</w:t>
        <w:tab/>
        <w:tab/>
      </w:r>
      <w:r>
        <w:rPr/>
        <w:t>让渡资产使用权 </w:t>
      </w:r>
      <w:r>
        <w:rPr>
          <w:spacing w:val="-1"/>
        </w:rPr>
        <w:t>让渡资产使用权取得的利息收入和使用费收入，在与交易相关的经济利益能够流入企业，且收入的金</w:t>
      </w:r>
    </w:p>
    <w:p>
      <w:pPr>
        <w:spacing w:line="408" w:lineRule="auto" w:before="46"/>
        <w:ind w:left="154" w:right="6972" w:firstLine="0"/>
        <w:jc w:val="left"/>
        <w:rPr>
          <w:rFonts w:ascii="宋体" w:hAnsi="宋体" w:cs="宋体" w:eastAsia="宋体" w:hint="default"/>
          <w:sz w:val="21"/>
          <w:szCs w:val="21"/>
        </w:rPr>
      </w:pPr>
      <w:r>
        <w:rPr>
          <w:rFonts w:ascii="宋体" w:hAnsi="宋体" w:cs="宋体" w:eastAsia="宋体" w:hint="default"/>
          <w:sz w:val="21"/>
          <w:szCs w:val="21"/>
        </w:rPr>
        <w:t>额能够可靠地计量时，确认收入的实现。 </w:t>
      </w:r>
      <w:bookmarkStart w:name="29、政府补助" w:id="210"/>
      <w:bookmarkEnd w:id="210"/>
      <w:r>
        <w:rPr>
          <w:rFonts w:ascii="宋体" w:hAnsi="宋体" w:cs="宋体" w:eastAsia="宋体" w:hint="default"/>
          <w:sz w:val="21"/>
          <w:szCs w:val="21"/>
        </w:rPr>
      </w:r>
      <w:r>
        <w:rPr>
          <w:rFonts w:ascii="宋体" w:hAnsi="宋体" w:cs="宋体" w:eastAsia="宋体"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BodyText"/>
        <w:spacing w:line="408" w:lineRule="auto"/>
        <w:ind w:left="574" w:right="1122" w:hanging="420"/>
        <w:jc w:val="left"/>
      </w:pPr>
      <w:r>
        <w:rPr>
          <w:rFonts w:ascii="宋体" w:hAnsi="宋体" w:cs="宋体" w:eastAsia="宋体" w:hint="default"/>
        </w:rPr>
        <w:t>29.1</w:t>
      </w:r>
      <w:r>
        <w:rPr/>
        <w:t>与资产相关的政府补助判断依据及会计处理方法 </w:t>
      </w:r>
      <w:r>
        <w:rPr>
          <w:spacing w:val="-1"/>
        </w:rPr>
        <w:t>与资产相关的政府补助，是指公司取得的、用于购建或以其他方式形成长期资产的政府补助。与资产</w:t>
      </w:r>
    </w:p>
    <w:p>
      <w:pPr>
        <w:pStyle w:val="BodyText"/>
        <w:spacing w:line="408" w:lineRule="auto"/>
        <w:ind w:right="1122"/>
        <w:jc w:val="left"/>
      </w:pPr>
      <w:r>
        <w:rPr>
          <w:spacing w:val="-1"/>
        </w:rPr>
        <w:t>相关的政府补助，确认为递延收益，并在相关资产使用寿命内平均分配，计入当期损益。但是，按照名义</w:t>
      </w:r>
      <w:r>
        <w:rPr>
          <w:spacing w:val="-83"/>
        </w:rPr>
        <w:t> </w:t>
      </w:r>
      <w:r>
        <w:rPr>
          <w:spacing w:val="-83"/>
        </w:rPr>
      </w:r>
      <w:r>
        <w:rPr/>
        <w:t>金额计量的政府补助，直接计入当期损益。</w:t>
      </w:r>
    </w:p>
    <w:p>
      <w:pPr>
        <w:pStyle w:val="BodyText"/>
        <w:spacing w:line="408" w:lineRule="auto"/>
        <w:ind w:right="1122" w:firstLine="420"/>
        <w:jc w:val="left"/>
      </w:pPr>
      <w:r>
        <w:rPr>
          <w:spacing w:val="-1"/>
        </w:rPr>
        <w:t>相关资产在使用寿命结束前被出售、转让、报废或发生毁损的，应当将尚未分配的相关递延收益余额</w:t>
      </w:r>
      <w:r>
        <w:rPr/>
        <w:t> 转入资产处置当期的损益。</w:t>
      </w:r>
    </w:p>
    <w:p>
      <w:pPr>
        <w:pStyle w:val="BodyText"/>
        <w:spacing w:line="408" w:lineRule="auto"/>
        <w:ind w:left="574" w:right="1122" w:hanging="420"/>
        <w:jc w:val="left"/>
      </w:pPr>
      <w:r>
        <w:rPr>
          <w:rFonts w:ascii="宋体" w:hAnsi="宋体" w:cs="宋体" w:eastAsia="宋体" w:hint="default"/>
        </w:rPr>
        <w:t>29.2</w:t>
      </w:r>
      <w:r>
        <w:rPr/>
        <w:t>与收益相关的政府补助判断依据及会计处理方法 </w:t>
      </w:r>
      <w:r>
        <w:rPr>
          <w:spacing w:val="-1"/>
        </w:rPr>
        <w:t>与收益相关的政府补助，是指除与资产相关的政府补助之外的政府补助。与收益相关的政府补助，用</w:t>
      </w:r>
    </w:p>
    <w:p>
      <w:pPr>
        <w:pStyle w:val="BodyText"/>
        <w:spacing w:line="408" w:lineRule="auto"/>
        <w:ind w:right="0"/>
        <w:jc w:val="left"/>
      </w:pPr>
      <w:r>
        <w:rPr/>
        <w:t>于补偿公司以后期间的相关费用或损失的，确认为递延收益，并在确认相关费用的期间，计入当期损益；</w:t>
      </w:r>
      <w:r>
        <w:rPr>
          <w:spacing w:val="-37"/>
        </w:rPr>
        <w:t> </w:t>
      </w:r>
      <w:r>
        <w:rPr>
          <w:spacing w:val="-37"/>
        </w:rPr>
      </w:r>
      <w:r>
        <w:rPr/>
        <w:t>用于补偿公司已发生的相关费用或损失的，直接计入当期损益。</w:t>
      </w:r>
    </w:p>
    <w:p>
      <w:pPr>
        <w:pStyle w:val="BodyText"/>
        <w:spacing w:line="408" w:lineRule="auto"/>
        <w:ind w:left="574" w:right="1122" w:hanging="420"/>
        <w:jc w:val="left"/>
      </w:pPr>
      <w:r>
        <w:rPr>
          <w:rFonts w:ascii="宋体" w:hAnsi="宋体" w:cs="宋体" w:eastAsia="宋体" w:hint="default"/>
        </w:rPr>
        <w:t>29.3</w:t>
      </w:r>
      <w:r>
        <w:rPr/>
        <w:t>同时包含与资产相关部分和与收益相关部分的政府补助 </w:t>
      </w:r>
      <w:r>
        <w:rPr>
          <w:spacing w:val="-1"/>
        </w:rPr>
        <w:t>对于同时包含与资产相关部分和与收益相关部分的政府补助，区分不同部分分别进行会计处理；难以</w:t>
      </w:r>
    </w:p>
    <w:p>
      <w:pPr>
        <w:pStyle w:val="BodyText"/>
        <w:spacing w:line="408" w:lineRule="auto"/>
        <w:ind w:right="6132"/>
        <w:jc w:val="left"/>
      </w:pPr>
      <w:r>
        <w:rPr/>
        <w:t>区分的，应当整体归类为与收益相关的政府补助。 </w:t>
      </w:r>
      <w:r>
        <w:rPr>
          <w:rFonts w:ascii="宋体" w:hAnsi="宋体" w:cs="宋体" w:eastAsia="宋体" w:hint="default"/>
        </w:rPr>
        <w:t>29.4</w:t>
      </w:r>
      <w:r>
        <w:rPr>
          <w:rFonts w:ascii="宋体" w:hAnsi="宋体" w:cs="宋体" w:eastAsia="宋体" w:hint="default"/>
          <w:spacing w:val="-1"/>
        </w:rPr>
        <w:t> </w:t>
      </w:r>
      <w:r>
        <w:rPr/>
        <w:t>政府补助在利润表中的核算</w:t>
      </w:r>
    </w:p>
    <w:p>
      <w:pPr>
        <w:pStyle w:val="BodyText"/>
        <w:spacing w:line="408" w:lineRule="auto"/>
        <w:ind w:right="1122" w:firstLine="420"/>
        <w:jc w:val="left"/>
      </w:pPr>
      <w:r>
        <w:rPr>
          <w:spacing w:val="-1"/>
        </w:rPr>
        <w:t>与企业日常活动相关的政府补助，应当按照经济业务实质，计入其他收益或冲减相关成本费用。与企</w:t>
      </w:r>
      <w:r>
        <w:rPr/>
        <w:t> 业日常活动无关的政府补助，应当计入营业外收支。</w:t>
      </w:r>
    </w:p>
    <w:p>
      <w:pPr>
        <w:pStyle w:val="BodyText"/>
        <w:spacing w:line="408" w:lineRule="auto"/>
        <w:ind w:left="574" w:right="2352" w:hanging="420"/>
        <w:jc w:val="left"/>
      </w:pPr>
      <w:r>
        <w:rPr>
          <w:rFonts w:ascii="宋体" w:hAnsi="宋体" w:cs="宋体" w:eastAsia="宋体" w:hint="default"/>
        </w:rPr>
        <w:t>29.5</w:t>
      </w:r>
      <w:r>
        <w:rPr/>
        <w:t>政府补助退回的处理 已确认的政府补助需要退回的，在需要退回的当期分情况按照以下规定进行会计处理：</w:t>
      </w:r>
    </w:p>
    <w:p>
      <w:pPr>
        <w:pStyle w:val="BodyText"/>
        <w:spacing w:line="408" w:lineRule="auto"/>
        <w:ind w:right="3612"/>
        <w:jc w:val="left"/>
      </w:pPr>
      <w:r>
        <w:rPr/>
        <w:t>初始确认时冲减相关资产账面价值的，调整资产账面价值； 存在相关递延收益的，冲减相关递延收益账面余额，超出部分计入当期损益； 属于其他情况的，直接计入当期损益。</w:t>
      </w:r>
    </w:p>
    <w:p>
      <w:pPr>
        <w:pStyle w:val="BodyText"/>
        <w:spacing w:line="408" w:lineRule="auto"/>
        <w:ind w:left="574" w:right="1122" w:hanging="420"/>
        <w:jc w:val="left"/>
      </w:pPr>
      <w:r>
        <w:rPr>
          <w:rFonts w:ascii="宋体" w:hAnsi="宋体" w:cs="宋体" w:eastAsia="宋体" w:hint="default"/>
        </w:rPr>
        <w:t>29.6</w:t>
      </w:r>
      <w:r>
        <w:rPr/>
        <w:t>政策性优惠贷款贴息的处理 </w:t>
      </w:r>
      <w:r>
        <w:rPr>
          <w:spacing w:val="-1"/>
        </w:rPr>
        <w:t>财政将贴息资金拨付给贷款银行，由贷款银行以政策性优惠利率向企业提供贷款的，按以下方法进行</w:t>
      </w:r>
    </w:p>
    <w:p>
      <w:pPr>
        <w:pStyle w:val="BodyText"/>
        <w:spacing w:line="240" w:lineRule="auto"/>
        <w:ind w:right="1122"/>
        <w:jc w:val="left"/>
      </w:pPr>
      <w:r>
        <w:rPr/>
        <w:t>会计处理：</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以实际收到的借款金额作为借款的入账价值，按照借款本金和该政策性优惠利率计算相关借款费用。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spacing w:line="408" w:lineRule="auto" w:before="35"/>
        <w:ind w:left="154" w:right="3192" w:firstLine="420"/>
        <w:jc w:val="left"/>
        <w:rPr>
          <w:rFonts w:ascii="宋体" w:hAnsi="宋体" w:cs="宋体" w:eastAsia="宋体" w:hint="default"/>
          <w:sz w:val="21"/>
          <w:szCs w:val="21"/>
        </w:rPr>
      </w:pPr>
      <w:r>
        <w:rPr>
          <w:rFonts w:ascii="宋体" w:hAnsi="宋体" w:cs="宋体" w:eastAsia="宋体" w:hint="default"/>
          <w:sz w:val="21"/>
          <w:szCs w:val="21"/>
        </w:rPr>
        <w:t>财政将贴息资金直接拨付给企业，企业应当将对应的贴息冲减相关借款费用。 </w:t>
      </w:r>
      <w:bookmarkStart w:name="30、递延所得税资产/递延所得税负债" w:id="211"/>
      <w:bookmarkEnd w:id="211"/>
      <w:r>
        <w:rPr>
          <w:rFonts w:ascii="宋体" w:hAnsi="宋体" w:cs="宋体" w:eastAsia="宋体" w:hint="default"/>
          <w:sz w:val="21"/>
          <w:szCs w:val="21"/>
        </w:rPr>
      </w:r>
      <w:r>
        <w:rPr>
          <w:rFonts w:ascii="宋体" w:hAnsi="宋体" w:cs="宋体" w:eastAsia="宋体" w:hint="default"/>
          <w:b/>
          <w:bCs/>
          <w:sz w:val="21"/>
          <w:szCs w:val="21"/>
        </w:rPr>
        <w:t>30</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BodyText"/>
        <w:spacing w:line="408" w:lineRule="auto"/>
        <w:ind w:right="1122" w:firstLine="420"/>
        <w:jc w:val="left"/>
      </w:pPr>
      <w:r>
        <w:rPr/>
        <w:t>递延所得税资产和递延所得税负债根据资产和负债的计税基础与其账面价值的差额</w:t>
      </w:r>
      <w:r>
        <w:rPr>
          <w:rFonts w:ascii="宋体" w:hAnsi="宋体" w:cs="宋体" w:eastAsia="宋体" w:hint="default"/>
        </w:rPr>
        <w:t>(</w:t>
      </w:r>
      <w:r>
        <w:rPr/>
        <w:t>包括应纳税暂时 性差异和可抵扣暂时性差异</w:t>
      </w:r>
      <w:r>
        <w:rPr>
          <w:rFonts w:ascii="宋体" w:hAnsi="宋体" w:cs="宋体" w:eastAsia="宋体" w:hint="default"/>
        </w:rPr>
        <w:t>)</w:t>
      </w:r>
      <w:r>
        <w:rPr/>
        <w:t>计算确认。对于按照税法规定能够于以后年度抵减应纳税所得额的可抵扣亏 </w:t>
      </w:r>
      <w:r>
        <w:rPr>
          <w:spacing w:val="-1"/>
        </w:rPr>
        <w:t>损，视同可抵扣暂时性差异。对于商誉的初始确认产生的暂时性差异，不确认相应的递延所得税负债。对</w:t>
      </w:r>
      <w:r>
        <w:rPr>
          <w:spacing w:val="-85"/>
        </w:rPr>
        <w:t> </w:t>
      </w:r>
      <w:r>
        <w:rPr>
          <w:spacing w:val="-85"/>
        </w:rPr>
      </w:r>
      <w:r>
        <w:rPr/>
        <w:t>于既不影响会计利润也不影响应纳税所得额</w:t>
      </w:r>
      <w:r>
        <w:rPr>
          <w:rFonts w:ascii="宋体" w:hAnsi="宋体" w:cs="宋体" w:eastAsia="宋体" w:hint="default"/>
        </w:rPr>
        <w:t>(</w:t>
      </w:r>
      <w:r>
        <w:rPr/>
        <w:t>或可抵扣亏损</w:t>
      </w:r>
      <w:r>
        <w:rPr>
          <w:rFonts w:ascii="宋体" w:hAnsi="宋体" w:cs="宋体" w:eastAsia="宋体" w:hint="default"/>
        </w:rPr>
        <w:t>)</w:t>
      </w:r>
      <w:r>
        <w:rPr/>
        <w:t>的非企业合并的交易中产生的资产或负债的 </w:t>
      </w:r>
      <w:r>
        <w:rPr>
          <w:spacing w:val="-1"/>
        </w:rPr>
        <w:t>初始确认形成的暂时性差异，不确认相应的递延所得税资产和递延所得税负债。于资产负债表日，递延所</w:t>
      </w:r>
      <w:r>
        <w:rPr>
          <w:spacing w:val="-83"/>
        </w:rPr>
        <w:t> </w:t>
      </w:r>
      <w:r>
        <w:rPr>
          <w:spacing w:val="-83"/>
        </w:rPr>
      </w:r>
      <w:r>
        <w:rPr/>
        <w:t>得税资产和递延所得税负债，按照预期收回该资产或清偿该负债期间的适用税率计量。 </w:t>
      </w:r>
      <w:r>
        <w:rPr>
          <w:spacing w:val="-1"/>
        </w:rPr>
        <w:t>递延所得税资产的确认以本公司很可能取得用来抵扣可抵扣暂时性差异、可抵扣亏损和税款抵减的应纳税</w:t>
      </w:r>
      <w:r>
        <w:rPr>
          <w:spacing w:val="-81"/>
        </w:rPr>
        <w:t> </w:t>
      </w:r>
      <w:r>
        <w:rPr>
          <w:spacing w:val="-81"/>
        </w:rPr>
      </w:r>
      <w:r>
        <w:rPr/>
        <w:t>所得额为限。</w:t>
      </w:r>
    </w:p>
    <w:p>
      <w:pPr>
        <w:pStyle w:val="BodyText"/>
        <w:spacing w:line="408" w:lineRule="auto"/>
        <w:ind w:right="1131" w:firstLine="420"/>
        <w:jc w:val="both"/>
      </w:pPr>
      <w:r>
        <w:rPr>
          <w:spacing w:val="-1"/>
        </w:rPr>
        <w:t>对子公司、联营企业及合营企业投资相关的暂时性差异产生的递延所得税资产和递延所得税负债，予</w:t>
      </w:r>
      <w:r>
        <w:rPr/>
        <w:t> </w:t>
      </w:r>
      <w:r>
        <w:rPr>
          <w:spacing w:val="-1"/>
        </w:rPr>
        <w:t>以确认。但本公司能够控制暂时性差异转回的时间且该暂时性差异在可预见的未来很可能不会转回的，不</w:t>
      </w:r>
      <w:r>
        <w:rPr>
          <w:spacing w:val="-81"/>
        </w:rPr>
        <w:t> </w:t>
      </w:r>
      <w:r>
        <w:rPr>
          <w:spacing w:val="-81"/>
        </w:rPr>
      </w:r>
      <w:r>
        <w:rPr/>
        <w:t>予确认。</w:t>
      </w:r>
    </w:p>
    <w:p>
      <w:pPr>
        <w:pStyle w:val="Heading4"/>
        <w:spacing w:line="240" w:lineRule="auto" w:before="46"/>
        <w:ind w:right="1122"/>
        <w:jc w:val="left"/>
        <w:rPr>
          <w:b w:val="0"/>
          <w:bCs w:val="0"/>
        </w:rPr>
      </w:pPr>
      <w:bookmarkStart w:name="31、租赁" w:id="212"/>
      <w:bookmarkEnd w:id="212"/>
      <w:r>
        <w:rPr>
          <w:b w:val="0"/>
          <w:bCs w:val="0"/>
        </w:rPr>
      </w:r>
      <w:r>
        <w:rPr>
          <w:rFonts w:ascii="宋体" w:hAnsi="宋体" w:cs="宋体" w:eastAsia="宋体" w:hint="default"/>
        </w:rPr>
        <w:t>31</w:t>
      </w:r>
      <w:r>
        <w:rPr/>
        <w:t>、租赁</w:t>
      </w:r>
      <w:r>
        <w:rPr>
          <w:b w:val="0"/>
          <w:bCs w:val="0"/>
        </w:rPr>
      </w:r>
    </w:p>
    <w:p>
      <w:pPr>
        <w:spacing w:line="240" w:lineRule="auto" w:before="10"/>
        <w:rPr>
          <w:rFonts w:ascii="宋体" w:hAnsi="宋体" w:cs="宋体" w:eastAsia="宋体" w:hint="default"/>
          <w:b/>
          <w:bCs/>
          <w:sz w:val="14"/>
          <w:szCs w:val="14"/>
        </w:rPr>
      </w:pPr>
    </w:p>
    <w:p>
      <w:pPr>
        <w:spacing w:line="408" w:lineRule="auto" w:before="0"/>
        <w:ind w:left="574" w:right="3402" w:hanging="420"/>
        <w:jc w:val="left"/>
        <w:rPr>
          <w:rFonts w:ascii="宋体" w:hAnsi="宋体" w:cs="宋体" w:eastAsia="宋体" w:hint="default"/>
          <w:sz w:val="21"/>
          <w:szCs w:val="21"/>
        </w:rPr>
      </w:pPr>
      <w:bookmarkStart w:name="（1）经营租赁的会计处理方法" w:id="213"/>
      <w:bookmarkEnd w:id="21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经营租赁的租金支出在租赁期内按照直线法计入相关资产成本或当期损益。</w:t>
      </w:r>
    </w:p>
    <w:p>
      <w:pPr>
        <w:spacing w:line="408" w:lineRule="auto" w:before="46"/>
        <w:ind w:left="574" w:right="1122" w:hanging="420"/>
        <w:jc w:val="left"/>
        <w:rPr>
          <w:rFonts w:ascii="宋体" w:hAnsi="宋体" w:cs="宋体" w:eastAsia="宋体" w:hint="default"/>
          <w:sz w:val="21"/>
          <w:szCs w:val="21"/>
        </w:rPr>
      </w:pPr>
      <w:bookmarkStart w:name="（2）融资租赁的会计处理方法" w:id="214"/>
      <w:bookmarkEnd w:id="214"/>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按租赁资产的公允价值与最低租赁付款额的现值两者中较低者作为租入资产的入账价值，租入资产的</w:t>
      </w:r>
    </w:p>
    <w:p>
      <w:pPr>
        <w:pStyle w:val="BodyText"/>
        <w:spacing w:line="408" w:lineRule="auto"/>
        <w:ind w:right="1122"/>
        <w:jc w:val="left"/>
      </w:pPr>
      <w:r>
        <w:rPr>
          <w:spacing w:val="-1"/>
        </w:rPr>
        <w:t>入账价值与最低租赁付款额之间的差额为未确认融资费用，在租赁期内按实际利率法摊销。最低租赁付款</w:t>
      </w:r>
      <w:r>
        <w:rPr>
          <w:spacing w:val="-81"/>
        </w:rPr>
        <w:t> </w:t>
      </w:r>
      <w:r>
        <w:rPr>
          <w:spacing w:val="-81"/>
        </w:rPr>
      </w:r>
      <w:r>
        <w:rPr/>
        <w:t>额扣除未确认融资费用后的余额以长期应付款列示。</w:t>
      </w:r>
    </w:p>
    <w:p>
      <w:pPr>
        <w:pStyle w:val="Heading4"/>
        <w:spacing w:line="408" w:lineRule="auto" w:before="46"/>
        <w:ind w:right="7378"/>
        <w:jc w:val="left"/>
        <w:rPr>
          <w:rFonts w:ascii="宋体" w:hAnsi="宋体" w:cs="宋体" w:eastAsia="宋体" w:hint="default"/>
          <w:b w:val="0"/>
          <w:bCs w:val="0"/>
        </w:rPr>
      </w:pPr>
      <w:bookmarkStart w:name="32、其他重要的会计政策和会计估计" w:id="215"/>
      <w:bookmarkEnd w:id="215"/>
      <w:r>
        <w:rPr>
          <w:b w:val="0"/>
          <w:bCs w:val="0"/>
        </w:rPr>
      </w:r>
      <w:r>
        <w:rPr>
          <w:rFonts w:ascii="宋体" w:hAnsi="宋体" w:cs="宋体" w:eastAsia="宋体" w:hint="default"/>
        </w:rPr>
        <w:t>32</w:t>
      </w:r>
      <w:r>
        <w:rPr/>
        <w:t>、其他重要的会计政策和会计估计</w:t>
      </w:r>
      <w:r>
        <w:rPr>
          <w:w w:val="99"/>
        </w:rPr>
        <w:t> </w:t>
      </w:r>
      <w:r>
        <w:rPr>
          <w:rFonts w:ascii="宋体" w:hAnsi="宋体" w:cs="宋体" w:eastAsia="宋体" w:hint="default"/>
          <w:b w:val="0"/>
          <w:bCs w:val="0"/>
        </w:rPr>
        <w:t>商誉：</w:t>
      </w:r>
    </w:p>
    <w:p>
      <w:pPr>
        <w:pStyle w:val="BodyText"/>
        <w:spacing w:line="408" w:lineRule="auto"/>
        <w:ind w:right="1122" w:firstLine="420"/>
        <w:jc w:val="left"/>
      </w:pPr>
      <w:r>
        <w:rPr>
          <w:spacing w:val="-1"/>
        </w:rPr>
        <w:t>商誉为股权投资成本超过应享有的被投资单位于投资取得日的公允价值份额的差额，或者为非同一控</w:t>
      </w:r>
      <w:r>
        <w:rPr/>
        <w:t> 制下企业合并成本超过企业合并中取得的被购买方可辨认净资产于购买日的公允价值份额的差额。</w:t>
      </w:r>
    </w:p>
    <w:p>
      <w:pPr>
        <w:pStyle w:val="BodyText"/>
        <w:spacing w:line="408" w:lineRule="auto"/>
        <w:ind w:right="1122" w:firstLine="420"/>
        <w:jc w:val="left"/>
      </w:pPr>
      <w:r>
        <w:rPr>
          <w:spacing w:val="-1"/>
        </w:rPr>
        <w:t>企业合并形成的商誉在合并财务报表上单独列示。购买联营企业和合营企业股权投资成本超过投资时</w:t>
      </w:r>
      <w:r>
        <w:rPr/>
        <w:t> 应享有被投资单位的公允价值份额的差额，包含于长期股权投资。</w:t>
      </w:r>
    </w:p>
    <w:p>
      <w:pPr>
        <w:pStyle w:val="Heading4"/>
        <w:spacing w:line="240" w:lineRule="auto" w:before="46"/>
        <w:ind w:right="1122"/>
        <w:jc w:val="left"/>
        <w:rPr>
          <w:b w:val="0"/>
          <w:bCs w:val="0"/>
        </w:rPr>
      </w:pPr>
      <w:bookmarkStart w:name="33、重要会计政策和会计估计变更" w:id="216"/>
      <w:bookmarkEnd w:id="216"/>
      <w:r>
        <w:rPr>
          <w:b w:val="0"/>
          <w:bCs w:val="0"/>
        </w:rPr>
      </w:r>
      <w:r>
        <w:rPr>
          <w:rFonts w:ascii="宋体" w:hAnsi="宋体" w:cs="宋体" w:eastAsia="宋体" w:hint="default"/>
        </w:rPr>
        <w:t>33</w:t>
      </w:r>
      <w:r>
        <w:rPr/>
        <w:t>、重要会计政策和会计估计变更</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2"/>
        <w:jc w:val="left"/>
        <w:rPr>
          <w:b w:val="0"/>
          <w:bCs w:val="0"/>
        </w:rPr>
      </w:pPr>
      <w:bookmarkStart w:name="（1）重要会计政策变更" w:id="217"/>
      <w:bookmarkEnd w:id="217"/>
      <w:r>
        <w:rPr>
          <w:b w:val="0"/>
          <w:bCs w:val="0"/>
        </w:rPr>
      </w:r>
      <w:r>
        <w:rPr/>
        <w:t>（</w:t>
      </w:r>
      <w:r>
        <w:rPr>
          <w:rFonts w:ascii="宋体" w:hAnsi="宋体" w:cs="宋体" w:eastAsia="宋体" w:hint="default"/>
        </w:rPr>
        <w:t>1</w:t>
      </w:r>
      <w:r>
        <w:rPr/>
        <w:t>）重要会计政策变更</w:t>
      </w:r>
      <w:r>
        <w:rPr>
          <w:b w:val="0"/>
          <w:bCs w:val="0"/>
        </w:rPr>
      </w:r>
    </w:p>
    <w:p>
      <w:pPr>
        <w:pStyle w:val="BodyText"/>
        <w:spacing w:line="240" w:lineRule="auto" w:before="156"/>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0"/>
        <w:ind w:left="0" w:right="1138" w:firstLine="0"/>
        <w:jc w:val="right"/>
        <w:rPr>
          <w:rFonts w:ascii="宋体" w:hAnsi="宋体" w:cs="宋体" w:eastAsia="宋体" w:hint="default"/>
          <w:sz w:val="18"/>
          <w:szCs w:val="18"/>
        </w:rPr>
      </w:pPr>
      <w:r>
        <w:rPr/>
        <w:pict>
          <v:shape style="position:absolute;margin-left:55.919998pt;margin-top:-86.768265pt;width:480.75pt;height:214.6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2"/>
                    <w:gridCol w:w="2196"/>
                    <w:gridCol w:w="4182"/>
                  </w:tblGrid>
                  <w:tr>
                    <w:trPr>
                      <w:trHeight w:val="415" w:hRule="exact"/>
                    </w:trPr>
                    <w:tc>
                      <w:tcPr>
                        <w:tcW w:w="319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418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47" w:hRule="exact"/>
                    </w:trPr>
                    <w:tc>
                      <w:tcPr>
                        <w:tcW w:w="319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 w:right="19"/>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53"/>
                            <w:sz w:val="18"/>
                            <w:szCs w:val="18"/>
                          </w:rPr>
                          <w:t> </w:t>
                        </w: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年度一 </w:t>
                        </w:r>
                        <w:r>
                          <w:rPr>
                            <w:rFonts w:ascii="宋体" w:hAnsi="宋体" w:cs="宋体" w:eastAsia="宋体" w:hint="default"/>
                            <w:spacing w:val="-6"/>
                            <w:sz w:val="18"/>
                            <w:szCs w:val="18"/>
                          </w:rPr>
                          <w:t>般企业财务报表格式的通知》（财会</w:t>
                        </w:r>
                      </w:p>
                      <w:p>
                        <w:pPr>
                          <w:pStyle w:val="TableParagraph"/>
                          <w:spacing w:line="319" w:lineRule="auto" w:before="19"/>
                          <w:ind w:left="1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2018</w:t>
                        </w:r>
                        <w:r>
                          <w:rPr>
                            <w:rFonts w:ascii="宋体" w:hAnsi="宋体" w:cs="宋体" w:eastAsia="宋体" w:hint="default"/>
                            <w:spacing w:val="-4"/>
                            <w:sz w:val="18"/>
                            <w:szCs w:val="18"/>
                          </w:rPr>
                          <w:t>〕</w:t>
                        </w:r>
                        <w:r>
                          <w:rPr>
                            <w:rFonts w:ascii="宋体" w:hAnsi="宋体" w:cs="宋体" w:eastAsia="宋体" w:hint="default"/>
                            <w:spacing w:val="-4"/>
                            <w:sz w:val="18"/>
                            <w:szCs w:val="18"/>
                          </w:rPr>
                          <w:t>15</w:t>
                        </w:r>
                        <w:r>
                          <w:rPr>
                            <w:rFonts w:ascii="宋体" w:hAnsi="宋体" w:cs="宋体" w:eastAsia="宋体" w:hint="default"/>
                            <w:spacing w:val="-40"/>
                            <w:sz w:val="18"/>
                            <w:szCs w:val="18"/>
                          </w:rPr>
                          <w:t> </w:t>
                        </w:r>
                        <w:r>
                          <w:rPr>
                            <w:rFonts w:ascii="宋体" w:hAnsi="宋体" w:cs="宋体" w:eastAsia="宋体" w:hint="default"/>
                            <w:spacing w:val="-10"/>
                            <w:sz w:val="18"/>
                            <w:szCs w:val="18"/>
                          </w:rPr>
                          <w:t>号），本公司对财务报表格式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进行了相应调整。</w:t>
                        </w:r>
                      </w:p>
                    </w:tc>
                    <w:tc>
                      <w:tcPr>
                        <w:tcW w:w="2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1" w:right="178"/>
                          <w:jc w:val="left"/>
                          <w:rPr>
                            <w:rFonts w:ascii="宋体" w:hAnsi="宋体" w:cs="宋体" w:eastAsia="宋体" w:hint="default"/>
                            <w:sz w:val="18"/>
                            <w:szCs w:val="18"/>
                          </w:rPr>
                        </w:pPr>
                        <w:r>
                          <w:rPr>
                            <w:rFonts w:ascii="宋体" w:hAnsi="宋体" w:cs="宋体" w:eastAsia="宋体" w:hint="default"/>
                            <w:sz w:val="18"/>
                            <w:szCs w:val="18"/>
                          </w:rPr>
                          <w:t>经第三届董事会第二十六 次会议审议通过</w:t>
                        </w:r>
                      </w:p>
                    </w:tc>
                    <w:tc>
                      <w:tcPr>
                        <w:tcW w:w="4182"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1" w:right="1"/>
                          <w:jc w:val="both"/>
                          <w:rPr>
                            <w:rFonts w:ascii="宋体" w:hAnsi="宋体" w:cs="宋体" w:eastAsia="宋体" w:hint="default"/>
                            <w:sz w:val="18"/>
                            <w:szCs w:val="18"/>
                          </w:rPr>
                        </w:pPr>
                        <w:r>
                          <w:rPr>
                            <w:rFonts w:ascii="宋体" w:hAnsi="宋体" w:cs="宋体" w:eastAsia="宋体" w:hint="default"/>
                            <w:spacing w:val="7"/>
                            <w:sz w:val="18"/>
                            <w:szCs w:val="18"/>
                          </w:rPr>
                          <w:t>“应收票据”和“应收账款”合并列示为“应收票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据及应收账款”，本期余额 </w:t>
                        </w:r>
                        <w:r>
                          <w:rPr>
                            <w:rFonts w:ascii="宋体" w:hAnsi="宋体" w:cs="宋体" w:eastAsia="宋体" w:hint="default"/>
                            <w:sz w:val="18"/>
                            <w:szCs w:val="18"/>
                          </w:rPr>
                          <w:t>539,842,237.67</w:t>
                        </w:r>
                        <w:r>
                          <w:rPr>
                            <w:rFonts w:ascii="宋体" w:hAnsi="宋体" w:cs="宋体" w:eastAsia="宋体" w:hint="default"/>
                            <w:spacing w:val="-15"/>
                            <w:sz w:val="18"/>
                            <w:szCs w:val="18"/>
                          </w:rPr>
                          <w:t> </w:t>
                        </w:r>
                        <w:r>
                          <w:rPr>
                            <w:rFonts w:ascii="宋体" w:hAnsi="宋体" w:cs="宋体" w:eastAsia="宋体" w:hint="default"/>
                            <w:sz w:val="18"/>
                            <w:szCs w:val="18"/>
                          </w:rPr>
                          <w:t>元，上</w:t>
                        </w:r>
                      </w:p>
                      <w:p>
                        <w:pPr>
                          <w:pStyle w:val="TableParagraph"/>
                          <w:spacing w:line="319" w:lineRule="auto" w:before="19"/>
                          <w:ind w:left="21" w:right="11"/>
                          <w:jc w:val="both"/>
                          <w:rPr>
                            <w:rFonts w:ascii="宋体" w:hAnsi="宋体" w:cs="宋体" w:eastAsia="宋体" w:hint="default"/>
                            <w:sz w:val="18"/>
                            <w:szCs w:val="18"/>
                          </w:rPr>
                        </w:pPr>
                        <w:r>
                          <w:rPr>
                            <w:rFonts w:ascii="宋体" w:hAnsi="宋体" w:cs="宋体" w:eastAsia="宋体" w:hint="default"/>
                            <w:sz w:val="18"/>
                            <w:szCs w:val="18"/>
                          </w:rPr>
                          <w:t>期余额 </w:t>
                        </w:r>
                        <w:r>
                          <w:rPr>
                            <w:rFonts w:ascii="宋体" w:hAnsi="宋体" w:cs="宋体" w:eastAsia="宋体" w:hint="default"/>
                            <w:sz w:val="18"/>
                            <w:szCs w:val="18"/>
                          </w:rPr>
                          <w:t>629,399,836.06</w:t>
                        </w:r>
                        <w:r>
                          <w:rPr>
                            <w:rFonts w:ascii="宋体" w:hAnsi="宋体" w:cs="宋体" w:eastAsia="宋体" w:hint="default"/>
                            <w:spacing w:val="-15"/>
                            <w:sz w:val="18"/>
                            <w:szCs w:val="18"/>
                          </w:rPr>
                          <w:t> </w:t>
                        </w:r>
                        <w:r>
                          <w:rPr>
                            <w:rFonts w:ascii="宋体" w:hAnsi="宋体" w:cs="宋体" w:eastAsia="宋体" w:hint="default"/>
                            <w:sz w:val="18"/>
                            <w:szCs w:val="18"/>
                          </w:rPr>
                          <w:t>元；“应付票据”和“应付 账款”合并列示为“应付票据及应付账款”，本期余 额</w:t>
                        </w:r>
                        <w:r>
                          <w:rPr>
                            <w:rFonts w:ascii="宋体" w:hAnsi="宋体" w:cs="宋体" w:eastAsia="宋体" w:hint="default"/>
                            <w:spacing w:val="-48"/>
                            <w:sz w:val="18"/>
                            <w:szCs w:val="18"/>
                          </w:rPr>
                          <w:t> </w:t>
                        </w:r>
                        <w:r>
                          <w:rPr>
                            <w:rFonts w:ascii="宋体" w:hAnsi="宋体" w:cs="宋体" w:eastAsia="宋体" w:hint="default"/>
                            <w:sz w:val="18"/>
                            <w:szCs w:val="18"/>
                          </w:rPr>
                          <w:t>136,470,754.72</w:t>
                        </w:r>
                        <w:r>
                          <w:rPr>
                            <w:rFonts w:ascii="宋体" w:hAnsi="宋体" w:cs="宋体" w:eastAsia="宋体" w:hint="default"/>
                            <w:spacing w:val="-48"/>
                            <w:sz w:val="18"/>
                            <w:szCs w:val="18"/>
                          </w:rPr>
                          <w:t> </w:t>
                        </w:r>
                        <w:r>
                          <w:rPr>
                            <w:rFonts w:ascii="宋体" w:hAnsi="宋体" w:cs="宋体" w:eastAsia="宋体" w:hint="default"/>
                            <w:spacing w:val="-15"/>
                            <w:sz w:val="18"/>
                            <w:szCs w:val="18"/>
                          </w:rPr>
                          <w:t>元，上期余额</w:t>
                        </w:r>
                        <w:r>
                          <w:rPr>
                            <w:rFonts w:ascii="宋体" w:hAnsi="宋体" w:cs="宋体" w:eastAsia="宋体" w:hint="default"/>
                            <w:spacing w:val="-48"/>
                            <w:sz w:val="18"/>
                            <w:szCs w:val="18"/>
                          </w:rPr>
                          <w:t> </w:t>
                        </w:r>
                        <w:r>
                          <w:rPr>
                            <w:rFonts w:ascii="宋体" w:hAnsi="宋体" w:cs="宋体" w:eastAsia="宋体" w:hint="default"/>
                            <w:sz w:val="18"/>
                            <w:szCs w:val="18"/>
                          </w:rPr>
                          <w:t>209,775,406.03</w:t>
                        </w:r>
                        <w:r>
                          <w:rPr>
                            <w:rFonts w:ascii="宋体" w:hAnsi="宋体" w:cs="宋体" w:eastAsia="宋体" w:hint="default"/>
                            <w:spacing w:val="-48"/>
                            <w:sz w:val="18"/>
                            <w:szCs w:val="18"/>
                          </w:rPr>
                          <w:t> </w:t>
                        </w:r>
                        <w:r>
                          <w:rPr>
                            <w:rFonts w:ascii="宋体" w:hAnsi="宋体" w:cs="宋体" w:eastAsia="宋体" w:hint="default"/>
                            <w:spacing w:val="-2"/>
                            <w:sz w:val="18"/>
                            <w:szCs w:val="18"/>
                          </w:rPr>
                          <w:t>元</w:t>
                        </w:r>
                        <w:r>
                          <w:rPr>
                            <w:rFonts w:ascii="宋体" w:hAnsi="宋体" w:cs="宋体" w:eastAsia="宋体" w:hint="default"/>
                            <w:sz w:val="18"/>
                            <w:szCs w:val="18"/>
                          </w:rPr>
                        </w:r>
                      </w:p>
                      <w:p>
                        <w:pPr>
                          <w:pStyle w:val="TableParagraph"/>
                          <w:spacing w:line="316" w:lineRule="auto" w:before="17"/>
                          <w:ind w:left="21" w:right="11"/>
                          <w:jc w:val="both"/>
                          <w:rPr>
                            <w:rFonts w:ascii="宋体" w:hAnsi="宋体" w:cs="宋体" w:eastAsia="宋体" w:hint="default"/>
                            <w:sz w:val="18"/>
                            <w:szCs w:val="18"/>
                          </w:rPr>
                        </w:pPr>
                        <w:r>
                          <w:rPr>
                            <w:rFonts w:ascii="宋体" w:hAnsi="宋体" w:cs="宋体" w:eastAsia="宋体" w:hint="default"/>
                            <w:sz w:val="18"/>
                            <w:szCs w:val="18"/>
                          </w:rPr>
                          <w:t>“应收利息及应收股利并入其他应收款”，本期余额 </w:t>
                        </w:r>
                        <w:r>
                          <w:rPr>
                            <w:rFonts w:ascii="宋体" w:hAnsi="宋体" w:cs="宋体" w:eastAsia="宋体" w:hint="default"/>
                            <w:sz w:val="18"/>
                            <w:szCs w:val="18"/>
                          </w:rPr>
                          <w:t>36,411,903.65</w:t>
                        </w:r>
                        <w:r>
                          <w:rPr>
                            <w:rFonts w:ascii="宋体" w:hAnsi="宋体" w:cs="宋体" w:eastAsia="宋体" w:hint="default"/>
                            <w:spacing w:val="-45"/>
                            <w:sz w:val="18"/>
                            <w:szCs w:val="18"/>
                          </w:rPr>
                          <w:t> </w:t>
                        </w:r>
                        <w:r>
                          <w:rPr>
                            <w:rFonts w:ascii="宋体" w:hAnsi="宋体" w:cs="宋体" w:eastAsia="宋体" w:hint="default"/>
                            <w:spacing w:val="-13"/>
                            <w:sz w:val="18"/>
                            <w:szCs w:val="18"/>
                          </w:rPr>
                          <w:t>元，上期余额</w:t>
                        </w:r>
                        <w:r>
                          <w:rPr>
                            <w:rFonts w:ascii="宋体" w:hAnsi="宋体" w:cs="宋体" w:eastAsia="宋体" w:hint="default"/>
                            <w:spacing w:val="-45"/>
                            <w:sz w:val="18"/>
                            <w:szCs w:val="18"/>
                          </w:rPr>
                          <w:t> </w:t>
                        </w:r>
                        <w:r>
                          <w:rPr>
                            <w:rFonts w:ascii="宋体" w:hAnsi="宋体" w:cs="宋体" w:eastAsia="宋体" w:hint="default"/>
                            <w:sz w:val="18"/>
                            <w:szCs w:val="18"/>
                          </w:rPr>
                          <w:t>21,971,169.64</w:t>
                        </w:r>
                        <w:r>
                          <w:rPr>
                            <w:rFonts w:ascii="宋体" w:hAnsi="宋体" w:cs="宋体" w:eastAsia="宋体" w:hint="default"/>
                            <w:spacing w:val="-45"/>
                            <w:sz w:val="18"/>
                            <w:szCs w:val="18"/>
                          </w:rPr>
                          <w:t> </w:t>
                        </w:r>
                        <w:r>
                          <w:rPr>
                            <w:rFonts w:ascii="宋体" w:hAnsi="宋体" w:cs="宋体" w:eastAsia="宋体" w:hint="default"/>
                            <w:spacing w:val="-19"/>
                            <w:sz w:val="18"/>
                            <w:szCs w:val="18"/>
                          </w:rPr>
                          <w:t>元；“应</w:t>
                        </w:r>
                      </w:p>
                      <w:p>
                        <w:pPr>
                          <w:pStyle w:val="TableParagraph"/>
                          <w:spacing w:line="316" w:lineRule="auto" w:before="19"/>
                          <w:ind w:left="21" w:right="11"/>
                          <w:jc w:val="both"/>
                          <w:rPr>
                            <w:rFonts w:ascii="宋体" w:hAnsi="宋体" w:cs="宋体" w:eastAsia="宋体" w:hint="default"/>
                            <w:sz w:val="18"/>
                            <w:szCs w:val="18"/>
                          </w:rPr>
                        </w:pPr>
                        <w:r>
                          <w:rPr>
                            <w:rFonts w:ascii="宋体" w:hAnsi="宋体" w:cs="宋体" w:eastAsia="宋体" w:hint="default"/>
                            <w:spacing w:val="15"/>
                            <w:sz w:val="18"/>
                            <w:szCs w:val="18"/>
                          </w:rPr>
                          <w:t>付利息及应付股利并入其他应付款”，</w:t>
                        </w:r>
                        <w:r>
                          <w:rPr>
                            <w:rFonts w:ascii="宋体" w:hAnsi="宋体" w:cs="宋体" w:eastAsia="宋体" w:hint="default"/>
                            <w:spacing w:val="-71"/>
                            <w:sz w:val="18"/>
                            <w:szCs w:val="18"/>
                          </w:rPr>
                          <w:t> </w:t>
                        </w:r>
                        <w:r>
                          <w:rPr>
                            <w:rFonts w:ascii="宋体" w:hAnsi="宋体" w:cs="宋体" w:eastAsia="宋体" w:hint="default"/>
                            <w:spacing w:val="12"/>
                            <w:sz w:val="18"/>
                            <w:szCs w:val="18"/>
                          </w:rPr>
                          <w:t>本期余额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55,772,381.52</w:t>
                        </w:r>
                        <w:r>
                          <w:rPr>
                            <w:rFonts w:ascii="宋体" w:hAnsi="宋体" w:cs="宋体" w:eastAsia="宋体" w:hint="default"/>
                            <w:spacing w:val="-35"/>
                            <w:sz w:val="18"/>
                            <w:szCs w:val="18"/>
                          </w:rPr>
                          <w:t> </w:t>
                        </w:r>
                        <w:r>
                          <w:rPr>
                            <w:rFonts w:ascii="宋体" w:hAnsi="宋体" w:cs="宋体" w:eastAsia="宋体" w:hint="default"/>
                            <w:sz w:val="18"/>
                            <w:szCs w:val="18"/>
                          </w:rPr>
                          <w:t>元，上期余额</w:t>
                        </w:r>
                        <w:r>
                          <w:rPr>
                            <w:rFonts w:ascii="宋体" w:hAnsi="宋体" w:cs="宋体" w:eastAsia="宋体" w:hint="default"/>
                            <w:spacing w:val="-35"/>
                            <w:sz w:val="18"/>
                            <w:szCs w:val="18"/>
                          </w:rPr>
                          <w:t> </w:t>
                        </w:r>
                        <w:r>
                          <w:rPr>
                            <w:rFonts w:ascii="宋体" w:hAnsi="宋体" w:cs="宋体" w:eastAsia="宋体" w:hint="default"/>
                            <w:sz w:val="18"/>
                            <w:szCs w:val="18"/>
                          </w:rPr>
                          <w:t>65,983,859.25</w:t>
                        </w:r>
                        <w:r>
                          <w:rPr>
                            <w:rFonts w:ascii="宋体" w:hAnsi="宋体" w:cs="宋体" w:eastAsia="宋体" w:hint="default"/>
                            <w:spacing w:val="-35"/>
                            <w:sz w:val="18"/>
                            <w:szCs w:val="18"/>
                          </w:rPr>
                          <w:t> </w:t>
                        </w:r>
                        <w:r>
                          <w:rPr>
                            <w:rFonts w:ascii="宋体" w:hAnsi="宋体" w:cs="宋体" w:eastAsia="宋体" w:hint="default"/>
                            <w:sz w:val="18"/>
                            <w:szCs w:val="18"/>
                          </w:rPr>
                          <w:t>元；调</w:t>
                        </w:r>
                      </w:p>
                      <w:p>
                        <w:pPr>
                          <w:pStyle w:val="TableParagraph"/>
                          <w:spacing w:line="316" w:lineRule="auto" w:before="19"/>
                          <w:ind w:left="21" w:right="-32"/>
                          <w:jc w:val="both"/>
                          <w:rPr>
                            <w:rFonts w:ascii="宋体" w:hAnsi="宋体" w:cs="宋体" w:eastAsia="宋体" w:hint="default"/>
                            <w:sz w:val="18"/>
                            <w:szCs w:val="18"/>
                          </w:rPr>
                        </w:pPr>
                        <w:r>
                          <w:rPr>
                            <w:rFonts w:ascii="宋体" w:hAnsi="宋体" w:cs="宋体" w:eastAsia="宋体" w:hint="default"/>
                            <w:spacing w:val="9"/>
                            <w:sz w:val="18"/>
                            <w:szCs w:val="18"/>
                          </w:rPr>
                          <w:t>减“</w:t>
                        </w:r>
                        <w:r>
                          <w:rPr>
                            <w:rFonts w:ascii="宋体" w:hAnsi="宋体" w:cs="宋体" w:eastAsia="宋体" w:hint="default"/>
                            <w:spacing w:val="-72"/>
                            <w:sz w:val="18"/>
                            <w:szCs w:val="18"/>
                          </w:rPr>
                          <w:t> </w:t>
                        </w:r>
                        <w:r>
                          <w:rPr>
                            <w:rFonts w:ascii="宋体" w:hAnsi="宋体" w:cs="宋体" w:eastAsia="宋体" w:hint="default"/>
                            <w:spacing w:val="15"/>
                            <w:sz w:val="18"/>
                            <w:szCs w:val="18"/>
                          </w:rPr>
                          <w:t>管理费用”，本期</w:t>
                        </w:r>
                        <w:r>
                          <w:rPr>
                            <w:rFonts w:ascii="宋体" w:hAnsi="宋体" w:cs="宋体" w:eastAsia="宋体" w:hint="default"/>
                            <w:spacing w:val="21"/>
                            <w:sz w:val="18"/>
                            <w:szCs w:val="18"/>
                          </w:rPr>
                          <w:t> </w:t>
                        </w:r>
                        <w:r>
                          <w:rPr>
                            <w:rFonts w:ascii="宋体" w:hAnsi="宋体" w:cs="宋体" w:eastAsia="宋体" w:hint="default"/>
                            <w:sz w:val="18"/>
                            <w:szCs w:val="18"/>
                          </w:rPr>
                          <w:t>50,953,860.35</w:t>
                        </w:r>
                        <w:r>
                          <w:rPr>
                            <w:rFonts w:ascii="宋体" w:hAnsi="宋体" w:cs="宋体" w:eastAsia="宋体" w:hint="default"/>
                            <w:spacing w:val="21"/>
                            <w:sz w:val="18"/>
                            <w:szCs w:val="18"/>
                          </w:rPr>
                          <w:t> </w:t>
                        </w:r>
                        <w:r>
                          <w:rPr>
                            <w:rFonts w:ascii="宋体" w:hAnsi="宋体" w:cs="宋体" w:eastAsia="宋体" w:hint="default"/>
                            <w:spacing w:val="13"/>
                            <w:sz w:val="18"/>
                            <w:szCs w:val="18"/>
                          </w:rPr>
                          <w:t>元，上期</w:t>
                        </w:r>
                        <w:r>
                          <w:rPr>
                            <w:rFonts w:ascii="宋体" w:hAnsi="宋体" w:cs="宋体" w:eastAsia="宋体" w:hint="default"/>
                            <w:spacing w:val="-88"/>
                            <w:sz w:val="18"/>
                            <w:szCs w:val="18"/>
                          </w:rPr>
                          <w:t> </w:t>
                        </w:r>
                        <w:r>
                          <w:rPr>
                            <w:rFonts w:ascii="宋体" w:hAnsi="宋体" w:cs="宋体" w:eastAsia="宋体" w:hint="default"/>
                            <w:sz w:val="18"/>
                            <w:szCs w:val="18"/>
                          </w:rPr>
                          <w:t>57,065,124.85</w:t>
                        </w:r>
                        <w:r>
                          <w:rPr>
                            <w:rFonts w:ascii="宋体" w:hAnsi="宋体" w:cs="宋体" w:eastAsia="宋体" w:hint="default"/>
                            <w:spacing w:val="40"/>
                            <w:sz w:val="18"/>
                            <w:szCs w:val="18"/>
                          </w:rPr>
                          <w:t> </w:t>
                        </w:r>
                        <w:r>
                          <w:rPr>
                            <w:rFonts w:ascii="宋体" w:hAnsi="宋体" w:cs="宋体" w:eastAsia="宋体" w:hint="default"/>
                            <w:spacing w:val="30"/>
                            <w:sz w:val="18"/>
                            <w:szCs w:val="18"/>
                          </w:rPr>
                          <w:t>元；单列</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pacing w:val="30"/>
                            <w:sz w:val="18"/>
                            <w:szCs w:val="18"/>
                          </w:rPr>
                          <w:t>研发费用</w:t>
                        </w:r>
                        <w:r>
                          <w:rPr>
                            <w:rFonts w:ascii="宋体" w:hAnsi="宋体" w:cs="宋体" w:eastAsia="宋体" w:hint="default"/>
                            <w:spacing w:val="-51"/>
                            <w:sz w:val="18"/>
                            <w:szCs w:val="18"/>
                          </w:rPr>
                          <w:t> </w:t>
                        </w: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pacing w:val="26"/>
                            <w:sz w:val="18"/>
                            <w:szCs w:val="18"/>
                          </w:rPr>
                          <w:t>，本期</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before="20"/>
                          <w:ind w:left="21" w:right="0"/>
                          <w:jc w:val="both"/>
                          <w:rPr>
                            <w:rFonts w:ascii="宋体" w:hAnsi="宋体" w:cs="宋体" w:eastAsia="宋体" w:hint="default"/>
                            <w:sz w:val="18"/>
                            <w:szCs w:val="18"/>
                          </w:rPr>
                        </w:pPr>
                        <w:r>
                          <w:rPr>
                            <w:rFonts w:ascii="宋体" w:hAnsi="宋体" w:cs="宋体" w:eastAsia="宋体" w:hint="default"/>
                            <w:sz w:val="18"/>
                            <w:szCs w:val="18"/>
                          </w:rPr>
                          <w:t>39,969,498.19</w:t>
                        </w:r>
                        <w:r>
                          <w:rPr>
                            <w:rFonts w:ascii="宋体" w:hAnsi="宋体" w:cs="宋体" w:eastAsia="宋体" w:hint="default"/>
                            <w:spacing w:val="-46"/>
                            <w:sz w:val="18"/>
                            <w:szCs w:val="18"/>
                          </w:rPr>
                          <w:t> </w:t>
                        </w:r>
                        <w:r>
                          <w:rPr>
                            <w:rFonts w:ascii="宋体" w:hAnsi="宋体" w:cs="宋体" w:eastAsia="宋体" w:hint="default"/>
                            <w:sz w:val="18"/>
                            <w:szCs w:val="18"/>
                          </w:rPr>
                          <w:t>元，上期</w:t>
                        </w:r>
                        <w:r>
                          <w:rPr>
                            <w:rFonts w:ascii="宋体" w:hAnsi="宋体" w:cs="宋体" w:eastAsia="宋体" w:hint="default"/>
                            <w:spacing w:val="-46"/>
                            <w:sz w:val="18"/>
                            <w:szCs w:val="18"/>
                          </w:rPr>
                          <w:t> </w:t>
                        </w:r>
                        <w:r>
                          <w:rPr>
                            <w:rFonts w:ascii="宋体" w:hAnsi="宋体" w:cs="宋体" w:eastAsia="宋体" w:hint="default"/>
                            <w:sz w:val="18"/>
                            <w:szCs w:val="18"/>
                          </w:rPr>
                          <w:t>47,206,543.39</w:t>
                        </w:r>
                        <w:r>
                          <w:rPr>
                            <w:rFonts w:ascii="宋体" w:hAnsi="宋体" w:cs="宋体" w:eastAsia="宋体" w:hint="default"/>
                            <w:spacing w:val="-46"/>
                            <w:sz w:val="18"/>
                            <w:szCs w:val="18"/>
                          </w:rPr>
                          <w:t> </w:t>
                        </w:r>
                        <w:r>
                          <w:rPr>
                            <w:rFonts w:ascii="宋体" w:hAnsi="宋体" w:cs="宋体" w:eastAsia="宋体" w:hint="default"/>
                            <w:sz w:val="18"/>
                            <w:szCs w:val="18"/>
                          </w:rPr>
                          <w:t>元等。</w:t>
                        </w:r>
                      </w:p>
                    </w:tc>
                  </w:tr>
                </w:tbl>
                <w:p>
                  <w:pPr/>
                </w:p>
              </w:txbxContent>
            </v:textbox>
            <w10:wrap type="none"/>
          </v:shape>
        </w:pict>
      </w:r>
      <w:r>
        <w:rPr>
          <w:rFonts w:ascii="宋体" w:hAnsi="宋体" w:cs="宋体" w:eastAsia="宋体" w:hint="default"/>
          <w:spacing w:val="-2"/>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4"/>
        <w:spacing w:line="240" w:lineRule="auto" w:before="35"/>
        <w:ind w:right="1122"/>
        <w:jc w:val="left"/>
        <w:rPr>
          <w:b w:val="0"/>
          <w:bCs w:val="0"/>
        </w:rPr>
      </w:pPr>
      <w:bookmarkStart w:name="（2）重要会计估计变更" w:id="218"/>
      <w:bookmarkEnd w:id="218"/>
      <w:r>
        <w:rPr>
          <w:b w:val="0"/>
          <w:bCs w:val="0"/>
        </w:rPr>
      </w:r>
      <w:r>
        <w:rPr/>
        <w:t>（</w:t>
      </w:r>
      <w:r>
        <w:rPr>
          <w:rFonts w:ascii="宋体" w:hAnsi="宋体" w:cs="宋体" w:eastAsia="宋体" w:hint="default"/>
        </w:rPr>
        <w:t>2</w:t>
      </w:r>
      <w:r>
        <w:rPr/>
        <w:t>）重要会计估计变更</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4、其他" w:id="219"/>
      <w:bookmarkEnd w:id="219"/>
      <w:r>
        <w:rPr>
          <w:rFonts w:ascii="宋体" w:hAnsi="宋体" w:cs="宋体" w:eastAsia="宋体" w:hint="default"/>
          <w:sz w:val="21"/>
          <w:szCs w:val="21"/>
        </w:rPr>
      </w:r>
      <w:r>
        <w:rPr>
          <w:rFonts w:ascii="宋体" w:hAnsi="宋体" w:cs="宋体" w:eastAsia="宋体" w:hint="default"/>
          <w:b/>
          <w:bCs/>
          <w:sz w:val="21"/>
          <w:szCs w:val="21"/>
        </w:rPr>
        <w:t>34</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ind w:right="1122"/>
        <w:jc w:val="left"/>
      </w:pPr>
      <w:r>
        <w:rPr/>
        <w:t>□ 适用 √</w:t>
      </w:r>
      <w:r>
        <w:rPr>
          <w:spacing w:val="-1"/>
        </w:rPr>
        <w:t> </w:t>
      </w:r>
      <w:r>
        <w:rPr/>
        <w:t>不适用</w:t>
      </w:r>
    </w:p>
    <w:p>
      <w:pPr>
        <w:spacing w:line="240" w:lineRule="auto" w:before="4"/>
        <w:rPr>
          <w:rFonts w:ascii="宋体" w:hAnsi="宋体" w:cs="宋体" w:eastAsia="宋体" w:hint="default"/>
          <w:sz w:val="25"/>
          <w:szCs w:val="25"/>
        </w:rPr>
      </w:pPr>
    </w:p>
    <w:p>
      <w:pPr>
        <w:pStyle w:val="Heading2"/>
        <w:spacing w:line="240" w:lineRule="auto" w:before="0"/>
        <w:ind w:right="1122"/>
        <w:jc w:val="left"/>
        <w:rPr>
          <w:b w:val="0"/>
          <w:bCs w:val="0"/>
        </w:rPr>
      </w:pPr>
      <w:bookmarkStart w:name="六、税项" w:id="220"/>
      <w:bookmarkEnd w:id="220"/>
      <w:r>
        <w:rPr>
          <w:b w:val="0"/>
          <w:bCs w:val="0"/>
        </w:rPr>
      </w:r>
      <w:r>
        <w:rPr/>
        <w:t>六、税项</w:t>
      </w:r>
      <w:r>
        <w:rPr>
          <w:b w:val="0"/>
          <w:bCs w:val="0"/>
        </w:rPr>
      </w:r>
    </w:p>
    <w:p>
      <w:pPr>
        <w:pStyle w:val="Heading4"/>
        <w:spacing w:line="240" w:lineRule="auto" w:before="142"/>
        <w:ind w:right="1122"/>
        <w:jc w:val="left"/>
        <w:rPr>
          <w:b w:val="0"/>
          <w:bCs w:val="0"/>
        </w:rPr>
      </w:pPr>
      <w:bookmarkStart w:name="1、主要税种及税率" w:id="221"/>
      <w:bookmarkEnd w:id="221"/>
      <w:r>
        <w:rPr>
          <w:b w:val="0"/>
          <w:bCs w:val="0"/>
        </w:rPr>
      </w:r>
      <w:r>
        <w:rPr>
          <w:rFonts w:ascii="宋体" w:hAnsi="宋体" w:cs="宋体" w:eastAsia="宋体" w:hint="default"/>
        </w:rPr>
        <w:t>1</w:t>
      </w:r>
      <w:r>
        <w:rPr/>
        <w:t>、主要税种及税率</w:t>
      </w:r>
      <w:r>
        <w:rPr>
          <w:b w:val="0"/>
          <w:bCs w:val="0"/>
        </w:rPr>
      </w:r>
    </w:p>
    <w:p>
      <w:pPr>
        <w:spacing w:line="240" w:lineRule="auto" w:before="13"/>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84"/>
        <w:gridCol w:w="3190"/>
        <w:gridCol w:w="3189"/>
      </w:tblGrid>
      <w:tr>
        <w:trPr>
          <w:trHeight w:val="413" w:hRule="exact"/>
        </w:trPr>
        <w:tc>
          <w:tcPr>
            <w:tcW w:w="318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3"/>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20" w:hRule="exact"/>
        </w:trPr>
        <w:tc>
          <w:tcPr>
            <w:tcW w:w="3184" w:type="dxa"/>
            <w:tcBorders>
              <w:top w:val="single" w:sz="6" w:space="0" w:color="000000"/>
              <w:left w:val="single" w:sz="12" w:space="0" w:color="000000"/>
              <w:bottom w:val="nil" w:sz="6" w:space="0" w:color="auto"/>
              <w:right w:val="single" w:sz="6" w:space="0" w:color="000000"/>
            </w:tcBorders>
            <w:shd w:val="clear" w:color="auto" w:fill="D2D2D2"/>
          </w:tcPr>
          <w:p>
            <w:pPr/>
          </w:p>
        </w:tc>
        <w:tc>
          <w:tcPr>
            <w:tcW w:w="3190" w:type="dxa"/>
            <w:vMerge w:val="restart"/>
            <w:tcBorders>
              <w:top w:val="single" w:sz="6" w:space="0" w:color="000000"/>
              <w:left w:val="single" w:sz="9" w:space="0" w:color="D2D2D2"/>
              <w:right w:val="single" w:sz="6" w:space="0" w:color="000000"/>
            </w:tcBorders>
          </w:tcPr>
          <w:p>
            <w:pPr>
              <w:pStyle w:val="TableParagraph"/>
              <w:spacing w:line="316" w:lineRule="auto" w:before="52"/>
              <w:ind w:left="16" w:right="93"/>
              <w:jc w:val="left"/>
              <w:rPr>
                <w:rFonts w:ascii="宋体" w:hAnsi="宋体" w:cs="宋体" w:eastAsia="宋体" w:hint="default"/>
                <w:sz w:val="18"/>
                <w:szCs w:val="18"/>
              </w:rPr>
            </w:pPr>
            <w:r>
              <w:rPr>
                <w:rFonts w:ascii="宋体" w:hAnsi="宋体" w:cs="宋体" w:eastAsia="宋体" w:hint="default"/>
                <w:sz w:val="18"/>
                <w:szCs w:val="18"/>
              </w:rPr>
              <w:t>应纳税增值额</w:t>
            </w:r>
            <w:r>
              <w:rPr>
                <w:rFonts w:ascii="宋体" w:hAnsi="宋体" w:cs="宋体" w:eastAsia="宋体" w:hint="default"/>
                <w:sz w:val="18"/>
                <w:szCs w:val="18"/>
              </w:rPr>
              <w:t>(</w:t>
            </w:r>
            <w:r>
              <w:rPr>
                <w:rFonts w:ascii="宋体" w:hAnsi="宋体" w:cs="宋体" w:eastAsia="宋体" w:hint="default"/>
                <w:sz w:val="18"/>
                <w:szCs w:val="18"/>
              </w:rPr>
              <w:t>应纳税额按应纳税销售 额乘以适用税率扣除当期允计抵扣的进 项税后的余额计算</w:t>
            </w:r>
            <w:r>
              <w:rPr>
                <w:rFonts w:ascii="宋体" w:hAnsi="宋体" w:cs="宋体" w:eastAsia="宋体" w:hint="default"/>
                <w:sz w:val="18"/>
                <w:szCs w:val="18"/>
              </w:rPr>
              <w:t>)</w:t>
            </w:r>
          </w:p>
        </w:tc>
        <w:tc>
          <w:tcPr>
            <w:tcW w:w="3189"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175"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6%</w:t>
            </w:r>
          </w:p>
        </w:tc>
      </w:tr>
      <w:tr>
        <w:trPr>
          <w:trHeight w:val="392" w:hRule="exact"/>
        </w:trPr>
        <w:tc>
          <w:tcPr>
            <w:tcW w:w="318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6" w:space="0" w:color="000000"/>
            </w:tcBorders>
          </w:tcPr>
          <w:p>
            <w:pPr/>
          </w:p>
        </w:tc>
        <w:tc>
          <w:tcPr>
            <w:tcW w:w="3189" w:type="dxa"/>
            <w:vMerge/>
            <w:tcBorders>
              <w:left w:val="single" w:sz="6" w:space="0" w:color="000000"/>
              <w:right w:val="single" w:sz="12" w:space="0" w:color="000000"/>
            </w:tcBorders>
          </w:tcPr>
          <w:p>
            <w:pPr/>
          </w:p>
        </w:tc>
      </w:tr>
      <w:tr>
        <w:trPr>
          <w:trHeight w:val="319" w:hRule="exact"/>
        </w:trPr>
        <w:tc>
          <w:tcPr>
            <w:tcW w:w="3184" w:type="dxa"/>
            <w:tcBorders>
              <w:top w:val="nil" w:sz="6" w:space="0" w:color="auto"/>
              <w:left w:val="single" w:sz="12" w:space="0" w:color="000000"/>
              <w:bottom w:val="single" w:sz="6" w:space="0" w:color="000000"/>
              <w:right w:val="single" w:sz="6" w:space="0" w:color="000000"/>
            </w:tcBorders>
            <w:shd w:val="clear" w:color="auto" w:fill="D2D2D2"/>
          </w:tcPr>
          <w:p>
            <w:pPr/>
          </w:p>
        </w:tc>
        <w:tc>
          <w:tcPr>
            <w:tcW w:w="3190" w:type="dxa"/>
            <w:vMerge/>
            <w:tcBorders>
              <w:left w:val="single" w:sz="9" w:space="0" w:color="D2D2D2"/>
              <w:bottom w:val="single" w:sz="6" w:space="0" w:color="000000"/>
              <w:right w:val="single" w:sz="6" w:space="0" w:color="000000"/>
            </w:tcBorders>
          </w:tcPr>
          <w:p>
            <w:pPr/>
          </w:p>
        </w:tc>
        <w:tc>
          <w:tcPr>
            <w:tcW w:w="3189" w:type="dxa"/>
            <w:vMerge/>
            <w:tcBorders>
              <w:left w:val="single" w:sz="6" w:space="0" w:color="000000"/>
              <w:bottom w:val="single" w:sz="6" w:space="0" w:color="000000"/>
              <w:right w:val="single" w:sz="12" w:space="0" w:color="000000"/>
            </w:tcBorders>
          </w:tcPr>
          <w:p>
            <w:pPr/>
          </w:p>
        </w:tc>
      </w:tr>
      <w:tr>
        <w:trPr>
          <w:trHeight w:val="407" w:hRule="exact"/>
        </w:trPr>
        <w:tc>
          <w:tcPr>
            <w:tcW w:w="31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应纳增值税、消费税额</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w:t>
            </w:r>
          </w:p>
        </w:tc>
      </w:tr>
      <w:tr>
        <w:trPr>
          <w:trHeight w:val="407" w:hRule="exact"/>
        </w:trPr>
        <w:tc>
          <w:tcPr>
            <w:tcW w:w="318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15%</w:t>
            </w:r>
          </w:p>
        </w:tc>
      </w:tr>
      <w:tr>
        <w:trPr>
          <w:trHeight w:val="415" w:hRule="exact"/>
        </w:trPr>
        <w:tc>
          <w:tcPr>
            <w:tcW w:w="318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应纳增值税、消费税额</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w:t>
            </w:r>
          </w:p>
        </w:tc>
      </w:tr>
    </w:tbl>
    <w:p>
      <w:pPr>
        <w:spacing w:before="51"/>
        <w:ind w:left="154" w:right="1122"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6381"/>
        <w:gridCol w:w="3188"/>
      </w:tblGrid>
      <w:tr>
        <w:trPr>
          <w:trHeight w:val="413" w:hRule="exact"/>
        </w:trPr>
        <w:tc>
          <w:tcPr>
            <w:tcW w:w="638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8"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w:t>
            </w:r>
          </w:p>
        </w:tc>
      </w:tr>
      <w:tr>
        <w:trPr>
          <w:trHeight w:val="407"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w:t>
            </w:r>
          </w:p>
        </w:tc>
      </w:tr>
      <w:tr>
        <w:trPr>
          <w:trHeight w:val="407"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w:t>
            </w:r>
          </w:p>
        </w:tc>
      </w:tr>
      <w:tr>
        <w:trPr>
          <w:trHeight w:val="407"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r>
        <w:trPr>
          <w:trHeight w:val="407"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江苏光一贵仁股权投资基金管理有限公司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w:t>
            </w:r>
          </w:p>
        </w:tc>
      </w:tr>
      <w:tr>
        <w:trPr>
          <w:trHeight w:val="407"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江苏光一德能电气工程有限公司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w:t>
            </w:r>
          </w:p>
        </w:tc>
      </w:tr>
      <w:tr>
        <w:trPr>
          <w:trHeight w:val="408"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w:t>
            </w:r>
          </w:p>
        </w:tc>
      </w:tr>
      <w:tr>
        <w:trPr>
          <w:trHeight w:val="415" w:hRule="exact"/>
        </w:trPr>
        <w:tc>
          <w:tcPr>
            <w:tcW w:w="638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6381"/>
        <w:gridCol w:w="3188"/>
      </w:tblGrid>
      <w:tr>
        <w:trPr>
          <w:trHeight w:val="415" w:hRule="exact"/>
        </w:trPr>
        <w:tc>
          <w:tcPr>
            <w:tcW w:w="638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7"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湖北鼎瑞科技有限公司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r>
        <w:trPr>
          <w:trHeight w:val="407"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武汉睿博电气有限责任公司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r>
        <w:trPr>
          <w:trHeight w:val="407"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荆州市山源科技有限公司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r>
        <w:trPr>
          <w:trHeight w:val="407"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湖北瑞云软件科技有限公司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w:t>
            </w:r>
          </w:p>
        </w:tc>
      </w:tr>
      <w:tr>
        <w:trPr>
          <w:trHeight w:val="407"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贵州健康云科技有限公司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w:t>
            </w:r>
          </w:p>
        </w:tc>
      </w:tr>
      <w:tr>
        <w:trPr>
          <w:trHeight w:val="408"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南京勤能科技有限公司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w:t>
            </w:r>
          </w:p>
        </w:tc>
      </w:tr>
      <w:tr>
        <w:trPr>
          <w:trHeight w:val="407"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云商天下信息技术河北有限公司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r>
        <w:trPr>
          <w:trHeight w:val="407" w:hRule="exact"/>
        </w:trPr>
        <w:tc>
          <w:tcPr>
            <w:tcW w:w="63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光一数道</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r>
        <w:trPr>
          <w:trHeight w:val="415" w:hRule="exact"/>
        </w:trPr>
        <w:tc>
          <w:tcPr>
            <w:tcW w:w="638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南京领航光一科技产业投资合伙企业（有限合伙）</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bl>
    <w:p>
      <w:pPr>
        <w:pStyle w:val="Heading4"/>
        <w:spacing w:line="240" w:lineRule="auto" w:before="63"/>
        <w:ind w:right="1122"/>
        <w:jc w:val="left"/>
        <w:rPr>
          <w:b w:val="0"/>
          <w:bCs w:val="0"/>
        </w:rPr>
      </w:pPr>
      <w:bookmarkStart w:name="2、税收优惠" w:id="222"/>
      <w:bookmarkEnd w:id="222"/>
      <w:r>
        <w:rPr>
          <w:b w:val="0"/>
          <w:bCs w:val="0"/>
        </w:rPr>
      </w:r>
      <w:r>
        <w:rPr>
          <w:rFonts w:ascii="宋体" w:hAnsi="宋体" w:cs="宋体" w:eastAsia="宋体" w:hint="default"/>
        </w:rPr>
        <w:t>2</w:t>
      </w:r>
      <w:r>
        <w:rPr/>
        <w:t>、税收优惠</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32" w:firstLine="420"/>
        <w:jc w:val="both"/>
      </w:pPr>
      <w:r>
        <w:rPr>
          <w:spacing w:val="-1"/>
        </w:rPr>
        <w:t>本公司于</w:t>
      </w:r>
      <w:r>
        <w:rPr>
          <w:rFonts w:ascii="宋体" w:hAnsi="宋体" w:cs="宋体" w:eastAsia="宋体" w:hint="default"/>
          <w:spacing w:val="-1"/>
        </w:rPr>
        <w:t>2018</w:t>
      </w:r>
      <w:r>
        <w:rPr>
          <w:spacing w:val="-1"/>
        </w:rPr>
        <w:t>年通过高新技术企业认定，享受高新技术企业所得税优惠政策，有效期三年。在此期间</w:t>
      </w:r>
      <w:r>
        <w:rPr/>
        <w:t> 内按</w:t>
      </w:r>
      <w:r>
        <w:rPr>
          <w:rFonts w:ascii="宋体" w:hAnsi="宋体" w:cs="宋体" w:eastAsia="宋体" w:hint="default"/>
        </w:rPr>
        <w:t>15%</w:t>
      </w:r>
      <w:r>
        <w:rPr/>
        <w:t>的税率缴纳企业所得税。</w:t>
      </w:r>
    </w:p>
    <w:p>
      <w:pPr>
        <w:pStyle w:val="BodyText"/>
        <w:spacing w:line="408" w:lineRule="auto"/>
        <w:ind w:right="1132" w:firstLine="420"/>
        <w:jc w:val="both"/>
      </w:pPr>
      <w:r>
        <w:rPr>
          <w:spacing w:val="-1"/>
        </w:rPr>
        <w:t>本公司子公司湖北索瑞电气有限公司于</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28</w:t>
      </w:r>
      <w:r>
        <w:rPr>
          <w:spacing w:val="-1"/>
        </w:rPr>
        <w:t>日通过高新技术企业评审，取得《高新技术企业</w:t>
      </w:r>
      <w:r>
        <w:rPr/>
        <w:t> 证书》，享受高新技术企业所得税优惠政策，有效期三年。在此期间内按</w:t>
      </w:r>
      <w:r>
        <w:rPr>
          <w:rFonts w:ascii="宋体" w:hAnsi="宋体" w:cs="宋体" w:eastAsia="宋体" w:hint="default"/>
        </w:rPr>
        <w:t>15%</w:t>
      </w:r>
      <w:r>
        <w:rPr/>
        <w:t>的税率缴纳企业所得税。</w:t>
      </w:r>
    </w:p>
    <w:p>
      <w:pPr>
        <w:pStyle w:val="BodyText"/>
        <w:spacing w:line="408" w:lineRule="auto"/>
        <w:ind w:right="1131" w:firstLine="420"/>
        <w:jc w:val="both"/>
      </w:pPr>
      <w:r>
        <w:rPr>
          <w:spacing w:val="-1"/>
        </w:rPr>
        <w:t>本公司子公司江苏苏源光一科技有限公司于</w:t>
      </w:r>
      <w:r>
        <w:rPr>
          <w:rFonts w:ascii="宋体" w:hAnsi="宋体" w:cs="宋体" w:eastAsia="宋体" w:hint="default"/>
          <w:spacing w:val="-1"/>
        </w:rPr>
        <w:t>2016</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20</w:t>
      </w:r>
      <w:r>
        <w:rPr>
          <w:spacing w:val="-1"/>
        </w:rPr>
        <w:t>日取得证书编号为</w:t>
      </w:r>
      <w:r>
        <w:rPr>
          <w:rFonts w:ascii="宋体" w:hAnsi="宋体" w:cs="宋体" w:eastAsia="宋体" w:hint="default"/>
          <w:spacing w:val="-1"/>
        </w:rPr>
        <w:t>GR201632000383</w:t>
      </w:r>
      <w:r>
        <w:rPr>
          <w:spacing w:val="-1"/>
        </w:rPr>
        <w:t>的《高新</w:t>
      </w:r>
      <w:r>
        <w:rPr/>
        <w:t> 技术企业证书》，享受高新技术企业所得税优惠政策，有效期三年。在此期间内按</w:t>
      </w:r>
      <w:r>
        <w:rPr>
          <w:rFonts w:ascii="宋体" w:hAnsi="宋体" w:cs="宋体" w:eastAsia="宋体" w:hint="default"/>
        </w:rPr>
        <w:t>15%</w:t>
      </w:r>
      <w:r>
        <w:rPr/>
        <w:t>的税率缴纳企业所</w:t>
      </w:r>
      <w:r>
        <w:rPr>
          <w:spacing w:val="-26"/>
        </w:rPr>
        <w:t> </w:t>
      </w:r>
      <w:r>
        <w:rPr>
          <w:spacing w:val="-26"/>
        </w:rPr>
      </w:r>
      <w:r>
        <w:rPr/>
        <w:t>得税。</w:t>
      </w:r>
    </w:p>
    <w:p>
      <w:pPr>
        <w:pStyle w:val="BodyText"/>
        <w:spacing w:line="240" w:lineRule="auto"/>
        <w:ind w:left="574" w:right="0"/>
        <w:jc w:val="left"/>
      </w:pPr>
      <w:r>
        <w:rPr>
          <w:spacing w:val="3"/>
        </w:rPr>
        <w:t>本公司子公司江苏德能电力设计咨询有限公司于</w:t>
      </w:r>
      <w:r>
        <w:rPr>
          <w:rFonts w:ascii="宋体" w:hAnsi="宋体" w:cs="宋体" w:eastAsia="宋体" w:hint="default"/>
          <w:spacing w:val="3"/>
        </w:rPr>
        <w:t>2016</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30</w:t>
      </w:r>
      <w:r>
        <w:rPr>
          <w:spacing w:val="3"/>
        </w:rPr>
        <w:t>日取得证书编号为</w:t>
      </w:r>
      <w:r>
        <w:rPr>
          <w:rFonts w:ascii="宋体" w:hAnsi="宋体" w:cs="宋体" w:eastAsia="宋体" w:hint="default"/>
          <w:spacing w:val="3"/>
        </w:rPr>
        <w:t>GR201632001132</w:t>
      </w:r>
      <w:r>
        <w:rPr>
          <w:spacing w:val="3"/>
        </w:rPr>
        <w:t>的</w:t>
      </w:r>
    </w:p>
    <w:p>
      <w:pPr>
        <w:spacing w:line="240" w:lineRule="auto" w:before="10"/>
        <w:rPr>
          <w:rFonts w:ascii="宋体" w:hAnsi="宋体" w:cs="宋体" w:eastAsia="宋体" w:hint="default"/>
          <w:sz w:val="14"/>
          <w:szCs w:val="14"/>
        </w:rPr>
      </w:pPr>
    </w:p>
    <w:p>
      <w:pPr>
        <w:pStyle w:val="BodyText"/>
        <w:spacing w:line="408" w:lineRule="auto" w:before="0"/>
        <w:ind w:right="1122"/>
        <w:jc w:val="left"/>
      </w:pPr>
      <w:r>
        <w:rPr/>
        <w:t>《高新技术企业证书》，享受高新技术企业所得税优惠政策，有效期三年。在此期间内按</w:t>
      </w:r>
      <w:r>
        <w:rPr>
          <w:rFonts w:ascii="宋体" w:hAnsi="宋体" w:cs="宋体" w:eastAsia="宋体" w:hint="default"/>
        </w:rPr>
        <w:t>15%</w:t>
      </w:r>
      <w:r>
        <w:rPr/>
        <w:t>的税率缴纳</w:t>
      </w:r>
      <w:r>
        <w:rPr>
          <w:spacing w:val="-27"/>
        </w:rPr>
        <w:t> </w:t>
      </w:r>
      <w:r>
        <w:rPr>
          <w:spacing w:val="-27"/>
        </w:rPr>
      </w:r>
      <w:r>
        <w:rPr/>
        <w:t>企业所得税。</w:t>
      </w:r>
    </w:p>
    <w:p>
      <w:pPr>
        <w:pStyle w:val="BodyText"/>
        <w:spacing w:line="240" w:lineRule="auto"/>
        <w:ind w:left="574" w:right="0"/>
        <w:jc w:val="left"/>
      </w:pPr>
      <w:r>
        <w:rPr>
          <w:spacing w:val="3"/>
        </w:rPr>
        <w:t>本公司子公司南京云商天下信息技术有限公司于</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30</w:t>
      </w:r>
      <w:r>
        <w:rPr>
          <w:spacing w:val="3"/>
        </w:rPr>
        <w:t>日取得证书编号为</w:t>
      </w:r>
      <w:r>
        <w:rPr>
          <w:rFonts w:ascii="宋体" w:hAnsi="宋体" w:cs="宋体" w:eastAsia="宋体" w:hint="default"/>
          <w:spacing w:val="3"/>
        </w:rPr>
        <w:t>GR201832005781</w:t>
      </w:r>
      <w:r>
        <w:rPr>
          <w:spacing w:val="3"/>
        </w:rPr>
        <w:t>的</w:t>
      </w:r>
    </w:p>
    <w:p>
      <w:pPr>
        <w:spacing w:line="240" w:lineRule="auto" w:before="10"/>
        <w:rPr>
          <w:rFonts w:ascii="宋体" w:hAnsi="宋体" w:cs="宋体" w:eastAsia="宋体" w:hint="default"/>
          <w:sz w:val="14"/>
          <w:szCs w:val="14"/>
        </w:rPr>
      </w:pPr>
    </w:p>
    <w:p>
      <w:pPr>
        <w:pStyle w:val="BodyText"/>
        <w:spacing w:line="408" w:lineRule="auto" w:before="0"/>
        <w:ind w:right="1122"/>
        <w:jc w:val="left"/>
      </w:pPr>
      <w:r>
        <w:rPr/>
        <w:t>《高新技术企业证书》，享受高新技术企业所得税优惠政策，有效期三年。在此期间内按</w:t>
      </w:r>
      <w:r>
        <w:rPr>
          <w:rFonts w:ascii="宋体" w:hAnsi="宋体" w:cs="宋体" w:eastAsia="宋体" w:hint="default"/>
        </w:rPr>
        <w:t>15%</w:t>
      </w:r>
      <w:r>
        <w:rPr/>
        <w:t>的税率缴纳</w:t>
      </w:r>
      <w:r>
        <w:rPr>
          <w:spacing w:val="-27"/>
        </w:rPr>
        <w:t> </w:t>
      </w:r>
      <w:r>
        <w:rPr>
          <w:spacing w:val="-27"/>
        </w:rPr>
      </w:r>
      <w:r>
        <w:rPr/>
        <w:t>企业所得税。</w:t>
      </w:r>
    </w:p>
    <w:p>
      <w:pPr>
        <w:pStyle w:val="Heading4"/>
        <w:spacing w:line="240" w:lineRule="auto" w:before="46"/>
        <w:ind w:right="1122"/>
        <w:jc w:val="left"/>
        <w:rPr>
          <w:b w:val="0"/>
          <w:bCs w:val="0"/>
        </w:rPr>
      </w:pPr>
      <w:bookmarkStart w:name="3、其他" w:id="223"/>
      <w:bookmarkEnd w:id="223"/>
      <w:r>
        <w:rPr>
          <w:b w:val="0"/>
          <w:bCs w:val="0"/>
        </w:rPr>
      </w:r>
      <w:r>
        <w:rPr>
          <w:rFonts w:ascii="宋体" w:hAnsi="宋体" w:cs="宋体" w:eastAsia="宋体" w:hint="default"/>
        </w:rPr>
        <w:t>3</w:t>
      </w:r>
      <w:r>
        <w:rPr/>
        <w:t>、其他</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215" w:firstLine="420"/>
        <w:jc w:val="both"/>
      </w:pPr>
      <w:r>
        <w:rPr/>
        <w:t>公司及各子公司根据国务院</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28</w:t>
      </w:r>
      <w:r>
        <w:rPr/>
        <w:t>日下发的《国务院关于印发进一步鼓励软件产业和集成电路 产业发展若干政策的通知》国发</w:t>
      </w:r>
      <w:r>
        <w:rPr>
          <w:rFonts w:ascii="宋体" w:hAnsi="宋体" w:cs="宋体" w:eastAsia="宋体" w:hint="default"/>
        </w:rPr>
        <w:t>[2011]4</w:t>
      </w:r>
      <w:r>
        <w:rPr/>
        <w:t>号文件，对增值税一般纳税人销售其自行开发生产的软件产品， 按</w:t>
      </w:r>
      <w:r>
        <w:rPr>
          <w:rFonts w:ascii="宋体" w:hAnsi="宋体" w:cs="宋体" w:eastAsia="宋体" w:hint="default"/>
        </w:rPr>
        <w:t>17%</w:t>
      </w:r>
      <w:r>
        <w:rPr/>
        <w:t>的法定税率征收增值税后，对其增值税实际税负超过</w:t>
      </w:r>
      <w:r>
        <w:rPr>
          <w:rFonts w:ascii="宋体" w:hAnsi="宋体" w:cs="宋体" w:eastAsia="宋体" w:hint="default"/>
        </w:rPr>
        <w:t>3%</w:t>
      </w:r>
      <w:r>
        <w:rPr/>
        <w:t>的部分实行即征即退的增值税优惠政策。</w:t>
      </w:r>
    </w:p>
    <w:p>
      <w:pPr>
        <w:spacing w:after="0" w:line="408" w:lineRule="auto"/>
        <w:jc w:val="both"/>
        <w:sectPr>
          <w:pgSz w:w="11910" w:h="16840"/>
          <w:pgMar w:header="877" w:footer="1000" w:top="1100" w:bottom="1180" w:left="980" w:right="0"/>
        </w:sectPr>
      </w:pPr>
    </w:p>
    <w:p>
      <w:pPr>
        <w:spacing w:line="240" w:lineRule="auto" w:before="9"/>
        <w:rPr>
          <w:rFonts w:ascii="宋体" w:hAnsi="宋体" w:cs="宋体" w:eastAsia="宋体" w:hint="default"/>
          <w:sz w:val="19"/>
          <w:szCs w:val="19"/>
        </w:rPr>
      </w:pPr>
    </w:p>
    <w:p>
      <w:pPr>
        <w:pStyle w:val="Heading2"/>
        <w:spacing w:line="240" w:lineRule="auto"/>
        <w:ind w:right="1122"/>
        <w:jc w:val="left"/>
        <w:rPr>
          <w:b w:val="0"/>
          <w:bCs w:val="0"/>
        </w:rPr>
      </w:pPr>
      <w:bookmarkStart w:name="七、合并财务报表项目注释" w:id="224"/>
      <w:bookmarkEnd w:id="224"/>
      <w:r>
        <w:rPr>
          <w:b w:val="0"/>
          <w:bCs w:val="0"/>
        </w:rPr>
      </w:r>
      <w:r>
        <w:rPr/>
        <w:t>七、合并财务报表项目注释</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000" w:top="1100" w:bottom="1180" w:left="980" w:right="0"/>
        </w:sectPr>
      </w:pPr>
    </w:p>
    <w:p>
      <w:pPr>
        <w:pStyle w:val="Heading4"/>
        <w:spacing w:line="240" w:lineRule="auto" w:before="35"/>
        <w:ind w:right="0"/>
        <w:jc w:val="left"/>
        <w:rPr>
          <w:b w:val="0"/>
          <w:bCs w:val="0"/>
        </w:rPr>
      </w:pPr>
      <w:bookmarkStart w:name="1、货币资金" w:id="225"/>
      <w:bookmarkEnd w:id="225"/>
      <w:r>
        <w:rPr>
          <w:b w:val="0"/>
          <w:bCs w:val="0"/>
        </w:rPr>
      </w:r>
      <w:r>
        <w:rPr>
          <w:rFonts w:ascii="宋体" w:hAnsi="宋体" w:cs="宋体" w:eastAsia="宋体" w:hint="default"/>
          <w:w w:val="95"/>
        </w:rPr>
        <w:t>1</w:t>
      </w:r>
      <w:r>
        <w:rPr>
          <w:w w:val="95"/>
        </w:rPr>
        <w:t>、货币资金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7"/>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314" w:space="7605"/>
            <w:col w:w="2011"/>
          </w:cols>
        </w:sectPr>
      </w:pP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73"/>
        <w:gridCol w:w="3201"/>
        <w:gridCol w:w="3189"/>
      </w:tblGrid>
      <w:tr>
        <w:trPr>
          <w:trHeight w:val="415"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258,185.05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335,216.33</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83,962,903.90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188,955,060.35</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8,584,501.13</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11,365,009.55</w:t>
            </w:r>
          </w:p>
        </w:tc>
      </w:tr>
      <w:tr>
        <w:trPr>
          <w:trHeight w:val="41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92,805,590.08</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200,655,286.23</w:t>
            </w:r>
          </w:p>
        </w:tc>
      </w:tr>
    </w:tbl>
    <w:p>
      <w:pPr>
        <w:pStyle w:val="BodyText"/>
        <w:spacing w:line="408" w:lineRule="auto" w:before="63"/>
        <w:ind w:right="1148"/>
        <w:jc w:val="left"/>
      </w:pPr>
      <w:r>
        <w:rPr/>
        <w:t>其他说明：期末货币资金余额较期初减少</w:t>
      </w:r>
      <w:r>
        <w:rPr>
          <w:spacing w:val="-53"/>
        </w:rPr>
        <w:t> </w:t>
      </w:r>
      <w:r>
        <w:rPr>
          <w:rFonts w:ascii="宋体" w:hAnsi="宋体" w:cs="宋体" w:eastAsia="宋体" w:hint="default"/>
        </w:rPr>
        <w:t>107,849,696.15</w:t>
      </w:r>
      <w:r>
        <w:rPr>
          <w:rFonts w:ascii="宋体" w:hAnsi="宋体" w:cs="宋体" w:eastAsia="宋体" w:hint="default"/>
          <w:spacing w:val="-54"/>
        </w:rPr>
        <w:t> </w:t>
      </w:r>
      <w:r>
        <w:rPr/>
        <w:t>元，减少比例为</w:t>
      </w:r>
      <w:r>
        <w:rPr>
          <w:spacing w:val="-54"/>
        </w:rPr>
        <w:t> </w:t>
      </w:r>
      <w:r>
        <w:rPr>
          <w:rFonts w:ascii="宋体" w:hAnsi="宋体" w:cs="宋体" w:eastAsia="宋体" w:hint="default"/>
        </w:rPr>
        <w:t>53.75%</w:t>
      </w:r>
      <w:r>
        <w:rPr/>
        <w:t>，主要是支付以前年度 货款以及偿还到期银行贷款所致。</w:t>
      </w:r>
    </w:p>
    <w:p>
      <w:pPr>
        <w:pStyle w:val="Heading4"/>
        <w:spacing w:line="240" w:lineRule="auto" w:before="46"/>
        <w:ind w:right="1122"/>
        <w:jc w:val="left"/>
        <w:rPr>
          <w:b w:val="0"/>
          <w:bCs w:val="0"/>
        </w:rPr>
      </w:pPr>
      <w:bookmarkStart w:name="2、以公允价值计量且其变动计入当期损益的金融资产" w:id="226"/>
      <w:bookmarkEnd w:id="226"/>
      <w:r>
        <w:rPr>
          <w:b w:val="0"/>
          <w:bCs w:val="0"/>
        </w:rPr>
      </w:r>
      <w:r>
        <w:rPr>
          <w:rFonts w:ascii="宋体" w:hAnsi="宋体" w:cs="宋体" w:eastAsia="宋体" w:hint="default"/>
        </w:rPr>
        <w:t>2</w:t>
      </w:r>
      <w:r>
        <w:rPr/>
        <w:t>、以公允价值计量且其变动计入当期损益的金融资产</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衍生金融资产" w:id="227"/>
      <w:bookmarkEnd w:id="227"/>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408" w:lineRule="auto" w:before="46"/>
        <w:ind w:left="154" w:right="853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应收票据及应收账款" w:id="228"/>
      <w:bookmarkEnd w:id="228"/>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73"/>
        <w:gridCol w:w="3201"/>
        <w:gridCol w:w="3189"/>
      </w:tblGrid>
      <w:tr>
        <w:trPr>
          <w:trHeight w:val="415"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24,697,342.41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40,183,047.38</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515,144,895.26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589,216,788.68</w:t>
            </w:r>
          </w:p>
        </w:tc>
      </w:tr>
      <w:tr>
        <w:trPr>
          <w:trHeight w:val="416"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539,842,237.67</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629,399,836.06</w:t>
            </w:r>
          </w:p>
        </w:tc>
      </w:tr>
    </w:tbl>
    <w:p>
      <w:pPr>
        <w:spacing w:line="408" w:lineRule="auto" w:before="63"/>
        <w:ind w:left="154" w:right="8862" w:firstLine="0"/>
        <w:jc w:val="left"/>
        <w:rPr>
          <w:rFonts w:ascii="宋体" w:hAnsi="宋体" w:cs="宋体" w:eastAsia="宋体" w:hint="default"/>
          <w:sz w:val="21"/>
          <w:szCs w:val="21"/>
        </w:rPr>
      </w:pPr>
      <w:bookmarkStart w:name="（1）应收票据" w:id="229"/>
      <w:bookmarkEnd w:id="22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）应收票据</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应收票据分类列示</w:t>
      </w:r>
    </w:p>
    <w:p>
      <w:pPr>
        <w:spacing w:line="228"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73"/>
        <w:gridCol w:w="3201"/>
        <w:gridCol w:w="3189"/>
      </w:tblGrid>
      <w:tr>
        <w:trPr>
          <w:trHeight w:val="415"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13,077,795.07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40,183,047.38</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11,619,547.34</w:t>
            </w:r>
          </w:p>
        </w:tc>
        <w:tc>
          <w:tcPr>
            <w:tcW w:w="3189"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24,697,342.41</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40,183,047.38</w:t>
            </w:r>
          </w:p>
        </w:tc>
      </w:tr>
    </w:tbl>
    <w:p>
      <w:pPr>
        <w:spacing w:line="240" w:lineRule="auto" w:before="5"/>
        <w:rPr>
          <w:rFonts w:ascii="宋体" w:hAnsi="宋体" w:cs="宋体" w:eastAsia="宋体" w:hint="default"/>
          <w:sz w:val="5"/>
          <w:szCs w:val="5"/>
        </w:rPr>
      </w:pPr>
    </w:p>
    <w:p>
      <w:pPr>
        <w:pStyle w:val="BodyText"/>
        <w:spacing w:line="240" w:lineRule="auto" w:before="35"/>
        <w:ind w:right="1122"/>
        <w:jc w:val="left"/>
      </w:pPr>
      <w:r>
        <w:rPr>
          <w:rFonts w:ascii="宋体" w:hAnsi="宋体" w:cs="宋体" w:eastAsia="宋体" w:hint="default"/>
        </w:rPr>
        <w:t>2)</w:t>
      </w:r>
      <w:r>
        <w:rPr/>
        <w:t>期末公司已质押的应收票据</w:t>
      </w:r>
    </w:p>
    <w:p>
      <w:pPr>
        <w:pStyle w:val="BodyText"/>
        <w:spacing w:line="240" w:lineRule="auto" w:before="115"/>
        <w:ind w:right="1122"/>
        <w:jc w:val="left"/>
      </w:pPr>
      <w:r>
        <w:rPr/>
        <w:t>□ 适用 √</w:t>
      </w:r>
      <w:r>
        <w:rPr>
          <w:spacing w:val="-1"/>
        </w:rPr>
        <w:t> </w:t>
      </w:r>
      <w:r>
        <w:rPr/>
        <w:t>不适用</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580" w:bottom="700" w:left="980" w:right="0"/>
        </w:sectPr>
      </w:pPr>
    </w:p>
    <w:p>
      <w:pPr>
        <w:pStyle w:val="BodyText"/>
        <w:spacing w:line="240" w:lineRule="auto" w:before="35"/>
        <w:ind w:right="0"/>
        <w:jc w:val="left"/>
      </w:pPr>
      <w:r>
        <w:rPr>
          <w:rFonts w:ascii="宋体" w:hAnsi="宋体" w:cs="宋体" w:eastAsia="宋体" w:hint="default"/>
          <w:spacing w:val="-1"/>
        </w:rPr>
        <w:t>3)</w:t>
      </w:r>
      <w:r>
        <w:rPr>
          <w:spacing w:val="-1"/>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6034" w:space="2885"/>
            <w:col w:w="2011"/>
          </w:cols>
        </w:sect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173"/>
        <w:gridCol w:w="3201"/>
        <w:gridCol w:w="3189"/>
      </w:tblGrid>
      <w:tr>
        <w:trPr>
          <w:trHeight w:val="415"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39,899,138.46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3,875,000.00</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6" w:space="0" w:color="000000"/>
              <w:left w:val="single" w:sz="9" w:space="0" w:color="D2D2D2"/>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1,000,000.00</w:t>
            </w:r>
          </w:p>
        </w:tc>
      </w:tr>
      <w:tr>
        <w:trPr>
          <w:trHeight w:val="41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39,899,138.46</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4,875,000.00</w:t>
            </w:r>
          </w:p>
        </w:tc>
      </w:tr>
    </w:tbl>
    <w:p>
      <w:pPr>
        <w:pStyle w:val="BodyText"/>
        <w:spacing w:line="240" w:lineRule="auto" w:before="63"/>
        <w:ind w:right="1122"/>
        <w:jc w:val="left"/>
      </w:pPr>
      <w:r>
        <w:rPr>
          <w:rFonts w:ascii="宋体" w:hAnsi="宋体" w:cs="宋体" w:eastAsia="宋体" w:hint="default"/>
        </w:rPr>
        <w:t>4)</w:t>
      </w:r>
      <w:r>
        <w:rPr/>
        <w:t>期末公司因出票人未履约而将其转应收账款的票据</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spacing w:line="408" w:lineRule="auto" w:before="0"/>
        <w:ind w:left="154" w:right="8862" w:firstLine="0"/>
        <w:jc w:val="left"/>
        <w:rPr>
          <w:rFonts w:ascii="宋体" w:hAnsi="宋体" w:cs="宋体" w:eastAsia="宋体" w:hint="default"/>
          <w:sz w:val="21"/>
          <w:szCs w:val="21"/>
        </w:rPr>
      </w:pPr>
      <w:bookmarkStart w:name="（2）应收账款" w:id="230"/>
      <w:bookmarkEnd w:id="230"/>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应收账款分类披露</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127"/>
        <w:gridCol w:w="1483"/>
        <w:gridCol w:w="1485"/>
        <w:gridCol w:w="1484"/>
        <w:gridCol w:w="1486"/>
        <w:gridCol w:w="1581"/>
      </w:tblGrid>
      <w:tr>
        <w:trPr>
          <w:trHeight w:val="415" w:hRule="exact"/>
        </w:trPr>
        <w:tc>
          <w:tcPr>
            <w:tcW w:w="2127" w:type="dxa"/>
            <w:tcBorders>
              <w:top w:val="single" w:sz="12" w:space="0" w:color="000000"/>
              <w:left w:val="single" w:sz="12" w:space="0" w:color="000000"/>
              <w:bottom w:val="nil" w:sz="6" w:space="0" w:color="auto"/>
              <w:right w:val="single" w:sz="6" w:space="0" w:color="000000"/>
            </w:tcBorders>
            <w:shd w:val="clear" w:color="auto" w:fill="D2D2D2"/>
          </w:tcPr>
          <w:p>
            <w:pPr/>
          </w:p>
        </w:tc>
        <w:tc>
          <w:tcPr>
            <w:tcW w:w="7519"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11" w:hRule="exact"/>
        </w:trPr>
        <w:tc>
          <w:tcPr>
            <w:tcW w:w="2127"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296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7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81"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2127" w:type="dxa"/>
            <w:vMerge/>
            <w:tcBorders>
              <w:left w:val="single" w:sz="12" w:space="0" w:color="000000"/>
              <w:bottom w:val="nil" w:sz="6" w:space="0" w:color="auto"/>
              <w:right w:val="single" w:sz="6" w:space="0" w:color="000000"/>
            </w:tcBorders>
            <w:shd w:val="clear" w:color="auto" w:fill="D2D2D2"/>
          </w:tcPr>
          <w:p>
            <w:pPr/>
          </w:p>
        </w:tc>
        <w:tc>
          <w:tcPr>
            <w:tcW w:w="2968" w:type="dxa"/>
            <w:gridSpan w:val="2"/>
            <w:vMerge/>
            <w:tcBorders>
              <w:left w:val="single" w:sz="6" w:space="0" w:color="000000"/>
              <w:bottom w:val="single" w:sz="6" w:space="0" w:color="000000"/>
              <w:right w:val="single" w:sz="6" w:space="0" w:color="000000"/>
            </w:tcBorders>
            <w:shd w:val="clear" w:color="auto" w:fill="D2D2D2"/>
          </w:tcPr>
          <w:p>
            <w:pPr/>
          </w:p>
        </w:tc>
        <w:tc>
          <w:tcPr>
            <w:tcW w:w="2970" w:type="dxa"/>
            <w:gridSpan w:val="2"/>
            <w:vMerge/>
            <w:tcBorders>
              <w:left w:val="single" w:sz="6" w:space="0" w:color="000000"/>
              <w:bottom w:val="single" w:sz="6" w:space="0" w:color="000000"/>
              <w:right w:val="single" w:sz="6" w:space="0" w:color="000000"/>
            </w:tcBorders>
            <w:shd w:val="clear" w:color="auto" w:fill="D2D2D2"/>
          </w:tcPr>
          <w:p>
            <w:pPr/>
          </w:p>
        </w:tc>
        <w:tc>
          <w:tcPr>
            <w:tcW w:w="1581"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7" w:hRule="exact"/>
        </w:trPr>
        <w:tc>
          <w:tcPr>
            <w:tcW w:w="2127" w:type="dxa"/>
            <w:vMerge w:val="restart"/>
            <w:tcBorders>
              <w:top w:val="nil" w:sz="6" w:space="0" w:color="auto"/>
              <w:left w:val="single" w:sz="12" w:space="0" w:color="000000"/>
              <w:right w:val="single" w:sz="6" w:space="0" w:color="000000"/>
            </w:tcBorders>
            <w:shd w:val="clear" w:color="auto" w:fill="D2D2D2"/>
          </w:tcPr>
          <w:p>
            <w:pPr/>
          </w:p>
        </w:tc>
        <w:tc>
          <w:tcPr>
            <w:tcW w:w="148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8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81" w:type="dxa"/>
            <w:vMerge/>
            <w:tcBorders>
              <w:left w:val="single" w:sz="6" w:space="0" w:color="000000"/>
              <w:bottom w:val="nil" w:sz="6" w:space="0" w:color="auto"/>
              <w:right w:val="single" w:sz="12" w:space="0" w:color="000000"/>
            </w:tcBorders>
            <w:shd w:val="clear" w:color="auto" w:fill="D2D2D2"/>
          </w:tcPr>
          <w:p>
            <w:pPr/>
          </w:p>
        </w:tc>
      </w:tr>
      <w:tr>
        <w:trPr>
          <w:trHeight w:val="210" w:hRule="exact"/>
        </w:trPr>
        <w:tc>
          <w:tcPr>
            <w:tcW w:w="2127" w:type="dxa"/>
            <w:vMerge/>
            <w:tcBorders>
              <w:left w:val="single" w:sz="12" w:space="0" w:color="000000"/>
              <w:bottom w:val="single" w:sz="6" w:space="0" w:color="000000"/>
              <w:right w:val="single" w:sz="6" w:space="0" w:color="000000"/>
            </w:tcBorders>
            <w:shd w:val="clear" w:color="auto" w:fill="D2D2D2"/>
          </w:tcPr>
          <w:p>
            <w:pPr/>
          </w:p>
        </w:tc>
        <w:tc>
          <w:tcPr>
            <w:tcW w:w="1483" w:type="dxa"/>
            <w:vMerge/>
            <w:tcBorders>
              <w:left w:val="single" w:sz="6" w:space="0" w:color="000000"/>
              <w:bottom w:val="single" w:sz="6" w:space="0" w:color="000000"/>
              <w:right w:val="single" w:sz="6" w:space="0" w:color="000000"/>
            </w:tcBorders>
            <w:shd w:val="clear" w:color="auto" w:fill="D2D2D2"/>
          </w:tcPr>
          <w:p>
            <w:pPr/>
          </w:p>
        </w:tc>
        <w:tc>
          <w:tcPr>
            <w:tcW w:w="1485" w:type="dxa"/>
            <w:vMerge/>
            <w:tcBorders>
              <w:left w:val="single" w:sz="6" w:space="0" w:color="000000"/>
              <w:bottom w:val="single" w:sz="6" w:space="0" w:color="000000"/>
              <w:right w:val="single" w:sz="6" w:space="0" w:color="000000"/>
            </w:tcBorders>
            <w:shd w:val="clear" w:color="auto" w:fill="D2D2D2"/>
          </w:tcPr>
          <w:p>
            <w:pPr/>
          </w:p>
        </w:tc>
        <w:tc>
          <w:tcPr>
            <w:tcW w:w="1484" w:type="dxa"/>
            <w:vMerge/>
            <w:tcBorders>
              <w:left w:val="single" w:sz="6" w:space="0" w:color="000000"/>
              <w:bottom w:val="single" w:sz="6" w:space="0" w:color="000000"/>
              <w:right w:val="single" w:sz="6" w:space="0" w:color="000000"/>
            </w:tcBorders>
            <w:shd w:val="clear" w:color="auto" w:fill="D2D2D2"/>
          </w:tcPr>
          <w:p>
            <w:pPr/>
          </w:p>
        </w:tc>
        <w:tc>
          <w:tcPr>
            <w:tcW w:w="1486" w:type="dxa"/>
            <w:vMerge/>
            <w:tcBorders>
              <w:left w:val="single" w:sz="6" w:space="0" w:color="000000"/>
              <w:bottom w:val="single" w:sz="6" w:space="0" w:color="000000"/>
              <w:right w:val="single" w:sz="6" w:space="0" w:color="000000"/>
            </w:tcBorders>
            <w:shd w:val="clear" w:color="auto" w:fill="D2D2D2"/>
          </w:tcPr>
          <w:p>
            <w:pPr/>
          </w:p>
        </w:tc>
        <w:tc>
          <w:tcPr>
            <w:tcW w:w="1581"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719" w:hRule="exact"/>
        </w:trPr>
        <w:tc>
          <w:tcPr>
            <w:tcW w:w="21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13" w:right="11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148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581,064,745.03</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65,919,849.77</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11.34%</w:t>
            </w:r>
          </w:p>
        </w:tc>
        <w:tc>
          <w:tcPr>
            <w:tcW w:w="15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515,144,895.26</w:t>
            </w:r>
          </w:p>
        </w:tc>
      </w:tr>
      <w:tr>
        <w:trPr>
          <w:trHeight w:val="415" w:hRule="exact"/>
        </w:trPr>
        <w:tc>
          <w:tcPr>
            <w:tcW w:w="212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581,064,745.03</w:t>
            </w:r>
          </w:p>
        </w:tc>
        <w:tc>
          <w:tcPr>
            <w:tcW w:w="14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65,919,849.77</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11.34%</w:t>
            </w:r>
          </w:p>
        </w:tc>
        <w:tc>
          <w:tcPr>
            <w:tcW w:w="15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515,144,895.26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115"/>
        <w:gridCol w:w="1487"/>
        <w:gridCol w:w="1487"/>
        <w:gridCol w:w="1487"/>
        <w:gridCol w:w="1490"/>
        <w:gridCol w:w="1581"/>
      </w:tblGrid>
      <w:tr>
        <w:trPr>
          <w:trHeight w:val="416" w:hRule="exact"/>
        </w:trPr>
        <w:tc>
          <w:tcPr>
            <w:tcW w:w="211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7531" w:type="dxa"/>
            <w:gridSpan w:val="5"/>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2115" w:type="dxa"/>
            <w:vMerge/>
            <w:tcBorders>
              <w:left w:val="single" w:sz="12" w:space="0" w:color="000000"/>
              <w:right w:val="single" w:sz="6" w:space="0" w:color="000000"/>
            </w:tcBorders>
            <w:shd w:val="clear" w:color="auto" w:fill="D2D2D2"/>
          </w:tcPr>
          <w:p>
            <w:pPr/>
          </w:p>
        </w:tc>
        <w:tc>
          <w:tcPr>
            <w:tcW w:w="2974"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76"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81" w:type="dxa"/>
            <w:tcBorders>
              <w:top w:val="single" w:sz="6"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52"/>
              <w:ind w:left="42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2115" w:type="dxa"/>
            <w:vMerge/>
            <w:tcBorders>
              <w:left w:val="single" w:sz="12" w:space="0" w:color="000000"/>
              <w:bottom w:val="single" w:sz="6" w:space="0" w:color="000000"/>
              <w:right w:val="single" w:sz="6" w:space="0" w:color="000000"/>
            </w:tcBorders>
            <w:shd w:val="clear" w:color="auto" w:fill="D2D2D2"/>
          </w:tcPr>
          <w:p>
            <w:pPr/>
          </w:p>
        </w:tc>
        <w:tc>
          <w:tcPr>
            <w:tcW w:w="1487"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7"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87"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9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2"/>
              <w:ind w:left="37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81" w:type="dxa"/>
            <w:tcBorders>
              <w:top w:val="single" w:sz="6" w:space="0" w:color="000000"/>
              <w:left w:val="single" w:sz="6" w:space="0" w:color="000000"/>
              <w:bottom w:val="single" w:sz="6" w:space="0" w:color="000000"/>
              <w:right w:val="single" w:sz="12" w:space="0" w:color="000000"/>
            </w:tcBorders>
            <w:shd w:val="clear" w:color="auto" w:fill="D7D7D7"/>
          </w:tcPr>
          <w:p>
            <w:pPr/>
          </w:p>
        </w:tc>
      </w:tr>
      <w:tr>
        <w:trPr>
          <w:trHeight w:val="720" w:hRule="exact"/>
        </w:trPr>
        <w:tc>
          <w:tcPr>
            <w:tcW w:w="21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13" w:right="99"/>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638,904,739.47</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49,687,950.79</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7.78%</w:t>
            </w:r>
          </w:p>
        </w:tc>
        <w:tc>
          <w:tcPr>
            <w:tcW w:w="15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589,216,788.68</w:t>
            </w:r>
          </w:p>
        </w:tc>
      </w:tr>
      <w:tr>
        <w:trPr>
          <w:trHeight w:val="415" w:hRule="exact"/>
        </w:trPr>
        <w:tc>
          <w:tcPr>
            <w:tcW w:w="211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638,904,739.47</w:t>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100.00%</w:t>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49,687,950.79</w:t>
            </w:r>
          </w:p>
        </w:tc>
        <w:tc>
          <w:tcPr>
            <w:tcW w:w="14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7.78%</w:t>
            </w:r>
          </w:p>
        </w:tc>
        <w:tc>
          <w:tcPr>
            <w:tcW w:w="15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589,216,788.68</w:t>
            </w:r>
          </w:p>
        </w:tc>
      </w:tr>
    </w:tbl>
    <w:p>
      <w:pPr>
        <w:pStyle w:val="BodyText"/>
        <w:spacing w:line="240" w:lineRule="auto" w:before="63"/>
        <w:ind w:right="1122"/>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408" w:lineRule="auto" w:before="0"/>
        <w:ind w:right="6132"/>
        <w:jc w:val="left"/>
      </w:pPr>
      <w:r>
        <w:rPr/>
        <w:t>□ 适用 √</w:t>
      </w:r>
      <w:r>
        <w:rPr>
          <w:spacing w:val="-1"/>
        </w:rPr>
        <w:t> </w:t>
      </w:r>
      <w:r>
        <w:rPr/>
        <w:t>不适用</w:t>
      </w:r>
      <w:r>
        <w:rPr/>
        <w:t> 组合中，按账龄分析法计提坏账准备的应收账款：</w:t>
      </w:r>
    </w:p>
    <w:p>
      <w:pPr>
        <w:pStyle w:val="BodyText"/>
        <w:spacing w:line="240" w:lineRule="auto"/>
        <w:ind w:right="1122"/>
        <w:jc w:val="left"/>
      </w:pPr>
      <w:r>
        <w:rPr/>
        <w:t>√ 适用 □</w:t>
      </w:r>
      <w:r>
        <w:rPr>
          <w:spacing w:val="-1"/>
        </w:rPr>
        <w:t> </w:t>
      </w:r>
      <w:r>
        <w:rPr/>
        <w:t>不适用</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393"/>
        <w:gridCol w:w="2393"/>
        <w:gridCol w:w="2392"/>
        <w:gridCol w:w="2463"/>
      </w:tblGrid>
      <w:tr>
        <w:trPr>
          <w:trHeight w:val="413" w:hRule="exact"/>
        </w:trPr>
        <w:tc>
          <w:tcPr>
            <w:tcW w:w="239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248"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393" w:type="dxa"/>
            <w:vMerge/>
            <w:tcBorders>
              <w:left w:val="single" w:sz="12" w:space="0" w:color="000000"/>
              <w:bottom w:val="single" w:sz="6" w:space="0" w:color="000000"/>
              <w:right w:val="single" w:sz="6" w:space="0" w:color="000000"/>
            </w:tcBorders>
            <w:shd w:val="clear" w:color="auto" w:fill="D2D2D2"/>
          </w:tcPr>
          <w:p>
            <w:pP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641"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348,513,358.20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10,455,400.76</w:t>
            </w:r>
          </w:p>
        </w:tc>
        <w:tc>
          <w:tcPr>
            <w:tcW w:w="24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348,513,358.20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10,455,400.76</w:t>
            </w:r>
          </w:p>
        </w:tc>
        <w:tc>
          <w:tcPr>
            <w:tcW w:w="24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15"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111,901,944.19</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11,190,194.42</w:t>
            </w:r>
          </w:p>
        </w:tc>
        <w:tc>
          <w:tcPr>
            <w:tcW w:w="24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376"/>
        <w:gridCol w:w="2403"/>
        <w:gridCol w:w="2392"/>
        <w:gridCol w:w="2463"/>
      </w:tblGrid>
      <w:tr>
        <w:trPr>
          <w:trHeight w:val="219" w:hRule="exact"/>
        </w:trPr>
        <w:tc>
          <w:tcPr>
            <w:tcW w:w="237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7258"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258" w:type="dxa"/>
            <w:gridSpan w:val="3"/>
            <w:vMerge/>
            <w:tcBorders>
              <w:left w:val="single" w:sz="6" w:space="0" w:color="000000"/>
              <w:bottom w:val="single" w:sz="6" w:space="0" w:color="000000"/>
              <w:right w:val="single" w:sz="12" w:space="0" w:color="000000"/>
            </w:tcBorders>
            <w:shd w:val="clear" w:color="auto" w:fill="D2D2D2"/>
          </w:tcPr>
          <w:p>
            <w:pPr/>
          </w:p>
        </w:tc>
      </w:tr>
      <w:tr>
        <w:trPr>
          <w:trHeight w:val="195" w:hRule="exact"/>
        </w:trPr>
        <w:tc>
          <w:tcPr>
            <w:tcW w:w="2376" w:type="dxa"/>
            <w:vMerge/>
            <w:tcBorders>
              <w:left w:val="single" w:sz="12"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3"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6" w:type="dxa"/>
            <w:tcBorders>
              <w:top w:val="nil" w:sz="6" w:space="0" w:color="auto"/>
              <w:left w:val="single" w:sz="12"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c>
          <w:tcPr>
            <w:tcW w:w="2392" w:type="dxa"/>
            <w:vMerge/>
            <w:tcBorders>
              <w:left w:val="single" w:sz="6" w:space="0" w:color="000000"/>
              <w:bottom w:val="single" w:sz="6" w:space="0" w:color="000000"/>
              <w:right w:val="single" w:sz="6" w:space="0" w:color="000000"/>
            </w:tcBorders>
            <w:shd w:val="clear" w:color="auto" w:fill="D2D2D2"/>
          </w:tcPr>
          <w:p>
            <w:pPr/>
          </w:p>
        </w:tc>
        <w:tc>
          <w:tcPr>
            <w:tcW w:w="2463"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99,049,553.84</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29,714,866.14</w:t>
            </w:r>
          </w:p>
        </w:tc>
        <w:tc>
          <w:tcPr>
            <w:tcW w:w="24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w:t>
            </w:r>
          </w:p>
        </w:tc>
      </w:tr>
      <w:tr>
        <w:trPr>
          <w:trHeight w:val="407"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40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21,599,888.80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14,559,388.45</w:t>
            </w:r>
          </w:p>
        </w:tc>
        <w:tc>
          <w:tcPr>
            <w:tcW w:w="24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67.40%</w:t>
            </w:r>
          </w:p>
        </w:tc>
      </w:tr>
      <w:tr>
        <w:trPr>
          <w:trHeight w:val="407"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13,313,978.21</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6,656,989.11</w:t>
            </w:r>
          </w:p>
        </w:tc>
        <w:tc>
          <w:tcPr>
            <w:tcW w:w="24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w:t>
            </w:r>
          </w:p>
        </w:tc>
      </w:tr>
      <w:tr>
        <w:trPr>
          <w:trHeight w:val="407"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1,278,370.83</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894,859.58</w:t>
            </w:r>
          </w:p>
        </w:tc>
        <w:tc>
          <w:tcPr>
            <w:tcW w:w="24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70.00%</w:t>
            </w:r>
          </w:p>
        </w:tc>
      </w:tr>
      <w:tr>
        <w:trPr>
          <w:trHeight w:val="408"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40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7,007,539.76</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7,007,539.76</w:t>
            </w:r>
          </w:p>
        </w:tc>
        <w:tc>
          <w:tcPr>
            <w:tcW w:w="24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15" w:hRule="exact"/>
        </w:trPr>
        <w:tc>
          <w:tcPr>
            <w:tcW w:w="237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581,064,745.03</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65,919,849.77</w:t>
            </w:r>
          </w:p>
        </w:tc>
        <w:tc>
          <w:tcPr>
            <w:tcW w:w="24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11.34%</w:t>
            </w:r>
          </w:p>
        </w:tc>
      </w:tr>
    </w:tbl>
    <w:p>
      <w:pPr>
        <w:pStyle w:val="BodyText"/>
        <w:spacing w:line="408" w:lineRule="auto" w:before="63"/>
        <w:ind w:right="5712"/>
        <w:jc w:val="left"/>
      </w:pPr>
      <w:r>
        <w:rPr/>
        <w:t>确定该组合依据的说明： 组合中，采用余额百分比法计提坏账准备的应收账款：</w:t>
      </w:r>
    </w:p>
    <w:p>
      <w:pPr>
        <w:pStyle w:val="BodyText"/>
        <w:spacing w:line="408" w:lineRule="auto"/>
        <w:ind w:right="6132"/>
        <w:jc w:val="left"/>
      </w:pPr>
      <w:r>
        <w:rPr/>
        <w:t>□ 适用 √</w:t>
      </w:r>
      <w:r>
        <w:rPr>
          <w:spacing w:val="-1"/>
        </w:rPr>
        <w:t> </w:t>
      </w:r>
      <w:r>
        <w:rPr/>
        <w:t>不适用</w:t>
      </w:r>
      <w:r>
        <w:rPr/>
        <w:t> 组合中，采用其他方法计提坏账准备的应收账款： </w:t>
      </w:r>
      <w:r>
        <w:rPr>
          <w:rFonts w:ascii="宋体" w:hAnsi="宋体" w:cs="宋体" w:eastAsia="宋体" w:hint="default"/>
        </w:rPr>
        <w:t>2)</w:t>
      </w:r>
      <w:r>
        <w:rPr/>
        <w:t>本期计提、收回或转回的坏账准备情况</w:t>
      </w:r>
    </w:p>
    <w:p>
      <w:pPr>
        <w:pStyle w:val="BodyText"/>
        <w:spacing w:line="240" w:lineRule="auto"/>
        <w:ind w:right="1122"/>
        <w:jc w:val="left"/>
      </w:pPr>
      <w:r>
        <w:rPr/>
        <w:t>本期计提坏账准备金额</w:t>
      </w:r>
      <w:r>
        <w:rPr>
          <w:spacing w:val="-53"/>
        </w:rPr>
        <w:t> </w:t>
      </w:r>
      <w:r>
        <w:rPr>
          <w:rFonts w:ascii="宋体" w:hAnsi="宋体" w:cs="宋体" w:eastAsia="宋体" w:hint="default"/>
        </w:rPr>
        <w:t>16,233,163.98</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0.00</w:t>
      </w:r>
      <w:r>
        <w:rPr>
          <w:rFonts w:ascii="宋体" w:hAnsi="宋体" w:cs="宋体" w:eastAsia="宋体" w:hint="default"/>
          <w:spacing w:val="-53"/>
        </w:rPr>
        <w:t> </w:t>
      </w:r>
      <w:r>
        <w:rPr/>
        <w:t>元。</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1000" w:top="1100" w:bottom="1180" w:left="980" w:right="0"/>
        </w:sectPr>
      </w:pPr>
    </w:p>
    <w:p>
      <w:pPr>
        <w:pStyle w:val="BodyText"/>
        <w:spacing w:line="240" w:lineRule="auto" w:before="35"/>
        <w:ind w:right="-6"/>
        <w:jc w:val="left"/>
      </w:pPr>
      <w:r>
        <w:rPr>
          <w:rFonts w:ascii="宋体" w:hAnsi="宋体" w:cs="宋体" w:eastAsia="宋体" w:hint="default"/>
          <w:spacing w:val="-1"/>
        </w:rPr>
        <w:t>3)</w:t>
      </w:r>
      <w:r>
        <w:rPr>
          <w:spacing w:val="-1"/>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3094" w:space="5825"/>
            <w:col w:w="2011"/>
          </w:cols>
        </w:sectPr>
      </w:pP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786"/>
        <w:gridCol w:w="4855"/>
      </w:tblGrid>
      <w:tr>
        <w:trPr>
          <w:trHeight w:val="414"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485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16" w:hRule="exact"/>
        </w:trPr>
        <w:tc>
          <w:tcPr>
            <w:tcW w:w="478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8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1,265.00</w:t>
            </w:r>
          </w:p>
        </w:tc>
      </w:tr>
    </w:tbl>
    <w:p>
      <w:pPr>
        <w:pStyle w:val="BodyText"/>
        <w:spacing w:line="408" w:lineRule="auto" w:before="63"/>
        <w:ind w:right="1200"/>
        <w:jc w:val="left"/>
      </w:pPr>
      <w:r>
        <w:rPr/>
        <w:t>应收账款核销说明：客户江苏省电力物资有限公司合同</w:t>
      </w:r>
      <w:r>
        <w:rPr>
          <w:spacing w:val="-54"/>
        </w:rPr>
        <w:t> </w:t>
      </w:r>
      <w:r>
        <w:rPr>
          <w:rFonts w:ascii="宋体" w:hAnsi="宋体" w:cs="宋体" w:eastAsia="宋体" w:hint="default"/>
        </w:rPr>
        <w:t>201108-058</w:t>
      </w:r>
      <w:r>
        <w:rPr>
          <w:rFonts w:ascii="宋体" w:hAnsi="宋体" w:cs="宋体" w:eastAsia="宋体" w:hint="default"/>
          <w:spacing w:val="-54"/>
        </w:rPr>
        <w:t> </w:t>
      </w:r>
      <w:r>
        <w:rPr/>
        <w:t>质保款因扬州开发商倒闭，无单位支 付该款项，多次沟通仍无法收回后经公司部门负责人、分管副总、总经理批准对此笔款项进行了核销。 </w:t>
      </w:r>
      <w:r>
        <w:rPr>
          <w:rFonts w:ascii="宋体" w:hAnsi="宋体" w:cs="宋体" w:eastAsia="宋体" w:hint="default"/>
        </w:rPr>
        <w:t>4)</w:t>
      </w:r>
      <w:r>
        <w:rPr/>
        <w:t>按欠款方归集的期末余额前五名的应收账款情况</w:t>
      </w:r>
    </w:p>
    <w:p>
      <w:pPr>
        <w:pStyle w:val="BodyText"/>
        <w:spacing w:line="240" w:lineRule="auto"/>
        <w:ind w:right="1122"/>
        <w:jc w:val="left"/>
      </w:pPr>
      <w:r>
        <w:rPr/>
        <w:t>公司是否需要遵守特殊行业的披露要求：否</w:t>
      </w:r>
    </w:p>
    <w:p>
      <w:pPr>
        <w:spacing w:line="240" w:lineRule="auto" w:before="11"/>
        <w:rPr>
          <w:rFonts w:ascii="宋体" w:hAnsi="宋体" w:cs="宋体" w:eastAsia="宋体" w:hint="default"/>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2" w:type="dxa"/>
        <w:tblLayout w:type="fixed"/>
        <w:tblCellMar>
          <w:top w:w="0" w:type="dxa"/>
          <w:left w:w="0" w:type="dxa"/>
          <w:bottom w:w="0" w:type="dxa"/>
          <w:right w:w="0" w:type="dxa"/>
        </w:tblCellMar>
        <w:tblLook w:val="01E0"/>
      </w:tblPr>
      <w:tblGrid>
        <w:gridCol w:w="3135"/>
        <w:gridCol w:w="651"/>
        <w:gridCol w:w="1476"/>
        <w:gridCol w:w="2096"/>
        <w:gridCol w:w="1085"/>
        <w:gridCol w:w="1355"/>
      </w:tblGrid>
      <w:tr>
        <w:trPr>
          <w:trHeight w:val="958" w:hRule="exact"/>
        </w:trPr>
        <w:tc>
          <w:tcPr>
            <w:tcW w:w="313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7" w:right="136"/>
              <w:jc w:val="left"/>
              <w:rPr>
                <w:rFonts w:ascii="宋体" w:hAnsi="宋体" w:cs="宋体" w:eastAsia="宋体" w:hint="default"/>
                <w:sz w:val="18"/>
                <w:szCs w:val="18"/>
              </w:rPr>
            </w:pPr>
            <w:r>
              <w:rPr>
                <w:rFonts w:ascii="宋体" w:hAnsi="宋体" w:cs="宋体" w:eastAsia="宋体" w:hint="default"/>
                <w:sz w:val="18"/>
                <w:szCs w:val="18"/>
              </w:rPr>
              <w:t>款项 性质</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085"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175" w:right="173"/>
              <w:jc w:val="both"/>
              <w:rPr>
                <w:rFonts w:ascii="宋体" w:hAnsi="宋体" w:cs="宋体" w:eastAsia="宋体" w:hint="default"/>
                <w:sz w:val="18"/>
                <w:szCs w:val="18"/>
              </w:rPr>
            </w:pPr>
            <w:r>
              <w:rPr>
                <w:rFonts w:ascii="宋体" w:hAnsi="宋体" w:cs="宋体" w:eastAsia="宋体" w:hint="default"/>
                <w:sz w:val="18"/>
                <w:szCs w:val="18"/>
              </w:rPr>
              <w:t>占应收账 款期末余 额比例</w:t>
            </w:r>
          </w:p>
        </w:tc>
        <w:tc>
          <w:tcPr>
            <w:tcW w:w="135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90" w:right="120"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13" w:hRule="exact"/>
        </w:trPr>
        <w:tc>
          <w:tcPr>
            <w:tcW w:w="3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国网江苏省电力有限公司物资分公司</w:t>
            </w:r>
          </w:p>
        </w:tc>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72"/>
              <w:jc w:val="center"/>
              <w:rPr>
                <w:rFonts w:ascii="宋体" w:hAnsi="宋体" w:cs="宋体" w:eastAsia="宋体" w:hint="default"/>
                <w:sz w:val="18"/>
                <w:szCs w:val="18"/>
              </w:rPr>
            </w:pPr>
            <w:r>
              <w:rPr>
                <w:rFonts w:ascii="宋体" w:hAnsi="宋体" w:cs="宋体" w:eastAsia="宋体" w:hint="default"/>
                <w:sz w:val="18"/>
                <w:szCs w:val="18"/>
              </w:rPr>
              <w:t>货款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89" w:right="0"/>
              <w:jc w:val="center"/>
              <w:rPr>
                <w:rFonts w:ascii="宋体" w:hAnsi="宋体" w:cs="宋体" w:eastAsia="宋体" w:hint="default"/>
                <w:sz w:val="18"/>
                <w:szCs w:val="18"/>
              </w:rPr>
            </w:pPr>
            <w:r>
              <w:rPr>
                <w:rFonts w:ascii="宋体"/>
                <w:sz w:val="18"/>
              </w:rPr>
              <w:t>69,388,952.49</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11.94%</w:t>
            </w:r>
          </w:p>
        </w:tc>
        <w:tc>
          <w:tcPr>
            <w:tcW w:w="13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50"/>
              <w:jc w:val="right"/>
              <w:rPr>
                <w:rFonts w:ascii="宋体" w:hAnsi="宋体" w:cs="宋体" w:eastAsia="宋体" w:hint="default"/>
                <w:sz w:val="18"/>
                <w:szCs w:val="18"/>
              </w:rPr>
            </w:pPr>
            <w:r>
              <w:rPr>
                <w:rFonts w:ascii="宋体"/>
                <w:sz w:val="18"/>
              </w:rPr>
              <w:t>2,081,668.57</w:t>
            </w:r>
          </w:p>
        </w:tc>
      </w:tr>
      <w:tr>
        <w:trPr>
          <w:trHeight w:val="638" w:hRule="exact"/>
        </w:trPr>
        <w:tc>
          <w:tcPr>
            <w:tcW w:w="3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南京万形电气有限公司</w:t>
            </w:r>
          </w:p>
        </w:tc>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货款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20,261,626.90</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年以内</w:t>
            </w:r>
            <w:r>
              <w:rPr>
                <w:rFonts w:ascii="宋体" w:hAnsi="宋体" w:cs="宋体" w:eastAsia="宋体" w:hint="default"/>
                <w:spacing w:val="-51"/>
                <w:sz w:val="18"/>
                <w:szCs w:val="18"/>
              </w:rPr>
              <w:t> </w:t>
            </w:r>
            <w:r>
              <w:rPr>
                <w:rFonts w:ascii="宋体" w:hAnsi="宋体" w:cs="宋体" w:eastAsia="宋体" w:hint="default"/>
                <w:sz w:val="18"/>
                <w:szCs w:val="18"/>
              </w:rPr>
              <w:t>20,259,420.00</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2,206.90</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3.49%</w:t>
            </w:r>
          </w:p>
        </w:tc>
        <w:tc>
          <w:tcPr>
            <w:tcW w:w="13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0"/>
              <w:jc w:val="right"/>
              <w:rPr>
                <w:rFonts w:ascii="宋体" w:hAnsi="宋体" w:cs="宋体" w:eastAsia="宋体" w:hint="default"/>
                <w:sz w:val="18"/>
                <w:szCs w:val="18"/>
              </w:rPr>
            </w:pPr>
            <w:r>
              <w:rPr>
                <w:rFonts w:ascii="宋体"/>
                <w:sz w:val="18"/>
              </w:rPr>
              <w:t>608,003.29</w:t>
            </w:r>
          </w:p>
        </w:tc>
      </w:tr>
      <w:tr>
        <w:trPr>
          <w:trHeight w:val="736" w:hRule="exact"/>
        </w:trPr>
        <w:tc>
          <w:tcPr>
            <w:tcW w:w="3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荆州市华茂置业有限公司</w:t>
            </w:r>
          </w:p>
        </w:tc>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货款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sz w:val="18"/>
              </w:rPr>
              <w:t>39,806,320.00</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年以内</w:t>
            </w:r>
            <w:r>
              <w:rPr>
                <w:rFonts w:ascii="宋体" w:hAnsi="宋体" w:cs="宋体" w:eastAsia="宋体" w:hint="default"/>
                <w:spacing w:val="-51"/>
                <w:sz w:val="18"/>
                <w:szCs w:val="18"/>
              </w:rPr>
              <w:t> </w:t>
            </w:r>
            <w:r>
              <w:rPr>
                <w:rFonts w:ascii="宋体" w:hAnsi="宋体" w:cs="宋体" w:eastAsia="宋体" w:hint="default"/>
                <w:sz w:val="18"/>
                <w:szCs w:val="18"/>
              </w:rPr>
              <w:t>15,866,149.06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23,940,170.94</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6.85%</w:t>
            </w:r>
          </w:p>
        </w:tc>
        <w:tc>
          <w:tcPr>
            <w:tcW w:w="13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50"/>
              <w:jc w:val="right"/>
              <w:rPr>
                <w:rFonts w:ascii="宋体" w:hAnsi="宋体" w:cs="宋体" w:eastAsia="宋体" w:hint="default"/>
                <w:sz w:val="18"/>
                <w:szCs w:val="18"/>
              </w:rPr>
            </w:pPr>
            <w:r>
              <w:rPr>
                <w:rFonts w:ascii="宋体"/>
                <w:sz w:val="18"/>
              </w:rPr>
              <w:t>2,870,001.57</w:t>
            </w:r>
          </w:p>
        </w:tc>
      </w:tr>
      <w:tr>
        <w:trPr>
          <w:trHeight w:val="772" w:hRule="exact"/>
        </w:trPr>
        <w:tc>
          <w:tcPr>
            <w:tcW w:w="31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陕西福星电网设备有限责任公司</w:t>
            </w:r>
          </w:p>
        </w:tc>
        <w:tc>
          <w:tcPr>
            <w:tcW w:w="6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货款</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89" w:right="0"/>
              <w:jc w:val="center"/>
              <w:rPr>
                <w:rFonts w:ascii="宋体" w:hAnsi="宋体" w:cs="宋体" w:eastAsia="宋体" w:hint="default"/>
                <w:sz w:val="18"/>
                <w:szCs w:val="18"/>
              </w:rPr>
            </w:pPr>
            <w:r>
              <w:rPr>
                <w:rFonts w:ascii="宋体"/>
                <w:sz w:val="18"/>
              </w:rPr>
              <w:t>20,155,100.33</w:t>
            </w:r>
          </w:p>
        </w:tc>
        <w:tc>
          <w:tcPr>
            <w:tcW w:w="20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年以内</w:t>
            </w:r>
            <w:r>
              <w:rPr>
                <w:rFonts w:ascii="宋体" w:hAnsi="宋体" w:cs="宋体" w:eastAsia="宋体" w:hint="default"/>
                <w:spacing w:val="-51"/>
                <w:sz w:val="18"/>
                <w:szCs w:val="18"/>
              </w:rPr>
              <w:t> </w:t>
            </w:r>
            <w:r>
              <w:rPr>
                <w:rFonts w:ascii="宋体" w:hAnsi="宋体" w:cs="宋体" w:eastAsia="宋体" w:hint="default"/>
                <w:sz w:val="18"/>
                <w:szCs w:val="18"/>
              </w:rPr>
              <w:t>17,202,262.93</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2,952,837.40</w:t>
            </w:r>
          </w:p>
        </w:tc>
        <w:tc>
          <w:tcPr>
            <w:tcW w:w="10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3.47%</w:t>
            </w:r>
          </w:p>
        </w:tc>
        <w:tc>
          <w:tcPr>
            <w:tcW w:w="13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50"/>
              <w:jc w:val="right"/>
              <w:rPr>
                <w:rFonts w:ascii="宋体" w:hAnsi="宋体" w:cs="宋体" w:eastAsia="宋体" w:hint="default"/>
                <w:sz w:val="18"/>
                <w:szCs w:val="18"/>
              </w:rPr>
            </w:pPr>
            <w:r>
              <w:rPr>
                <w:rFonts w:ascii="宋体"/>
                <w:sz w:val="18"/>
              </w:rPr>
              <w:t>811,351.63</w:t>
            </w:r>
          </w:p>
        </w:tc>
      </w:tr>
    </w:tbl>
    <w:p>
      <w:pPr>
        <w:spacing w:after="0" w:line="240" w:lineRule="auto"/>
        <w:jc w:val="right"/>
        <w:rPr>
          <w:rFonts w:ascii="宋体" w:hAnsi="宋体" w:cs="宋体" w:eastAsia="宋体" w:hint="default"/>
          <w:sz w:val="18"/>
          <w:szCs w:val="18"/>
        </w:rPr>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22" w:type="dxa"/>
        <w:tblLayout w:type="fixed"/>
        <w:tblCellMar>
          <w:top w:w="0" w:type="dxa"/>
          <w:left w:w="0" w:type="dxa"/>
          <w:bottom w:w="0" w:type="dxa"/>
          <w:right w:w="0" w:type="dxa"/>
        </w:tblCellMar>
        <w:tblLook w:val="01E0"/>
      </w:tblPr>
      <w:tblGrid>
        <w:gridCol w:w="3135"/>
        <w:gridCol w:w="651"/>
        <w:gridCol w:w="1476"/>
        <w:gridCol w:w="2096"/>
        <w:gridCol w:w="1085"/>
        <w:gridCol w:w="1355"/>
      </w:tblGrid>
      <w:tr>
        <w:trPr>
          <w:trHeight w:val="958" w:hRule="exact"/>
        </w:trPr>
        <w:tc>
          <w:tcPr>
            <w:tcW w:w="313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7" w:right="136"/>
              <w:jc w:val="left"/>
              <w:rPr>
                <w:rFonts w:ascii="宋体" w:hAnsi="宋体" w:cs="宋体" w:eastAsia="宋体" w:hint="default"/>
                <w:sz w:val="18"/>
                <w:szCs w:val="18"/>
              </w:rPr>
            </w:pPr>
            <w:r>
              <w:rPr>
                <w:rFonts w:ascii="宋体" w:hAnsi="宋体" w:cs="宋体" w:eastAsia="宋体" w:hint="default"/>
                <w:sz w:val="18"/>
                <w:szCs w:val="18"/>
              </w:rPr>
              <w:t>款项 性质</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085"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175" w:right="173"/>
              <w:jc w:val="both"/>
              <w:rPr>
                <w:rFonts w:ascii="宋体" w:hAnsi="宋体" w:cs="宋体" w:eastAsia="宋体" w:hint="default"/>
                <w:sz w:val="18"/>
                <w:szCs w:val="18"/>
              </w:rPr>
            </w:pPr>
            <w:r>
              <w:rPr>
                <w:rFonts w:ascii="宋体" w:hAnsi="宋体" w:cs="宋体" w:eastAsia="宋体" w:hint="default"/>
                <w:sz w:val="18"/>
                <w:szCs w:val="18"/>
              </w:rPr>
              <w:t>占应收账 款期末余 额比例</w:t>
            </w:r>
          </w:p>
        </w:tc>
        <w:tc>
          <w:tcPr>
            <w:tcW w:w="135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90" w:right="120"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975" w:hRule="exact"/>
        </w:trPr>
        <w:tc>
          <w:tcPr>
            <w:tcW w:w="3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公安县思凯房地产开发有限公司</w:t>
            </w:r>
          </w:p>
        </w:tc>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89" w:right="0"/>
              <w:jc w:val="center"/>
              <w:rPr>
                <w:rFonts w:ascii="宋体" w:hAnsi="宋体" w:cs="宋体" w:eastAsia="宋体" w:hint="default"/>
                <w:sz w:val="18"/>
                <w:szCs w:val="18"/>
              </w:rPr>
            </w:pPr>
            <w:r>
              <w:rPr>
                <w:rFonts w:ascii="宋体"/>
                <w:sz w:val="18"/>
              </w:rPr>
              <w:t>19,847,830.00</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7,772,016.00</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2,255,887.48</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9,819,926.52</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3.42%</w:t>
            </w:r>
          </w:p>
        </w:tc>
        <w:tc>
          <w:tcPr>
            <w:tcW w:w="13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sz w:val="18"/>
              </w:rPr>
              <w:t>3,404,727.18</w:t>
            </w:r>
          </w:p>
        </w:tc>
      </w:tr>
      <w:tr>
        <w:trPr>
          <w:trHeight w:val="335" w:hRule="exact"/>
        </w:trPr>
        <w:tc>
          <w:tcPr>
            <w:tcW w:w="31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651"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169,459,829.72</w:t>
            </w:r>
          </w:p>
        </w:tc>
        <w:tc>
          <w:tcPr>
            <w:tcW w:w="2096" w:type="dxa"/>
            <w:tcBorders>
              <w:top w:val="single" w:sz="6" w:space="0" w:color="000000"/>
              <w:left w:val="single" w:sz="6" w:space="0" w:color="000000"/>
              <w:bottom w:val="single" w:sz="12" w:space="0" w:color="000000"/>
              <w:right w:val="single" w:sz="6" w:space="0" w:color="000000"/>
            </w:tcBorders>
          </w:tcPr>
          <w:p>
            <w:pPr/>
          </w:p>
        </w:tc>
        <w:tc>
          <w:tcPr>
            <w:tcW w:w="10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29.17%</w:t>
            </w:r>
          </w:p>
        </w:tc>
        <w:tc>
          <w:tcPr>
            <w:tcW w:w="13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9,775,752.24</w:t>
            </w:r>
          </w:p>
        </w:tc>
      </w:tr>
    </w:tbl>
    <w:p>
      <w:pPr>
        <w:pStyle w:val="BodyText"/>
        <w:spacing w:line="240" w:lineRule="auto" w:before="63"/>
        <w:ind w:right="1122"/>
        <w:jc w:val="left"/>
      </w:pPr>
      <w:r>
        <w:rPr>
          <w:rFonts w:ascii="宋体" w:hAnsi="宋体" w:cs="宋体" w:eastAsia="宋体" w:hint="default"/>
        </w:rPr>
        <w:t>5)</w:t>
      </w:r>
      <w:r>
        <w:rPr/>
        <w:t>因金融资产转移而终止确认的应收账款</w:t>
      </w:r>
    </w:p>
    <w:p>
      <w:pPr>
        <w:spacing w:line="240" w:lineRule="auto" w:before="10"/>
        <w:rPr>
          <w:rFonts w:ascii="宋体" w:hAnsi="宋体" w:cs="宋体" w:eastAsia="宋体" w:hint="default"/>
          <w:sz w:val="14"/>
          <w:szCs w:val="14"/>
        </w:rPr>
      </w:pPr>
    </w:p>
    <w:p>
      <w:pPr>
        <w:pStyle w:val="BodyText"/>
        <w:spacing w:line="408" w:lineRule="auto" w:before="0"/>
        <w:ind w:right="6132"/>
        <w:jc w:val="left"/>
      </w:pPr>
      <w:r>
        <w:rPr/>
        <w:t>□ 适用 √</w:t>
      </w:r>
      <w:r>
        <w:rPr>
          <w:spacing w:val="-1"/>
        </w:rPr>
        <w:t> </w:t>
      </w:r>
      <w:r>
        <w:rPr/>
        <w:t>不适用</w:t>
      </w:r>
      <w:r>
        <w:rPr/>
        <w:t> </w:t>
      </w:r>
      <w:r>
        <w:rPr>
          <w:rFonts w:ascii="宋体" w:hAnsi="宋体" w:cs="宋体" w:eastAsia="宋体" w:hint="default"/>
        </w:rPr>
        <w:t>6)</w:t>
      </w:r>
      <w:r>
        <w:rPr/>
        <w:t>转移应收账款且继续涉入形成的资产、负债金额</w:t>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预付款项" w:id="231"/>
      <w:bookmarkEnd w:id="231"/>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、预付款项</w:t>
      </w:r>
      <w:r>
        <w:rPr>
          <w:rFonts w:ascii="宋体" w:hAnsi="宋体" w:cs="宋体" w:eastAsia="宋体" w:hint="default"/>
          <w:sz w:val="21"/>
          <w:szCs w:val="21"/>
        </w:rPr>
      </w:r>
    </w:p>
    <w:p>
      <w:pPr>
        <w:pStyle w:val="Heading4"/>
        <w:spacing w:line="240" w:lineRule="auto" w:before="46"/>
        <w:ind w:right="1122"/>
        <w:jc w:val="left"/>
        <w:rPr>
          <w:b w:val="0"/>
          <w:bCs w:val="0"/>
        </w:rPr>
      </w:pPr>
      <w:bookmarkStart w:name="（1）预付款项按账龄列示" w:id="232"/>
      <w:bookmarkEnd w:id="232"/>
      <w:r>
        <w:rPr>
          <w:b w:val="0"/>
          <w:bCs w:val="0"/>
        </w:rPr>
      </w:r>
      <w:r>
        <w:rPr/>
        <w:t>（</w:t>
      </w:r>
      <w:r>
        <w:rPr>
          <w:rFonts w:ascii="宋体" w:hAnsi="宋体" w:cs="宋体" w:eastAsia="宋体" w:hint="default"/>
        </w:rPr>
        <w:t>1</w:t>
      </w:r>
      <w:r>
        <w:rPr/>
        <w:t>）预付款项按账龄列示</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896"/>
        <w:gridCol w:w="1926"/>
        <w:gridCol w:w="1914"/>
        <w:gridCol w:w="1914"/>
        <w:gridCol w:w="1984"/>
      </w:tblGrid>
      <w:tr>
        <w:trPr>
          <w:trHeight w:val="218" w:hRule="exact"/>
        </w:trPr>
        <w:tc>
          <w:tcPr>
            <w:tcW w:w="189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40"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9"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9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6" w:space="0" w:color="000000"/>
              <w:bottom w:val="single" w:sz="6" w:space="0" w:color="000000"/>
              <w:right w:val="single" w:sz="6" w:space="0" w:color="000000"/>
            </w:tcBorders>
            <w:shd w:val="clear" w:color="auto" w:fill="D2D2D2"/>
          </w:tcPr>
          <w:p>
            <w:pPr/>
          </w:p>
        </w:tc>
        <w:tc>
          <w:tcPr>
            <w:tcW w:w="3899" w:type="dxa"/>
            <w:gridSpan w:val="2"/>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896" w:type="dxa"/>
            <w:vMerge/>
            <w:tcBorders>
              <w:left w:val="single" w:sz="12" w:space="0" w:color="000000"/>
              <w:bottom w:val="nil" w:sz="6" w:space="0" w:color="auto"/>
              <w:right w:val="single" w:sz="6" w:space="0" w:color="000000"/>
            </w:tcBorders>
            <w:shd w:val="clear" w:color="auto" w:fill="D2D2D2"/>
          </w:tcPr>
          <w:p>
            <w:pPr/>
          </w:p>
        </w:tc>
        <w:tc>
          <w:tcPr>
            <w:tcW w:w="192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4"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0" w:hRule="exact"/>
        </w:trPr>
        <w:tc>
          <w:tcPr>
            <w:tcW w:w="189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26"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84"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2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12,747,057.09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60.93%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21,476,449.09</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93.30%</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7,087,557.58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33.88%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1,448,401.92</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6.29%</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1,054,509.15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94,743.38</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0.41%</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2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31,174.17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0.15%</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6" w:space="0" w:color="000000"/>
              <w:left w:val="single" w:sz="14" w:space="0" w:color="D2D2D2"/>
              <w:bottom w:val="single" w:sz="12" w:space="0" w:color="000000"/>
              <w:right w:val="single" w:sz="14" w:space="0" w:color="D2D2D2"/>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20,920,297.99</w:t>
            </w:r>
          </w:p>
        </w:tc>
        <w:tc>
          <w:tcPr>
            <w:tcW w:w="191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914" w:type="dxa"/>
            <w:tcBorders>
              <w:top w:val="single" w:sz="6" w:space="0" w:color="000000"/>
              <w:left w:val="single" w:sz="14" w:space="0" w:color="D2D2D2"/>
              <w:bottom w:val="single" w:sz="12" w:space="0" w:color="000000"/>
              <w:right w:val="single" w:sz="14" w:space="0" w:color="D2D2D2"/>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23,019,594.39</w:t>
            </w:r>
          </w:p>
        </w:tc>
        <w:tc>
          <w:tcPr>
            <w:tcW w:w="1984"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bl>
    <w:p>
      <w:pPr>
        <w:pStyle w:val="Heading4"/>
        <w:spacing w:line="240" w:lineRule="auto" w:before="63"/>
        <w:ind w:right="1122"/>
        <w:jc w:val="left"/>
        <w:rPr>
          <w:b w:val="0"/>
          <w:bCs w:val="0"/>
        </w:rPr>
      </w:pPr>
      <w:bookmarkStart w:name="（2）按预付对象归集的期末余额前五名的预付款情况" w:id="233"/>
      <w:bookmarkEnd w:id="233"/>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9"/>
          <w:szCs w:val="9"/>
        </w:rPr>
      </w:pPr>
    </w:p>
    <w:tbl>
      <w:tblPr>
        <w:tblW w:w="0" w:type="auto"/>
        <w:jc w:val="left"/>
        <w:tblInd w:w="122" w:type="dxa"/>
        <w:tblLayout w:type="fixed"/>
        <w:tblCellMar>
          <w:top w:w="0" w:type="dxa"/>
          <w:left w:w="0" w:type="dxa"/>
          <w:bottom w:w="0" w:type="dxa"/>
          <w:right w:w="0" w:type="dxa"/>
        </w:tblCellMar>
        <w:tblLook w:val="01E0"/>
      </w:tblPr>
      <w:tblGrid>
        <w:gridCol w:w="2426"/>
        <w:gridCol w:w="1419"/>
        <w:gridCol w:w="1702"/>
        <w:gridCol w:w="2126"/>
        <w:gridCol w:w="1984"/>
      </w:tblGrid>
      <w:tr>
        <w:trPr>
          <w:trHeight w:val="419" w:hRule="exact"/>
        </w:trPr>
        <w:tc>
          <w:tcPr>
            <w:tcW w:w="242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4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12" w:hRule="exact"/>
        </w:trPr>
        <w:tc>
          <w:tcPr>
            <w:tcW w:w="24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江苏集志智能科技有限公司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3" w:right="0"/>
              <w:jc w:val="left"/>
              <w:rPr>
                <w:rFonts w:ascii="宋体" w:hAnsi="宋体" w:cs="宋体" w:eastAsia="宋体" w:hint="default"/>
                <w:sz w:val="18"/>
                <w:szCs w:val="18"/>
              </w:rPr>
            </w:pPr>
            <w:r>
              <w:rPr>
                <w:rFonts w:ascii="宋体"/>
                <w:sz w:val="18"/>
              </w:rPr>
              <w:t>4,000,000.00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71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依据协议结算</w:t>
            </w:r>
          </w:p>
        </w:tc>
      </w:tr>
      <w:tr>
        <w:trPr>
          <w:trHeight w:val="413" w:hRule="exact"/>
        </w:trPr>
        <w:tc>
          <w:tcPr>
            <w:tcW w:w="24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淮安苏华科技咨询中心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3" w:right="0"/>
              <w:jc w:val="left"/>
              <w:rPr>
                <w:rFonts w:ascii="宋体" w:hAnsi="宋体" w:cs="宋体" w:eastAsia="宋体" w:hint="default"/>
                <w:sz w:val="18"/>
                <w:szCs w:val="18"/>
              </w:rPr>
            </w:pPr>
            <w:r>
              <w:rPr>
                <w:rFonts w:ascii="宋体"/>
                <w:sz w:val="18"/>
              </w:rPr>
              <w:t>1,870,000.00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761"/>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依据协议结算</w:t>
            </w:r>
          </w:p>
        </w:tc>
      </w:tr>
      <w:tr>
        <w:trPr>
          <w:trHeight w:val="638" w:hRule="exact"/>
        </w:trPr>
        <w:tc>
          <w:tcPr>
            <w:tcW w:w="24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深圳市昊景科技有限公司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83" w:right="0"/>
              <w:jc w:val="left"/>
              <w:rPr>
                <w:rFonts w:ascii="宋体" w:hAnsi="宋体" w:cs="宋体" w:eastAsia="宋体" w:hint="default"/>
                <w:sz w:val="18"/>
                <w:szCs w:val="18"/>
              </w:rPr>
            </w:pPr>
            <w:r>
              <w:rPr>
                <w:rFonts w:ascii="宋体"/>
                <w:sz w:val="18"/>
              </w:rPr>
              <w:t>1,532,928.00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1,360,000.00</w:t>
            </w:r>
            <w:r>
              <w:rPr>
                <w:rFonts w:ascii="宋体" w:hAnsi="宋体" w:cs="宋体" w:eastAsia="宋体" w:hint="default"/>
                <w:sz w:val="18"/>
                <w:szCs w:val="18"/>
              </w:rPr>
              <w:t>；</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172,928.00</w:t>
            </w:r>
            <w:r>
              <w:rPr>
                <w:rFonts w:ascii="宋体" w:hAnsi="宋体" w:cs="宋体" w:eastAsia="宋体" w:hint="default"/>
                <w:sz w:val="18"/>
                <w:szCs w:val="18"/>
              </w:rPr>
              <w:t>；</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依据协议结算</w:t>
            </w:r>
          </w:p>
        </w:tc>
      </w:tr>
      <w:tr>
        <w:trPr>
          <w:trHeight w:val="413" w:hRule="exact"/>
        </w:trPr>
        <w:tc>
          <w:tcPr>
            <w:tcW w:w="24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昆山市英孚特仪器仪表厂</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3" w:right="0"/>
              <w:jc w:val="left"/>
              <w:rPr>
                <w:rFonts w:ascii="宋体" w:hAnsi="宋体" w:cs="宋体" w:eastAsia="宋体" w:hint="default"/>
                <w:sz w:val="18"/>
                <w:szCs w:val="18"/>
              </w:rPr>
            </w:pPr>
            <w:r>
              <w:rPr>
                <w:rFonts w:ascii="宋体"/>
                <w:sz w:val="18"/>
              </w:rPr>
              <w:t>1,261,260.00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07"/>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依据协议结算</w:t>
            </w:r>
          </w:p>
        </w:tc>
      </w:tr>
      <w:tr>
        <w:trPr>
          <w:trHeight w:val="412" w:hRule="exact"/>
        </w:trPr>
        <w:tc>
          <w:tcPr>
            <w:tcW w:w="24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南京创乾科技有限公司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3" w:right="0"/>
              <w:jc w:val="left"/>
              <w:rPr>
                <w:rFonts w:ascii="宋体" w:hAnsi="宋体" w:cs="宋体" w:eastAsia="宋体" w:hint="default"/>
                <w:sz w:val="18"/>
                <w:szCs w:val="18"/>
              </w:rPr>
            </w:pPr>
            <w:r>
              <w:rPr>
                <w:rFonts w:ascii="宋体"/>
                <w:sz w:val="18"/>
              </w:rPr>
              <w:t>1,187,969.40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71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依据协议结算</w:t>
            </w:r>
          </w:p>
        </w:tc>
      </w:tr>
      <w:tr>
        <w:trPr>
          <w:trHeight w:val="419" w:hRule="exact"/>
        </w:trPr>
        <w:tc>
          <w:tcPr>
            <w:tcW w:w="24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483" w:right="0"/>
              <w:jc w:val="left"/>
              <w:rPr>
                <w:rFonts w:ascii="宋体" w:hAnsi="宋体" w:cs="宋体" w:eastAsia="宋体" w:hint="default"/>
                <w:sz w:val="18"/>
                <w:szCs w:val="18"/>
              </w:rPr>
            </w:pPr>
            <w:r>
              <w:rPr>
                <w:rFonts w:ascii="宋体"/>
                <w:sz w:val="18"/>
              </w:rPr>
              <w:t>9,852,157.40</w:t>
            </w:r>
          </w:p>
        </w:tc>
        <w:tc>
          <w:tcPr>
            <w:tcW w:w="2126" w:type="dxa"/>
            <w:tcBorders>
              <w:top w:val="single" w:sz="6" w:space="0" w:color="000000"/>
              <w:left w:val="single" w:sz="6" w:space="0" w:color="000000"/>
              <w:bottom w:val="single" w:sz="12" w:space="0" w:color="000000"/>
              <w:right w:val="single" w:sz="6" w:space="0" w:color="000000"/>
            </w:tcBorders>
          </w:tcPr>
          <w:p>
            <w:pPr/>
          </w:p>
        </w:tc>
        <w:tc>
          <w:tcPr>
            <w:tcW w:w="198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pgSz w:w="11910" w:h="16840"/>
          <w:pgMar w:header="877" w:footer="1000" w:top="1100" w:bottom="1180" w:left="980" w:right="0"/>
        </w:sectPr>
      </w:pPr>
    </w:p>
    <w:p>
      <w:pPr>
        <w:pStyle w:val="Heading4"/>
        <w:spacing w:line="240" w:lineRule="auto" w:before="35"/>
        <w:ind w:right="0"/>
        <w:jc w:val="left"/>
        <w:rPr>
          <w:b w:val="0"/>
          <w:bCs w:val="0"/>
        </w:rPr>
      </w:pPr>
      <w:r>
        <w:rPr>
          <w:rFonts w:ascii="宋体" w:hAnsi="宋体" w:cs="宋体" w:eastAsia="宋体" w:hint="default"/>
          <w:w w:val="95"/>
        </w:rPr>
        <w:t>6</w:t>
      </w:r>
      <w:r>
        <w:rPr>
          <w:w w:val="95"/>
        </w:rPr>
        <w:t>、其他应收款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524" w:space="7395"/>
            <w:col w:w="2011"/>
          </w:cols>
        </w:sectPr>
      </w:pP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73"/>
        <w:gridCol w:w="3201"/>
        <w:gridCol w:w="3260"/>
      </w:tblGrid>
      <w:tr>
        <w:trPr>
          <w:trHeight w:val="415"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6" w:space="0" w:color="000000"/>
              <w:left w:val="single" w:sz="9" w:space="0" w:color="D2D2D2"/>
              <w:bottom w:val="single" w:sz="12" w:space="0" w:color="000000"/>
              <w:right w:val="single" w:sz="6" w:space="0" w:color="000000"/>
            </w:tcBorders>
          </w:tcPr>
          <w:p>
            <w:pPr/>
          </w:p>
        </w:tc>
        <w:tc>
          <w:tcPr>
            <w:tcW w:w="32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3,283.52</w:t>
            </w:r>
          </w:p>
        </w:tc>
      </w:tr>
    </w:tbl>
    <w:p>
      <w:pPr>
        <w:spacing w:after="0" w:line="240" w:lineRule="auto"/>
        <w:jc w:val="right"/>
        <w:rPr>
          <w:rFonts w:ascii="宋体" w:hAnsi="宋体" w:cs="宋体" w:eastAsia="宋体" w:hint="default"/>
          <w:sz w:val="18"/>
          <w:szCs w:val="18"/>
        </w:rPr>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173"/>
        <w:gridCol w:w="3201"/>
        <w:gridCol w:w="3260"/>
      </w:tblGrid>
      <w:tr>
        <w:trPr>
          <w:trHeight w:val="415"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36,411,903.65</w:t>
            </w:r>
          </w:p>
        </w:tc>
        <w:tc>
          <w:tcPr>
            <w:tcW w:w="32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21,967,886.12</w:t>
            </w:r>
          </w:p>
        </w:tc>
      </w:tr>
      <w:tr>
        <w:trPr>
          <w:trHeight w:val="41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36,411,903.65</w:t>
            </w:r>
          </w:p>
        </w:tc>
        <w:tc>
          <w:tcPr>
            <w:tcW w:w="32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21,971,169.64</w:t>
            </w:r>
          </w:p>
        </w:tc>
      </w:tr>
    </w:tbl>
    <w:p>
      <w:pPr>
        <w:spacing w:line="408" w:lineRule="auto" w:before="63"/>
        <w:ind w:left="154" w:right="9282" w:firstLine="0"/>
        <w:jc w:val="left"/>
        <w:rPr>
          <w:rFonts w:ascii="宋体" w:hAnsi="宋体" w:cs="宋体" w:eastAsia="宋体" w:hint="default"/>
          <w:sz w:val="21"/>
          <w:szCs w:val="21"/>
        </w:rPr>
      </w:pPr>
      <w:bookmarkStart w:name="（1）应收利息" w:id="234"/>
      <w:bookmarkEnd w:id="23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应收利息分类</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74"/>
        <w:gridCol w:w="3201"/>
        <w:gridCol w:w="3259"/>
      </w:tblGrid>
      <w:tr>
        <w:trPr>
          <w:trHeight w:val="415" w:hRule="exact"/>
        </w:trPr>
        <w:tc>
          <w:tcPr>
            <w:tcW w:w="317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5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6" w:space="0" w:color="000000"/>
              <w:left w:val="single" w:sz="14" w:space="0" w:color="D2D2D2"/>
              <w:bottom w:val="single" w:sz="6" w:space="0" w:color="000000"/>
              <w:right w:val="single" w:sz="6" w:space="0" w:color="000000"/>
            </w:tcBorders>
          </w:tcPr>
          <w:p>
            <w:pPr/>
          </w:p>
        </w:tc>
        <w:tc>
          <w:tcPr>
            <w:tcW w:w="32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3,283.52</w:t>
            </w:r>
          </w:p>
        </w:tc>
      </w:tr>
      <w:tr>
        <w:trPr>
          <w:trHeight w:val="415" w:hRule="exact"/>
        </w:trPr>
        <w:tc>
          <w:tcPr>
            <w:tcW w:w="317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14" w:space="0" w:color="D2D2D2"/>
              <w:bottom w:val="single" w:sz="12" w:space="0" w:color="000000"/>
              <w:right w:val="single" w:sz="6" w:space="0" w:color="000000"/>
            </w:tcBorders>
          </w:tcPr>
          <w:p>
            <w:pPr/>
          </w:p>
        </w:tc>
        <w:tc>
          <w:tcPr>
            <w:tcW w:w="32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3,283.52</w:t>
            </w:r>
          </w:p>
        </w:tc>
      </w:tr>
    </w:tbl>
    <w:p>
      <w:pPr>
        <w:pStyle w:val="BodyText"/>
        <w:spacing w:line="240" w:lineRule="auto" w:before="63"/>
        <w:ind w:right="1122"/>
        <w:jc w:val="left"/>
      </w:pPr>
      <w:r>
        <w:rPr>
          <w:rFonts w:ascii="宋体" w:hAnsi="宋体" w:cs="宋体" w:eastAsia="宋体" w:hint="default"/>
        </w:rPr>
        <w:t>2)</w:t>
      </w:r>
      <w:r>
        <w:rPr/>
        <w:t>重要逾期利息</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2）应收股利" w:id="235"/>
      <w:bookmarkEnd w:id="235"/>
      <w:r>
        <w:rPr>
          <w:b w:val="0"/>
          <w:bCs w:val="0"/>
        </w:rPr>
      </w:r>
      <w:r>
        <w:rPr/>
        <w:t>（</w:t>
      </w:r>
      <w:r>
        <w:rPr>
          <w:rFonts w:ascii="宋体" w:hAnsi="宋体" w:cs="宋体" w:eastAsia="宋体" w:hint="default"/>
        </w:rPr>
        <w:t>2</w:t>
      </w:r>
      <w:r>
        <w:rPr/>
        <w:t>）应收股利</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3）其他应收款" w:id="236"/>
      <w:bookmarkEnd w:id="236"/>
      <w:r>
        <w:rPr>
          <w:b w:val="0"/>
          <w:bCs w:val="0"/>
        </w:rPr>
      </w:r>
      <w:r>
        <w:rPr/>
        <w:t>（</w:t>
      </w:r>
      <w:r>
        <w:rPr>
          <w:rFonts w:ascii="宋体" w:hAnsi="宋体" w:cs="宋体" w:eastAsia="宋体" w:hint="default"/>
        </w:rPr>
        <w:t>3</w:t>
      </w:r>
      <w:r>
        <w:rPr/>
        <w:t>）其他应收款</w:t>
      </w:r>
      <w:r>
        <w:rPr>
          <w:b w:val="0"/>
          <w:bCs w:val="0"/>
        </w:rPr>
      </w:r>
    </w:p>
    <w:p>
      <w:pPr>
        <w:spacing w:line="240" w:lineRule="auto" w:before="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77" w:footer="1000" w:top="1100" w:bottom="1180" w:left="980" w:right="0"/>
        </w:sectPr>
      </w:pPr>
    </w:p>
    <w:p>
      <w:pPr>
        <w:pStyle w:val="BodyText"/>
        <w:spacing w:line="240" w:lineRule="auto" w:before="35"/>
        <w:ind w:right="-10"/>
        <w:jc w:val="left"/>
      </w:pPr>
      <w:r>
        <w:rPr>
          <w:rFonts w:ascii="宋体" w:hAnsi="宋体" w:cs="宋体" w:eastAsia="宋体" w:hint="default"/>
          <w:spacing w:val="-1"/>
        </w:rPr>
        <w:t>1)</w:t>
      </w:r>
      <w:r>
        <w:rPr>
          <w:spacing w:val="-1"/>
        </w:rPr>
        <w:t>其他应收款分类披露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2254" w:space="6665"/>
            <w:col w:w="2011"/>
          </w:cols>
        </w:sectPr>
      </w:pP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122"/>
        <w:gridCol w:w="1701"/>
        <w:gridCol w:w="1118"/>
        <w:gridCol w:w="1999"/>
        <w:gridCol w:w="1134"/>
        <w:gridCol w:w="1555"/>
      </w:tblGrid>
      <w:tr>
        <w:trPr>
          <w:trHeight w:val="415" w:hRule="exact"/>
        </w:trPr>
        <w:tc>
          <w:tcPr>
            <w:tcW w:w="212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7507"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11" w:hRule="exact"/>
        </w:trPr>
        <w:tc>
          <w:tcPr>
            <w:tcW w:w="212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8"/>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281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3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55"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2122" w:type="dxa"/>
            <w:vMerge/>
            <w:tcBorders>
              <w:left w:val="single" w:sz="12" w:space="0" w:color="000000"/>
              <w:bottom w:val="nil" w:sz="6" w:space="0" w:color="auto"/>
              <w:right w:val="single" w:sz="6" w:space="0" w:color="000000"/>
            </w:tcBorders>
            <w:shd w:val="clear" w:color="auto" w:fill="D2D2D2"/>
          </w:tcPr>
          <w:p>
            <w:pPr/>
          </w:p>
        </w:tc>
        <w:tc>
          <w:tcPr>
            <w:tcW w:w="2819" w:type="dxa"/>
            <w:gridSpan w:val="2"/>
            <w:vMerge/>
            <w:tcBorders>
              <w:left w:val="single" w:sz="6" w:space="0" w:color="000000"/>
              <w:bottom w:val="single" w:sz="6" w:space="0" w:color="000000"/>
              <w:right w:val="single" w:sz="6" w:space="0" w:color="000000"/>
            </w:tcBorders>
            <w:shd w:val="clear" w:color="auto" w:fill="D2D2D2"/>
          </w:tcPr>
          <w:p>
            <w:pPr/>
          </w:p>
        </w:tc>
        <w:tc>
          <w:tcPr>
            <w:tcW w:w="3134" w:type="dxa"/>
            <w:gridSpan w:val="2"/>
            <w:vMerge/>
            <w:tcBorders>
              <w:left w:val="single" w:sz="6" w:space="0" w:color="000000"/>
              <w:bottom w:val="single" w:sz="6" w:space="0" w:color="000000"/>
              <w:right w:val="single" w:sz="6" w:space="0" w:color="000000"/>
            </w:tcBorders>
            <w:shd w:val="clear" w:color="auto" w:fill="D2D2D2"/>
          </w:tcPr>
          <w:p>
            <w:pPr/>
          </w:p>
        </w:tc>
        <w:tc>
          <w:tcPr>
            <w:tcW w:w="155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6" w:hRule="exact"/>
        </w:trPr>
        <w:tc>
          <w:tcPr>
            <w:tcW w:w="2122" w:type="dxa"/>
            <w:vMerge w:val="restart"/>
            <w:tcBorders>
              <w:top w:val="nil" w:sz="6" w:space="0" w:color="auto"/>
              <w:left w:val="single" w:sz="12" w:space="0" w:color="000000"/>
              <w:right w:val="single" w:sz="6" w:space="0" w:color="000000"/>
            </w:tcBorders>
            <w:shd w:val="clear" w:color="auto" w:fill="D2D2D2"/>
          </w:tcPr>
          <w:p>
            <w:pPr/>
          </w:p>
        </w:tc>
        <w:tc>
          <w:tcPr>
            <w:tcW w:w="17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1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55"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2122" w:type="dxa"/>
            <w:vMerge/>
            <w:tcBorders>
              <w:left w:val="single" w:sz="12" w:space="0" w:color="000000"/>
              <w:bottom w:val="single" w:sz="6" w:space="0" w:color="000000"/>
              <w:right w:val="single" w:sz="6" w:space="0" w:color="000000"/>
            </w:tcBorders>
            <w:shd w:val="clear" w:color="auto" w:fill="D2D2D2"/>
          </w:tcPr>
          <w:p>
            <w:pPr/>
          </w:p>
        </w:tc>
        <w:tc>
          <w:tcPr>
            <w:tcW w:w="1701" w:type="dxa"/>
            <w:vMerge/>
            <w:tcBorders>
              <w:left w:val="single" w:sz="6" w:space="0" w:color="000000"/>
              <w:bottom w:val="single" w:sz="6" w:space="0" w:color="000000"/>
              <w:right w:val="single" w:sz="6" w:space="0" w:color="000000"/>
            </w:tcBorders>
            <w:shd w:val="clear" w:color="auto" w:fill="D2D2D2"/>
          </w:tcPr>
          <w:p>
            <w:pPr/>
          </w:p>
        </w:tc>
        <w:tc>
          <w:tcPr>
            <w:tcW w:w="1118" w:type="dxa"/>
            <w:vMerge/>
            <w:tcBorders>
              <w:left w:val="single" w:sz="6" w:space="0" w:color="000000"/>
              <w:bottom w:val="single" w:sz="6" w:space="0" w:color="000000"/>
              <w:right w:val="single" w:sz="6" w:space="0" w:color="000000"/>
            </w:tcBorders>
            <w:shd w:val="clear" w:color="auto" w:fill="D2D2D2"/>
          </w:tcPr>
          <w:p>
            <w:pPr/>
          </w:p>
        </w:tc>
        <w:tc>
          <w:tcPr>
            <w:tcW w:w="1999"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1555"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719" w:hRule="exact"/>
        </w:trPr>
        <w:tc>
          <w:tcPr>
            <w:tcW w:w="21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11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w:t>
            </w:r>
          </w:p>
        </w:tc>
        <w:tc>
          <w:tcPr>
            <w:tcW w:w="170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39,665,112.34</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3,253,208.69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8.20%</w:t>
            </w:r>
          </w:p>
        </w:tc>
        <w:tc>
          <w:tcPr>
            <w:tcW w:w="15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36,411,903.65</w:t>
            </w:r>
          </w:p>
        </w:tc>
      </w:tr>
      <w:tr>
        <w:trPr>
          <w:trHeight w:val="415" w:hRule="exact"/>
        </w:trPr>
        <w:tc>
          <w:tcPr>
            <w:tcW w:w="212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39,665,112.34</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100.00%</w:t>
            </w:r>
          </w:p>
        </w:tc>
        <w:tc>
          <w:tcPr>
            <w:tcW w:w="19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3,253,208.69</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8.20%</w:t>
            </w:r>
          </w:p>
        </w:tc>
        <w:tc>
          <w:tcPr>
            <w:tcW w:w="15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36,411,903.65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129"/>
        <w:gridCol w:w="1701"/>
        <w:gridCol w:w="1118"/>
        <w:gridCol w:w="1999"/>
        <w:gridCol w:w="1134"/>
        <w:gridCol w:w="1559"/>
      </w:tblGrid>
      <w:tr>
        <w:trPr>
          <w:trHeight w:val="415" w:hRule="exact"/>
        </w:trPr>
        <w:tc>
          <w:tcPr>
            <w:tcW w:w="2129" w:type="dxa"/>
            <w:vMerge w:val="restart"/>
            <w:tcBorders>
              <w:top w:val="single" w:sz="12" w:space="0" w:color="000000"/>
              <w:left w:val="single" w:sz="12" w:space="0" w:color="000000"/>
              <w:right w:val="single" w:sz="6"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7512" w:type="dxa"/>
            <w:gridSpan w:val="5"/>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2129" w:type="dxa"/>
            <w:vMerge/>
            <w:tcBorders>
              <w:left w:val="single" w:sz="12" w:space="0" w:color="000000"/>
              <w:right w:val="single" w:sz="6" w:space="0" w:color="000000"/>
            </w:tcBorders>
            <w:shd w:val="clear" w:color="auto" w:fill="D7D7D7"/>
          </w:tcPr>
          <w:p>
            <w:pPr/>
          </w:p>
        </w:tc>
        <w:tc>
          <w:tcPr>
            <w:tcW w:w="2819"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34"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vMerge w:val="restart"/>
            <w:tcBorders>
              <w:top w:val="single" w:sz="6" w:space="0" w:color="000000"/>
              <w:left w:val="single" w:sz="6" w:space="0" w:color="000000"/>
              <w:right w:val="single" w:sz="12" w:space="0" w:color="000000"/>
            </w:tcBorders>
            <w:shd w:val="clear" w:color="auto" w:fill="D7D7D7"/>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2129" w:type="dxa"/>
            <w:vMerge/>
            <w:tcBorders>
              <w:left w:val="single" w:sz="12" w:space="0" w:color="000000"/>
              <w:bottom w:val="single" w:sz="6" w:space="0" w:color="000000"/>
              <w:right w:val="single" w:sz="6" w:space="0" w:color="000000"/>
            </w:tcBorders>
            <w:shd w:val="clear" w:color="auto" w:fill="D7D7D7"/>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1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9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59" w:type="dxa"/>
            <w:vMerge/>
            <w:tcBorders>
              <w:left w:val="single" w:sz="6" w:space="0" w:color="000000"/>
              <w:bottom w:val="single" w:sz="6" w:space="0" w:color="000000"/>
              <w:right w:val="single" w:sz="12" w:space="0" w:color="000000"/>
            </w:tcBorders>
            <w:shd w:val="clear" w:color="auto" w:fill="D7D7D7"/>
          </w:tcPr>
          <w:p>
            <w:pPr/>
          </w:p>
        </w:tc>
      </w:tr>
      <w:tr>
        <w:trPr>
          <w:trHeight w:val="719"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13" w:right="11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25,050,079.14</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3,082,193.02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12.30%</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21,967,886.12</w:t>
            </w:r>
          </w:p>
        </w:tc>
      </w:tr>
      <w:tr>
        <w:trPr>
          <w:trHeight w:val="416" w:hRule="exact"/>
        </w:trPr>
        <w:tc>
          <w:tcPr>
            <w:tcW w:w="212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25,050,079.14</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100.00%</w:t>
            </w:r>
          </w:p>
        </w:tc>
        <w:tc>
          <w:tcPr>
            <w:tcW w:w="19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3,082,193.02</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12.30%</w:t>
            </w:r>
          </w:p>
        </w:tc>
        <w:tc>
          <w:tcPr>
            <w:tcW w:w="15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21,967,886.12</w:t>
            </w:r>
          </w:p>
        </w:tc>
      </w:tr>
    </w:tbl>
    <w:p>
      <w:pPr>
        <w:pStyle w:val="BodyText"/>
        <w:spacing w:line="240" w:lineRule="auto" w:before="63"/>
        <w:ind w:right="1122"/>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408" w:lineRule="auto" w:before="0"/>
        <w:ind w:right="5922"/>
        <w:jc w:val="left"/>
      </w:pPr>
      <w:r>
        <w:rPr/>
        <w:t>□ 适用 √</w:t>
      </w:r>
      <w:r>
        <w:rPr>
          <w:spacing w:val="-1"/>
        </w:rPr>
        <w:t> </w:t>
      </w:r>
      <w:r>
        <w:rPr/>
        <w:t>不适用</w:t>
      </w:r>
      <w:r>
        <w:rPr/>
        <w:t> 组合中，按账龄分析法计提坏账准备的其他应收款：</w:t>
      </w:r>
    </w:p>
    <w:p>
      <w:pPr>
        <w:pStyle w:val="BodyText"/>
        <w:spacing w:line="240" w:lineRule="auto"/>
        <w:ind w:right="1122"/>
        <w:jc w:val="left"/>
      </w:pPr>
      <w:r>
        <w:rPr/>
        <w:t>√ 适用 □</w:t>
      </w:r>
      <w:r>
        <w:rPr>
          <w:spacing w:val="-1"/>
        </w:rPr>
        <w:t> </w:t>
      </w:r>
      <w:r>
        <w:rPr/>
        <w:t>不适用</w:t>
      </w:r>
    </w:p>
    <w:p>
      <w:pPr>
        <w:spacing w:after="0" w:line="240" w:lineRule="auto"/>
        <w:jc w:val="left"/>
        <w:sectPr>
          <w:type w:val="continuous"/>
          <w:pgSz w:w="11910" w:h="16840"/>
          <w:pgMar w:top="1580" w:bottom="700" w:left="980" w:right="0"/>
        </w:sectPr>
      </w:pPr>
    </w:p>
    <w:p>
      <w:pPr>
        <w:spacing w:line="240" w:lineRule="auto" w:before="12"/>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129"/>
        <w:gridCol w:w="2835"/>
        <w:gridCol w:w="1984"/>
        <w:gridCol w:w="2694"/>
      </w:tblGrid>
      <w:tr>
        <w:trPr>
          <w:trHeight w:val="415" w:hRule="exact"/>
        </w:trPr>
        <w:tc>
          <w:tcPr>
            <w:tcW w:w="2129"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512"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129" w:type="dxa"/>
            <w:vMerge/>
            <w:tcBorders>
              <w:left w:val="single" w:sz="12" w:space="0" w:color="000000"/>
              <w:bottom w:val="single" w:sz="6" w:space="0" w:color="000000"/>
              <w:right w:val="single" w:sz="6" w:space="0" w:color="000000"/>
            </w:tcBorders>
            <w:shd w:val="clear" w:color="auto" w:fill="D2D2D2"/>
          </w:tcPr>
          <w:p>
            <w:pPr/>
          </w:p>
        </w:tc>
        <w:tc>
          <w:tcPr>
            <w:tcW w:w="28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9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94"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641"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35,505,381.07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1,065,161.44</w:t>
            </w:r>
          </w:p>
        </w:tc>
        <w:tc>
          <w:tcPr>
            <w:tcW w:w="2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35,505,381.07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1,065,161.44</w:t>
            </w:r>
          </w:p>
        </w:tc>
        <w:tc>
          <w:tcPr>
            <w:tcW w:w="2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674,247.48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67,424.75</w:t>
            </w:r>
          </w:p>
        </w:tc>
        <w:tc>
          <w:tcPr>
            <w:tcW w:w="2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w:t>
            </w: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892,417.21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267,725.16</w:t>
            </w:r>
          </w:p>
        </w:tc>
        <w:tc>
          <w:tcPr>
            <w:tcW w:w="2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30.00%</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2,593,066.58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1,852,897.34</w:t>
            </w:r>
          </w:p>
        </w:tc>
        <w:tc>
          <w:tcPr>
            <w:tcW w:w="2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71.46%</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1,229,239.68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614,619.84</w:t>
            </w:r>
          </w:p>
        </w:tc>
        <w:tc>
          <w:tcPr>
            <w:tcW w:w="2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418,498.00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292,948.60</w:t>
            </w:r>
          </w:p>
        </w:tc>
        <w:tc>
          <w:tcPr>
            <w:tcW w:w="2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70.00%</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945,328.90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945,328.90</w:t>
            </w:r>
          </w:p>
        </w:tc>
        <w:tc>
          <w:tcPr>
            <w:tcW w:w="2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15" w:hRule="exact"/>
        </w:trPr>
        <w:tc>
          <w:tcPr>
            <w:tcW w:w="212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39,665,112.34</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3,253,208.69</w:t>
            </w:r>
          </w:p>
        </w:tc>
        <w:tc>
          <w:tcPr>
            <w:tcW w:w="26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8.20%</w:t>
            </w:r>
          </w:p>
        </w:tc>
      </w:tr>
    </w:tbl>
    <w:p>
      <w:pPr>
        <w:pStyle w:val="BodyText"/>
        <w:spacing w:line="408" w:lineRule="auto" w:before="63"/>
        <w:ind w:right="5502"/>
        <w:jc w:val="left"/>
      </w:pPr>
      <w:r>
        <w:rPr/>
        <w:t>确定该组合依据的说明： 组合中，采用余额百分比法计提坏账准备的其他应收款：</w:t>
      </w:r>
    </w:p>
    <w:p>
      <w:pPr>
        <w:pStyle w:val="BodyText"/>
        <w:spacing w:line="408" w:lineRule="auto"/>
        <w:ind w:right="5922"/>
        <w:jc w:val="left"/>
      </w:pPr>
      <w:r>
        <w:rPr/>
        <w:t>□ 适用 √</w:t>
      </w:r>
      <w:r>
        <w:rPr>
          <w:spacing w:val="-1"/>
        </w:rPr>
        <w:t> </w:t>
      </w:r>
      <w:r>
        <w:rPr/>
        <w:t>不适用</w:t>
      </w:r>
      <w:r>
        <w:rPr/>
        <w:t> 组合中，采用其他方法计提坏账准备的其他应收款：</w:t>
      </w:r>
    </w:p>
    <w:p>
      <w:pPr>
        <w:pStyle w:val="BodyText"/>
        <w:spacing w:line="408" w:lineRule="auto"/>
        <w:ind w:right="6972"/>
        <w:jc w:val="left"/>
      </w:pPr>
      <w:r>
        <w:rPr/>
        <w:t>□ 适用 √</w:t>
      </w:r>
      <w:r>
        <w:rPr>
          <w:spacing w:val="-1"/>
        </w:rPr>
        <w:t> </w:t>
      </w:r>
      <w:r>
        <w:rPr/>
        <w:t>不适用</w:t>
      </w:r>
      <w:r>
        <w:rPr/>
        <w:t> </w:t>
      </w:r>
      <w:r>
        <w:rPr>
          <w:rFonts w:ascii="宋体" w:hAnsi="宋体" w:cs="宋体" w:eastAsia="宋体" w:hint="default"/>
        </w:rPr>
        <w:t>2)</w:t>
      </w:r>
      <w:r>
        <w:rPr/>
        <w:t>本期计提、收回或转回的坏账准备情况</w:t>
      </w:r>
    </w:p>
    <w:p>
      <w:pPr>
        <w:pStyle w:val="BodyText"/>
        <w:spacing w:line="376" w:lineRule="auto"/>
        <w:ind w:right="3406"/>
        <w:jc w:val="left"/>
      </w:pPr>
      <w:r>
        <w:rPr/>
        <w:t>本期计提坏账准备金额</w:t>
      </w:r>
      <w:r>
        <w:rPr>
          <w:spacing w:val="-53"/>
        </w:rPr>
        <w:t> </w:t>
      </w:r>
      <w:r>
        <w:rPr>
          <w:rFonts w:ascii="宋体" w:hAnsi="宋体" w:cs="宋体" w:eastAsia="宋体" w:hint="default"/>
        </w:rPr>
        <w:t>171,015.67</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0.00</w:t>
      </w:r>
      <w:r>
        <w:rPr>
          <w:rFonts w:ascii="宋体" w:hAnsi="宋体" w:cs="宋体" w:eastAsia="宋体" w:hint="default"/>
          <w:spacing w:val="-54"/>
        </w:rPr>
        <w:t> </w:t>
      </w:r>
      <w:r>
        <w:rPr/>
        <w:t>元。 </w:t>
      </w:r>
      <w:r>
        <w:rPr>
          <w:rFonts w:ascii="宋体" w:hAnsi="宋体" w:cs="宋体" w:eastAsia="宋体" w:hint="default"/>
        </w:rPr>
        <w:t>3)</w:t>
      </w:r>
      <w:r>
        <w:rPr/>
        <w:t>本期实际核销的其他应收款情况</w:t>
      </w:r>
    </w:p>
    <w:p>
      <w:pPr>
        <w:pStyle w:val="BodyText"/>
        <w:spacing w:line="408" w:lineRule="auto" w:before="35"/>
        <w:ind w:right="7602"/>
        <w:jc w:val="left"/>
      </w:pPr>
      <w:r>
        <w:rPr/>
        <w:t>□ 适用 √</w:t>
      </w:r>
      <w:r>
        <w:rPr>
          <w:spacing w:val="-1"/>
        </w:rPr>
        <w:t> </w:t>
      </w:r>
      <w:r>
        <w:rPr/>
        <w:t>不适用</w:t>
      </w:r>
      <w:r>
        <w:rPr/>
        <w:t> </w:t>
      </w:r>
      <w:r>
        <w:rPr>
          <w:rFonts w:ascii="宋体" w:hAnsi="宋体" w:cs="宋体" w:eastAsia="宋体" w:hint="default"/>
        </w:rPr>
        <w:t>4)</w:t>
      </w:r>
      <w:r>
        <w:rPr/>
        <w:t>其他应收款按款项性质分类情况</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88"/>
        <w:gridCol w:w="3191"/>
        <w:gridCol w:w="3261"/>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26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18,000,000.00</w:t>
            </w:r>
          </w:p>
        </w:tc>
        <w:tc>
          <w:tcPr>
            <w:tcW w:w="32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股权与债权转让款</w:t>
            </w:r>
          </w:p>
        </w:tc>
        <w:tc>
          <w:tcPr>
            <w:tcW w:w="3191" w:type="dxa"/>
            <w:tcBorders>
              <w:top w:val="single" w:sz="6" w:space="0" w:color="000000"/>
              <w:left w:val="single" w:sz="6" w:space="0" w:color="000000"/>
              <w:bottom w:val="single" w:sz="6" w:space="0" w:color="000000"/>
              <w:right w:val="single" w:sz="6" w:space="0" w:color="000000"/>
            </w:tcBorders>
          </w:tcPr>
          <w:p>
            <w:pPr/>
          </w:p>
        </w:tc>
        <w:tc>
          <w:tcPr>
            <w:tcW w:w="3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1,500,000.00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8,759,940.63</w:t>
            </w:r>
          </w:p>
        </w:tc>
        <w:tc>
          <w:tcPr>
            <w:tcW w:w="3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13,534,741.60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5,683,098.27</w:t>
            </w:r>
          </w:p>
        </w:tc>
        <w:tc>
          <w:tcPr>
            <w:tcW w:w="3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3,826,131.59</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应收租金及保证金</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1,014,595.86</w:t>
            </w:r>
          </w:p>
        </w:tc>
        <w:tc>
          <w:tcPr>
            <w:tcW w:w="3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2,735,177.57</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1,950.00</w:t>
            </w:r>
          </w:p>
        </w:tc>
        <w:tc>
          <w:tcPr>
            <w:tcW w:w="3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35,396.00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6,205,527.58</w:t>
            </w:r>
          </w:p>
        </w:tc>
        <w:tc>
          <w:tcPr>
            <w:tcW w:w="32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3,418,632.38</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39,665,112.34</w:t>
            </w:r>
          </w:p>
        </w:tc>
        <w:tc>
          <w:tcPr>
            <w:tcW w:w="32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25,050,079.14</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000" w:top="1100" w:bottom="1180" w:left="980" w:right="0"/>
        </w:sectPr>
      </w:pPr>
    </w:p>
    <w:p>
      <w:pPr>
        <w:pStyle w:val="BodyText"/>
        <w:spacing w:line="240" w:lineRule="auto" w:before="35"/>
        <w:ind w:right="0"/>
        <w:jc w:val="left"/>
      </w:pPr>
      <w:r>
        <w:rPr>
          <w:rFonts w:ascii="宋体" w:hAnsi="宋体" w:cs="宋体" w:eastAsia="宋体" w:hint="default"/>
          <w:spacing w:val="-1"/>
        </w:rPr>
        <w:t>5)</w:t>
      </w:r>
      <w:r>
        <w:rPr>
          <w:spacing w:val="-1"/>
        </w:rPr>
        <w:t>按欠款方归集的期末余额前五名的其他应收款情况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4984" w:space="3935"/>
            <w:col w:w="2011"/>
          </w:cols>
        </w:sectPr>
      </w:pP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86"/>
        <w:gridCol w:w="1204"/>
        <w:gridCol w:w="1916"/>
        <w:gridCol w:w="1272"/>
        <w:gridCol w:w="1596"/>
        <w:gridCol w:w="1667"/>
      </w:tblGrid>
      <w:tr>
        <w:trPr>
          <w:trHeight w:val="726" w:hRule="exact"/>
        </w:trPr>
        <w:tc>
          <w:tcPr>
            <w:tcW w:w="19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9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0" w:right="6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6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7"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18,000,000.00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45.38%</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540,000.00</w:t>
            </w:r>
          </w:p>
        </w:tc>
      </w:tr>
      <w:tr>
        <w:trPr>
          <w:trHeight w:val="408"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2,000,000.00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5.04%</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60,000.00</w:t>
            </w:r>
          </w:p>
        </w:tc>
      </w:tr>
      <w:tr>
        <w:trPr>
          <w:trHeight w:val="407"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郑丽蓉</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1,530,000.00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3.86%</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45,900.00</w:t>
            </w:r>
          </w:p>
        </w:tc>
      </w:tr>
      <w:tr>
        <w:trPr>
          <w:trHeight w:val="407"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杨永会</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1,122,500.00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2.83%</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33,675.00</w:t>
            </w:r>
          </w:p>
        </w:tc>
      </w:tr>
      <w:tr>
        <w:trPr>
          <w:trHeight w:val="1343"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3" w:right="148"/>
              <w:jc w:val="left"/>
              <w:rPr>
                <w:rFonts w:ascii="宋体" w:hAnsi="宋体" w:cs="宋体" w:eastAsia="宋体" w:hint="default"/>
                <w:sz w:val="18"/>
                <w:szCs w:val="18"/>
              </w:rPr>
            </w:pPr>
            <w:r>
              <w:rPr>
                <w:rFonts w:ascii="宋体" w:hAnsi="宋体" w:cs="宋体" w:eastAsia="宋体" w:hint="default"/>
                <w:sz w:val="18"/>
                <w:szCs w:val="18"/>
              </w:rPr>
              <w:t>江苏凯斯奇能源科技有 限公司</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1" w:right="85"/>
              <w:jc w:val="left"/>
              <w:rPr>
                <w:rFonts w:ascii="宋体" w:hAnsi="宋体" w:cs="宋体" w:eastAsia="宋体" w:hint="default"/>
                <w:sz w:val="18"/>
                <w:szCs w:val="18"/>
              </w:rPr>
            </w:pPr>
            <w:r>
              <w:rPr>
                <w:rFonts w:ascii="宋体" w:hAnsi="宋体" w:cs="宋体" w:eastAsia="宋体" w:hint="default"/>
                <w:sz w:val="18"/>
                <w:szCs w:val="18"/>
              </w:rPr>
              <w:t>应收租金及保 证金</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892,500.00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right="90"/>
              <w:jc w:val="center"/>
              <w:rPr>
                <w:rFonts w:ascii="宋体" w:hAnsi="宋体" w:cs="宋体" w:eastAsia="宋体" w:hint="default"/>
                <w:sz w:val="18"/>
                <w:szCs w:val="18"/>
              </w:rPr>
            </w:pPr>
            <w:r>
              <w:rPr>
                <w:rFonts w:ascii="宋体" w:hAnsi="宋体" w:cs="宋体" w:eastAsia="宋体" w:hint="default"/>
                <w:sz w:val="18"/>
                <w:szCs w:val="18"/>
              </w:rPr>
              <w:t>630,000.00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262,500.00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9"/>
              <w:jc w:val="right"/>
              <w:rPr>
                <w:rFonts w:ascii="宋体" w:hAnsi="宋体" w:cs="宋体" w:eastAsia="宋体" w:hint="default"/>
                <w:sz w:val="18"/>
                <w:szCs w:val="18"/>
              </w:rPr>
            </w:pPr>
            <w:r>
              <w:rPr>
                <w:rFonts w:ascii="宋体"/>
                <w:sz w:val="18"/>
              </w:rPr>
              <w:t>2.25%</w:t>
            </w:r>
          </w:p>
        </w:tc>
        <w:tc>
          <w:tcPr>
            <w:tcW w:w="16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
              <w:jc w:val="right"/>
              <w:rPr>
                <w:rFonts w:ascii="宋体" w:hAnsi="宋体" w:cs="宋体" w:eastAsia="宋体" w:hint="default"/>
                <w:sz w:val="18"/>
                <w:szCs w:val="18"/>
              </w:rPr>
            </w:pPr>
            <w:r>
              <w:rPr>
                <w:rFonts w:ascii="宋体"/>
                <w:sz w:val="18"/>
              </w:rPr>
              <w:t>498,750.00</w:t>
            </w:r>
          </w:p>
        </w:tc>
      </w:tr>
      <w:tr>
        <w:trPr>
          <w:trHeight w:val="414" w:hRule="exact"/>
        </w:trPr>
        <w:tc>
          <w:tcPr>
            <w:tcW w:w="19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916"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23,545,000.00</w:t>
            </w:r>
          </w:p>
        </w:tc>
        <w:tc>
          <w:tcPr>
            <w:tcW w:w="127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59.36%</w:t>
            </w:r>
          </w:p>
        </w:tc>
        <w:tc>
          <w:tcPr>
            <w:tcW w:w="16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1,178,325.00</w:t>
            </w:r>
          </w:p>
        </w:tc>
      </w:tr>
    </w:tbl>
    <w:p>
      <w:pPr>
        <w:pStyle w:val="BodyText"/>
        <w:spacing w:line="240" w:lineRule="auto" w:before="63"/>
        <w:ind w:right="1122"/>
        <w:jc w:val="left"/>
      </w:pPr>
      <w:r>
        <w:rPr/>
        <w:pict>
          <v:group style="position:absolute;margin-left:375.880005pt;margin-top:-88.266319pt;width:79.1pt;height:43.6pt;mso-position-horizontal-relative:page;mso-position-vertical-relative:paragraph;z-index:-903688" coordorigin="7518,-1765" coordsize="1582,872">
            <v:group style="position:absolute;left:7518;top:-1765;width:1582;height:468" coordorigin="7518,-1765" coordsize="1582,468">
              <v:shape style="position:absolute;left:7518;top:-1765;width:1582;height:468" coordorigin="7518,-1765" coordsize="1582,468" path="m7518,-1297l9100,-1297,9100,-1765,7518,-1765,7518,-1297xe" filled="true" fillcolor="#ffffff" stroked="false">
                <v:path arrowok="t"/>
                <v:fill type="solid"/>
              </v:shape>
            </v:group>
            <v:group style="position:absolute;left:7528;top:-1297;width:2;height:393" coordorigin="7528,-1297" coordsize="2,393">
              <v:shape style="position:absolute;left:7528;top:-1297;width:2;height:393" coordorigin="7528,-1297" coordsize="0,393" path="m7528,-1297l7528,-905e" filled="false" stroked="true" strokeweight="1.08pt" strokecolor="#ffffff">
                <v:path arrowok="t"/>
              </v:shape>
            </v:group>
            <v:group style="position:absolute;left:7539;top:-1297;width:1539;height:393" coordorigin="7539,-1297" coordsize="1539,393">
              <v:shape style="position:absolute;left:7539;top:-1297;width:1539;height:393" coordorigin="7539,-1297" coordsize="1539,393" path="m7539,-905l9078,-905,9078,-1297,7539,-1297,7539,-905xe" filled="true" fillcolor="#ffffff" stroked="false">
                <v:path arrowok="t"/>
                <v:fill type="solid"/>
              </v:shape>
            </v:group>
            <w10:wrap type="none"/>
          </v:group>
        </w:pict>
      </w:r>
      <w:r>
        <w:rPr>
          <w:rFonts w:ascii="宋体" w:hAnsi="宋体" w:cs="宋体" w:eastAsia="宋体" w:hint="default"/>
        </w:rPr>
        <w:t>6)</w:t>
      </w:r>
      <w:r>
        <w:rPr/>
        <w:t>涉及政府补助的应收款项</w:t>
      </w:r>
    </w:p>
    <w:p>
      <w:pPr>
        <w:spacing w:line="240" w:lineRule="auto" w:before="10"/>
        <w:rPr>
          <w:rFonts w:ascii="宋体" w:hAnsi="宋体" w:cs="宋体" w:eastAsia="宋体" w:hint="default"/>
          <w:sz w:val="14"/>
          <w:szCs w:val="14"/>
        </w:rPr>
      </w:pPr>
    </w:p>
    <w:p>
      <w:pPr>
        <w:pStyle w:val="BodyText"/>
        <w:spacing w:line="408" w:lineRule="auto" w:before="0"/>
        <w:ind w:right="6762"/>
        <w:jc w:val="left"/>
      </w:pPr>
      <w:r>
        <w:rPr/>
        <w:t>□ 适用 √</w:t>
      </w:r>
      <w:r>
        <w:rPr>
          <w:spacing w:val="-1"/>
        </w:rPr>
        <w:t> </w:t>
      </w:r>
      <w:r>
        <w:rPr/>
        <w:t>不适用</w:t>
      </w:r>
      <w:r>
        <w:rPr/>
        <w:t> </w:t>
      </w:r>
      <w:r>
        <w:rPr>
          <w:rFonts w:ascii="宋体" w:hAnsi="宋体" w:cs="宋体" w:eastAsia="宋体" w:hint="default"/>
        </w:rPr>
        <w:t>7)</w:t>
      </w:r>
      <w:r>
        <w:rPr/>
        <w:t>因金融资产转移而终止确认的其他应收款</w:t>
      </w:r>
    </w:p>
    <w:p>
      <w:pPr>
        <w:pStyle w:val="BodyText"/>
        <w:spacing w:line="408" w:lineRule="auto"/>
        <w:ind w:right="5922"/>
        <w:jc w:val="left"/>
      </w:pPr>
      <w:r>
        <w:rPr/>
        <w:t>□ 适用 √</w:t>
      </w:r>
      <w:r>
        <w:rPr>
          <w:spacing w:val="-1"/>
        </w:rPr>
        <w:t> </w:t>
      </w:r>
      <w:r>
        <w:rPr/>
        <w:t>不适用</w:t>
      </w:r>
      <w:r>
        <w:rPr/>
        <w:t> </w:t>
      </w:r>
      <w:r>
        <w:rPr>
          <w:rFonts w:ascii="宋体" w:hAnsi="宋体" w:cs="宋体" w:eastAsia="宋体" w:hint="default"/>
        </w:rPr>
        <w:t>8)</w:t>
      </w:r>
      <w:r>
        <w:rPr/>
        <w:t>转移其他应收款且继续涉入形成的资产、负债金额</w:t>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存货" w:id="237"/>
      <w:bookmarkEnd w:id="237"/>
      <w:r>
        <w:rPr>
          <w:rFonts w:ascii="宋体" w:hAnsi="宋体" w:cs="宋体" w:eastAsia="宋体" w:hint="default"/>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40" w:lineRule="auto"/>
        <w:ind w:right="1122"/>
        <w:jc w:val="left"/>
      </w:pPr>
      <w:r>
        <w:rPr/>
        <w:t>公司是否需要遵守房地产行业的披露要求：否</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1）存货分类" w:id="238"/>
      <w:bookmarkEnd w:id="238"/>
      <w:r>
        <w:rPr>
          <w:b w:val="0"/>
          <w:bCs w:val="0"/>
        </w:rPr>
      </w:r>
      <w:r>
        <w:rPr/>
        <w:t>（</w:t>
      </w:r>
      <w:r>
        <w:rPr>
          <w:rFonts w:ascii="宋体" w:hAnsi="宋体" w:cs="宋体" w:eastAsia="宋体" w:hint="default"/>
        </w:rPr>
        <w:t>1</w:t>
      </w:r>
      <w:r>
        <w:rPr/>
        <w:t>）存货分类</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352"/>
        <w:gridCol w:w="1378"/>
        <w:gridCol w:w="1367"/>
        <w:gridCol w:w="1367"/>
        <w:gridCol w:w="1368"/>
        <w:gridCol w:w="1367"/>
        <w:gridCol w:w="1366"/>
      </w:tblGrid>
      <w:tr>
        <w:trPr>
          <w:trHeight w:val="219"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4112"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6" w:space="0" w:color="000000"/>
              <w:bottom w:val="single" w:sz="6" w:space="0" w:color="000000"/>
              <w:right w:val="single" w:sz="6" w:space="0" w:color="000000"/>
            </w:tcBorders>
            <w:shd w:val="clear" w:color="auto" w:fill="D2D2D2"/>
          </w:tcPr>
          <w:p>
            <w:pPr/>
          </w:p>
        </w:tc>
        <w:tc>
          <w:tcPr>
            <w:tcW w:w="4101" w:type="dxa"/>
            <w:gridSpan w:val="3"/>
            <w:vMerge/>
            <w:tcBorders>
              <w:left w:val="single" w:sz="6" w:space="0" w:color="000000"/>
              <w:bottom w:val="single" w:sz="6" w:space="0" w:color="000000"/>
              <w:right w:val="single" w:sz="12" w:space="0" w:color="000000"/>
            </w:tcBorders>
            <w:shd w:val="clear" w:color="auto" w:fill="D2D2D2"/>
          </w:tcPr>
          <w:p>
            <w:pPr/>
          </w:p>
        </w:tc>
      </w:tr>
      <w:tr>
        <w:trPr>
          <w:trHeight w:val="195"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37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7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34,602,054.50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990,537.00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33,611,517.50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36,201,507.91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946,027.17</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35,255,480.74</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32,624,172.01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666,098.83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31,958,073.18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29,103,750.49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839,958.24</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28,263,792.25</w:t>
            </w:r>
          </w:p>
        </w:tc>
      </w:tr>
      <w:tr>
        <w:trPr>
          <w:trHeight w:val="408"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49,004,032.79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1,123,606.53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47,880,426.26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44,579,825.50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1,058,902.37</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43,520,923.13</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423,214.34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423,214.34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365,303.53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365,303.53</w:t>
            </w:r>
          </w:p>
        </w:tc>
      </w:tr>
      <w:tr>
        <w:trPr>
          <w:trHeight w:val="415"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116,653,473.64</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2,780,242.36</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113,873,231.28</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110,250,387.43</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2,844,887.78</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107,405,499.65</w:t>
            </w:r>
          </w:p>
        </w:tc>
      </w:tr>
    </w:tbl>
    <w:p>
      <w:pPr>
        <w:pStyle w:val="BodyText"/>
        <w:spacing w:line="408" w:lineRule="auto" w:before="63"/>
        <w:ind w:right="1115"/>
        <w:jc w:val="left"/>
      </w:pPr>
      <w:r>
        <w:rPr/>
        <w:t>公司是否需遵守《深圳证券交易所行业信息披露指引第</w:t>
      </w:r>
      <w:r>
        <w:rPr>
          <w:spacing w:val="-64"/>
        </w:rPr>
        <w:t> </w:t>
      </w:r>
      <w:r>
        <w:rPr>
          <w:rFonts w:ascii="宋体" w:hAnsi="宋体" w:cs="宋体" w:eastAsia="宋体" w:hint="default"/>
        </w:rPr>
        <w:t>4</w:t>
      </w:r>
      <w:r>
        <w:rPr>
          <w:rFonts w:ascii="宋体" w:hAnsi="宋体" w:cs="宋体" w:eastAsia="宋体" w:hint="default"/>
          <w:spacing w:val="-64"/>
        </w:rPr>
        <w:t> </w:t>
      </w:r>
      <w:r>
        <w:rPr/>
        <w:t>号——上市公司从事种业、种植业务》的披露要 求：否</w:t>
      </w:r>
    </w:p>
    <w:p>
      <w:pPr>
        <w:pStyle w:val="BodyText"/>
        <w:spacing w:line="240" w:lineRule="auto"/>
        <w:ind w:right="0"/>
        <w:jc w:val="left"/>
      </w:pPr>
      <w:r>
        <w:rPr/>
        <w:t>公司是否需遵守《深圳证券交易所创业板行业信息披露指引第 </w:t>
      </w:r>
      <w:r>
        <w:rPr>
          <w:rFonts w:ascii="宋体" w:hAnsi="宋体" w:cs="宋体" w:eastAsia="宋体" w:hint="default"/>
        </w:rPr>
        <w:t>1</w:t>
      </w:r>
      <w:r>
        <w:rPr>
          <w:rFonts w:ascii="宋体" w:hAnsi="宋体" w:cs="宋体" w:eastAsia="宋体" w:hint="default"/>
          <w:spacing w:val="-35"/>
        </w:rPr>
        <w:t> </w:t>
      </w:r>
      <w:r>
        <w:rPr/>
        <w:t>号——上市公司从事广播电影电视业务》</w:t>
      </w:r>
    </w:p>
    <w:p>
      <w:pPr>
        <w:spacing w:after="0" w:line="240" w:lineRule="auto"/>
        <w:jc w:val="left"/>
        <w:sectPr>
          <w:type w:val="continuous"/>
          <w:pgSz w:w="11910" w:h="16840"/>
          <w:pgMar w:top="1580" w:bottom="70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22"/>
        <w:jc w:val="left"/>
      </w:pPr>
      <w:r>
        <w:rPr/>
        <w:t>的披露要求：否</w:t>
      </w:r>
    </w:p>
    <w:p>
      <w:pPr>
        <w:spacing w:line="240" w:lineRule="auto" w:before="10"/>
        <w:rPr>
          <w:rFonts w:ascii="宋体" w:hAnsi="宋体" w:cs="宋体" w:eastAsia="宋体" w:hint="default"/>
          <w:sz w:val="14"/>
          <w:szCs w:val="14"/>
        </w:rPr>
      </w:pPr>
    </w:p>
    <w:p>
      <w:pPr>
        <w:pStyle w:val="BodyText"/>
        <w:spacing w:line="408" w:lineRule="auto" w:before="0"/>
        <w:ind w:right="1115"/>
        <w:jc w:val="left"/>
      </w:pPr>
      <w:r>
        <w:rPr/>
        <w:t>公司是否需遵守《深圳证券交易所创业板行业信息披露指引第</w:t>
      </w:r>
      <w:r>
        <w:rPr>
          <w:spacing w:val="-64"/>
        </w:rPr>
        <w:t> </w:t>
      </w:r>
      <w:r>
        <w:rPr>
          <w:rFonts w:ascii="宋体" w:hAnsi="宋体" w:cs="宋体" w:eastAsia="宋体" w:hint="default"/>
        </w:rPr>
        <w:t>5</w:t>
      </w:r>
      <w:r>
        <w:rPr>
          <w:rFonts w:ascii="宋体" w:hAnsi="宋体" w:cs="宋体" w:eastAsia="宋体" w:hint="default"/>
          <w:spacing w:val="-64"/>
        </w:rPr>
        <w:t> </w:t>
      </w:r>
      <w:r>
        <w:rPr/>
        <w:t>号——上市公司从事互联网游戏业务》的 披露要求：否</w:t>
      </w:r>
    </w:p>
    <w:p>
      <w:pPr>
        <w:pStyle w:val="BodyText"/>
        <w:spacing w:line="408" w:lineRule="auto"/>
        <w:ind w:right="1200"/>
        <w:jc w:val="left"/>
      </w:pPr>
      <w:r>
        <w:rPr/>
        <w:t>公司需遵守《深圳证券交易所行业信息披露指引第</w:t>
      </w:r>
      <w:r>
        <w:rPr>
          <w:spacing w:val="-54"/>
        </w:rPr>
        <w:t> </w:t>
      </w:r>
      <w:r>
        <w:rPr>
          <w:rFonts w:ascii="宋体" w:hAnsi="宋体" w:cs="宋体" w:eastAsia="宋体" w:hint="default"/>
        </w:rPr>
        <w:t>11</w:t>
      </w:r>
      <w:r>
        <w:rPr>
          <w:rFonts w:ascii="宋体" w:hAnsi="宋体" w:cs="宋体" w:eastAsia="宋体" w:hint="default"/>
          <w:spacing w:val="-54"/>
        </w:rPr>
        <w:t> </w:t>
      </w:r>
      <w:r>
        <w:rPr/>
        <w:t>号——上市公司从事珠宝相关业务》的披露要求： 否</w:t>
      </w:r>
    </w:p>
    <w:p>
      <w:pPr>
        <w:pStyle w:val="Heading4"/>
        <w:spacing w:line="240" w:lineRule="auto" w:before="46"/>
        <w:ind w:right="1122"/>
        <w:jc w:val="left"/>
        <w:rPr>
          <w:b w:val="0"/>
          <w:bCs w:val="0"/>
        </w:rPr>
      </w:pPr>
      <w:bookmarkStart w:name="（2）存货跌价准备" w:id="239"/>
      <w:bookmarkEnd w:id="239"/>
      <w:r>
        <w:rPr>
          <w:b w:val="0"/>
          <w:bCs w:val="0"/>
        </w:rPr>
      </w:r>
      <w:r>
        <w:rPr/>
        <w:t>（</w:t>
      </w:r>
      <w:r>
        <w:rPr>
          <w:rFonts w:ascii="宋体" w:hAnsi="宋体" w:cs="宋体" w:eastAsia="宋体" w:hint="default"/>
        </w:rPr>
        <w:t>2</w:t>
      </w:r>
      <w:r>
        <w:rPr/>
        <w:t>）存货跌价准备</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52"/>
        <w:gridCol w:w="1378"/>
        <w:gridCol w:w="1367"/>
        <w:gridCol w:w="1367"/>
        <w:gridCol w:w="1368"/>
        <w:gridCol w:w="1367"/>
        <w:gridCol w:w="1366"/>
      </w:tblGrid>
      <w:tr>
        <w:trPr>
          <w:trHeight w:val="218"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378" w:type="dxa"/>
            <w:tcBorders>
              <w:top w:val="single" w:sz="12" w:space="0" w:color="000000"/>
              <w:left w:val="single" w:sz="6" w:space="0" w:color="000000"/>
              <w:bottom w:val="nil" w:sz="6" w:space="0" w:color="auto"/>
              <w:right w:val="single" w:sz="6" w:space="0" w:color="000000"/>
            </w:tcBorders>
            <w:shd w:val="clear" w:color="auto" w:fill="D2D2D2"/>
          </w:tcPr>
          <w:p>
            <w:pPr/>
          </w:p>
        </w:tc>
        <w:tc>
          <w:tcPr>
            <w:tcW w:w="2734"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82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6"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6" w:space="0" w:color="000000"/>
              <w:bottom w:val="single" w:sz="6" w:space="0" w:color="000000"/>
              <w:right w:val="single" w:sz="6" w:space="0" w:color="000000"/>
            </w:tcBorders>
            <w:shd w:val="clear" w:color="auto" w:fill="D2D2D2"/>
          </w:tcPr>
          <w:p>
            <w:pPr/>
          </w:p>
        </w:tc>
        <w:tc>
          <w:tcPr>
            <w:tcW w:w="2735" w:type="dxa"/>
            <w:gridSpan w:val="2"/>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right w:val="single" w:sz="12" w:space="0" w:color="000000"/>
            </w:tcBorders>
            <w:shd w:val="clear" w:color="auto" w:fill="D2D2D2"/>
          </w:tcPr>
          <w:p>
            <w:pPr/>
          </w:p>
        </w:tc>
      </w:tr>
      <w:tr>
        <w:trPr>
          <w:trHeight w:val="196"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378"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26"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6" w:space="0" w:color="000000"/>
              <w:right w:val="single" w:sz="12" w:space="0" w:color="000000"/>
            </w:tcBorders>
            <w:shd w:val="clear" w:color="auto" w:fill="D2D2D2"/>
          </w:tcPr>
          <w:p>
            <w:pPr/>
          </w:p>
        </w:tc>
      </w:tr>
      <w:tr>
        <w:trPr>
          <w:trHeight w:val="210" w:hRule="exact"/>
        </w:trPr>
        <w:tc>
          <w:tcPr>
            <w:tcW w:w="1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78"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946,027.17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44,509.83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990,537.00</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839,958.24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173,859.41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666,098.83</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1,058,902.37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280,600.26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215,896.10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1,123,606.53</w:t>
            </w:r>
          </w:p>
        </w:tc>
      </w:tr>
      <w:tr>
        <w:trPr>
          <w:trHeight w:val="415"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2,844,887.78</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325,110.09</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389,755.51</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2,780,242.36</w:t>
            </w:r>
          </w:p>
        </w:tc>
      </w:tr>
    </w:tbl>
    <w:p>
      <w:pPr>
        <w:pStyle w:val="Heading4"/>
        <w:spacing w:line="240" w:lineRule="auto" w:before="63"/>
        <w:ind w:right="1122"/>
        <w:jc w:val="left"/>
        <w:rPr>
          <w:b w:val="0"/>
          <w:bCs w:val="0"/>
        </w:rPr>
      </w:pPr>
      <w:bookmarkStart w:name="（3）存货期末余额含有借款费用资本化金额的说明" w:id="240"/>
      <w:bookmarkEnd w:id="240"/>
      <w:r>
        <w:rPr>
          <w:b w:val="0"/>
          <w:bCs w:val="0"/>
        </w:rPr>
      </w:r>
      <w:r>
        <w:rPr/>
        <w:t>（</w:t>
      </w:r>
      <w:r>
        <w:rPr>
          <w:rFonts w:ascii="宋体" w:hAnsi="宋体" w:cs="宋体" w:eastAsia="宋体"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4）期末建造合同形成的已完工未结算资产情况" w:id="241"/>
      <w:bookmarkEnd w:id="241"/>
      <w:r>
        <w:rPr>
          <w:b w:val="0"/>
          <w:bCs w:val="0"/>
        </w:rPr>
      </w:r>
      <w:r>
        <w:rPr/>
        <w:t>（</w:t>
      </w:r>
      <w:r>
        <w:rPr>
          <w:rFonts w:ascii="宋体" w:hAnsi="宋体" w:cs="宋体" w:eastAsia="宋体"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8、持有待售资产" w:id="242"/>
      <w:bookmarkEnd w:id="242"/>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408" w:lineRule="auto" w:before="46"/>
        <w:ind w:left="154" w:right="8116"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9、一年内到期的非流动资产" w:id="243"/>
      <w:bookmarkEnd w:id="243"/>
      <w:r>
        <w:rPr>
          <w:rFonts w:ascii="宋体" w:hAnsi="宋体" w:cs="宋体" w:eastAsia="宋体" w:hint="default"/>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0、其他流动资产" w:id="244"/>
      <w:bookmarkEnd w:id="244"/>
      <w:r>
        <w:rPr>
          <w:rFonts w:ascii="宋体" w:hAnsi="宋体" w:cs="宋体" w:eastAsia="宋体" w:hint="default"/>
          <w:sz w:val="21"/>
          <w:szCs w:val="21"/>
        </w:rPr>
      </w:r>
      <w:r>
        <w:rPr>
          <w:rFonts w:ascii="宋体" w:hAnsi="宋体" w:cs="宋体" w:eastAsia="宋体" w:hint="default"/>
          <w:b/>
          <w:bCs/>
          <w:sz w:val="21"/>
          <w:szCs w:val="21"/>
        </w:rPr>
        <w:t>10</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88"/>
        <w:gridCol w:w="3191"/>
        <w:gridCol w:w="3191"/>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3,974,729.30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5,377,463.58</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预交的企业所得税</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595,349.79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3,764,223.71</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330,214.82</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3,363,402.18</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4,900,293.91</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12,505,089.47</w:t>
            </w:r>
          </w:p>
        </w:tc>
      </w:tr>
    </w:tbl>
    <w:p>
      <w:pPr>
        <w:pStyle w:val="Heading4"/>
        <w:spacing w:line="240" w:lineRule="auto" w:before="63"/>
        <w:ind w:right="1122"/>
        <w:jc w:val="left"/>
        <w:rPr>
          <w:b w:val="0"/>
          <w:bCs w:val="0"/>
        </w:rPr>
      </w:pPr>
      <w:bookmarkStart w:name="11、可供出售金融资产" w:id="245"/>
      <w:bookmarkEnd w:id="245"/>
      <w:r>
        <w:rPr>
          <w:b w:val="0"/>
          <w:bCs w:val="0"/>
        </w:rPr>
      </w:r>
      <w:r>
        <w:rPr>
          <w:rFonts w:ascii="宋体" w:hAnsi="宋体" w:cs="宋体" w:eastAsia="宋体" w:hint="default"/>
        </w:rPr>
        <w:t>11</w:t>
      </w:r>
      <w:r>
        <w:rPr/>
        <w:t>、可供出售金融资产</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2"/>
        <w:jc w:val="left"/>
        <w:rPr>
          <w:b w:val="0"/>
          <w:bCs w:val="0"/>
        </w:rPr>
      </w:pPr>
      <w:bookmarkStart w:name="（1）可供出售金融资产情况" w:id="246"/>
      <w:bookmarkEnd w:id="246"/>
      <w:r>
        <w:rPr>
          <w:b w:val="0"/>
          <w:bCs w:val="0"/>
        </w:rPr>
      </w:r>
      <w:r>
        <w:rPr/>
        <w:t>（</w:t>
      </w:r>
      <w:r>
        <w:rPr>
          <w:rFonts w:ascii="宋体" w:hAnsi="宋体" w:cs="宋体" w:eastAsia="宋体" w:hint="default"/>
        </w:rPr>
        <w:t>1</w:t>
      </w:r>
      <w:r>
        <w:rPr/>
        <w:t>）可供出售金融资产情况</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001"/>
        <w:gridCol w:w="1261"/>
        <w:gridCol w:w="1130"/>
        <w:gridCol w:w="1279"/>
        <w:gridCol w:w="1419"/>
        <w:gridCol w:w="1114"/>
        <w:gridCol w:w="1366"/>
      </w:tblGrid>
      <w:tr>
        <w:trPr>
          <w:trHeight w:val="219" w:hRule="exact"/>
        </w:trPr>
        <w:tc>
          <w:tcPr>
            <w:tcW w:w="2001"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670"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9"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0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670" w:type="dxa"/>
            <w:gridSpan w:val="3"/>
            <w:vMerge/>
            <w:tcBorders>
              <w:left w:val="single" w:sz="6" w:space="0" w:color="000000"/>
              <w:bottom w:val="single" w:sz="6" w:space="0" w:color="000000"/>
              <w:right w:val="single" w:sz="6" w:space="0" w:color="000000"/>
            </w:tcBorders>
            <w:shd w:val="clear" w:color="auto" w:fill="D2D2D2"/>
          </w:tcPr>
          <w:p>
            <w:pPr/>
          </w:p>
        </w:tc>
        <w:tc>
          <w:tcPr>
            <w:tcW w:w="3899" w:type="dxa"/>
            <w:gridSpan w:val="3"/>
            <w:vMerge/>
            <w:tcBorders>
              <w:left w:val="single" w:sz="6" w:space="0" w:color="000000"/>
              <w:bottom w:val="single" w:sz="6" w:space="0" w:color="000000"/>
              <w:right w:val="single" w:sz="12" w:space="0" w:color="000000"/>
            </w:tcBorders>
            <w:shd w:val="clear" w:color="auto" w:fill="D2D2D2"/>
          </w:tcPr>
          <w:p>
            <w:pPr/>
          </w:p>
        </w:tc>
      </w:tr>
      <w:tr>
        <w:trPr>
          <w:trHeight w:val="195" w:hRule="exact"/>
        </w:trPr>
        <w:tc>
          <w:tcPr>
            <w:tcW w:w="2001" w:type="dxa"/>
            <w:vMerge/>
            <w:tcBorders>
              <w:left w:val="single" w:sz="12" w:space="0" w:color="000000"/>
              <w:bottom w:val="nil" w:sz="6" w:space="0" w:color="auto"/>
              <w:right w:val="single" w:sz="6" w:space="0" w:color="000000"/>
            </w:tcBorders>
            <w:shd w:val="clear" w:color="auto" w:fill="D2D2D2"/>
          </w:tcPr>
          <w:p>
            <w:pPr/>
          </w:p>
        </w:tc>
        <w:tc>
          <w:tcPr>
            <w:tcW w:w="12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200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261" w:type="dxa"/>
            <w:vMerge/>
            <w:tcBorders>
              <w:left w:val="single" w:sz="6" w:space="0" w:color="000000"/>
              <w:bottom w:val="single" w:sz="6" w:space="0" w:color="000000"/>
              <w:right w:val="single" w:sz="6" w:space="0" w:color="000000"/>
            </w:tcBorders>
            <w:shd w:val="clear" w:color="auto" w:fill="D2D2D2"/>
          </w:tcPr>
          <w:p>
            <w:pPr/>
          </w:p>
        </w:tc>
        <w:tc>
          <w:tcPr>
            <w:tcW w:w="1130" w:type="dxa"/>
            <w:vMerge/>
            <w:tcBorders>
              <w:left w:val="single" w:sz="6" w:space="0" w:color="000000"/>
              <w:bottom w:val="single" w:sz="6" w:space="0" w:color="000000"/>
              <w:right w:val="single" w:sz="6" w:space="0" w:color="000000"/>
            </w:tcBorders>
            <w:shd w:val="clear" w:color="auto" w:fill="D2D2D2"/>
          </w:tcPr>
          <w:p>
            <w:pPr/>
          </w:p>
        </w:tc>
        <w:tc>
          <w:tcPr>
            <w:tcW w:w="1279" w:type="dxa"/>
            <w:vMerge/>
            <w:tcBorders>
              <w:left w:val="single" w:sz="6" w:space="0" w:color="000000"/>
              <w:bottom w:val="single" w:sz="6" w:space="0" w:color="000000"/>
              <w:right w:val="single" w:sz="6" w:space="0" w:color="000000"/>
            </w:tcBorders>
            <w:shd w:val="clear" w:color="auto" w:fill="D2D2D2"/>
          </w:tcPr>
          <w:p>
            <w:pPr/>
          </w:p>
        </w:tc>
        <w:tc>
          <w:tcPr>
            <w:tcW w:w="1419" w:type="dxa"/>
            <w:vMerge/>
            <w:tcBorders>
              <w:left w:val="single" w:sz="6" w:space="0" w:color="000000"/>
              <w:bottom w:val="single" w:sz="6" w:space="0" w:color="000000"/>
              <w:right w:val="single" w:sz="6" w:space="0" w:color="000000"/>
            </w:tcBorders>
            <w:shd w:val="clear" w:color="auto" w:fill="D2D2D2"/>
          </w:tcPr>
          <w:p>
            <w:pPr/>
          </w:p>
        </w:tc>
        <w:tc>
          <w:tcPr>
            <w:tcW w:w="1114"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20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6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81,303,000.00</w:t>
            </w:r>
          </w:p>
        </w:tc>
        <w:tc>
          <w:tcPr>
            <w:tcW w:w="1130"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81,303,000.00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81,300,000.00</w:t>
            </w: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81,300,000.00</w:t>
            </w:r>
          </w:p>
        </w:tc>
      </w:tr>
      <w:tr>
        <w:trPr>
          <w:trHeight w:val="407" w:hRule="exact"/>
        </w:trPr>
        <w:tc>
          <w:tcPr>
            <w:tcW w:w="20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6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81,303,000.00</w:t>
            </w:r>
          </w:p>
        </w:tc>
        <w:tc>
          <w:tcPr>
            <w:tcW w:w="1130"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81,303,000.00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81,300,000.00</w:t>
            </w: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81,300,000.00</w:t>
            </w:r>
          </w:p>
        </w:tc>
      </w:tr>
      <w:tr>
        <w:trPr>
          <w:trHeight w:val="415" w:hRule="exact"/>
        </w:trPr>
        <w:tc>
          <w:tcPr>
            <w:tcW w:w="200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81,303,000.00</w:t>
            </w:r>
          </w:p>
        </w:tc>
        <w:tc>
          <w:tcPr>
            <w:tcW w:w="1130" w:type="dxa"/>
            <w:tcBorders>
              <w:top w:val="single" w:sz="6" w:space="0" w:color="000000"/>
              <w:left w:val="single" w:sz="6" w:space="0" w:color="000000"/>
              <w:bottom w:val="single" w:sz="12" w:space="0" w:color="000000"/>
              <w:right w:val="single" w:sz="6" w:space="0" w:color="000000"/>
            </w:tcBorders>
          </w:tcPr>
          <w:p>
            <w:pP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81,303,000.00</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81,300,000.00</w:t>
            </w:r>
          </w:p>
        </w:tc>
        <w:tc>
          <w:tcPr>
            <w:tcW w:w="1114"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81,300,000.00</w:t>
            </w:r>
          </w:p>
        </w:tc>
      </w:tr>
    </w:tbl>
    <w:p>
      <w:pPr>
        <w:pStyle w:val="Heading4"/>
        <w:spacing w:line="240" w:lineRule="auto" w:before="63"/>
        <w:ind w:right="1122"/>
        <w:jc w:val="left"/>
        <w:rPr>
          <w:b w:val="0"/>
          <w:bCs w:val="0"/>
        </w:rPr>
      </w:pPr>
      <w:bookmarkStart w:name="（2）期末按公允价值计量的可供出售金融资产" w:id="247"/>
      <w:bookmarkEnd w:id="247"/>
      <w:r>
        <w:rPr>
          <w:b w:val="0"/>
          <w:bCs w:val="0"/>
        </w:rPr>
      </w:r>
      <w:r>
        <w:rPr/>
        <w:t>（</w:t>
      </w:r>
      <w:r>
        <w:rPr>
          <w:rFonts w:ascii="宋体" w:hAnsi="宋体" w:cs="宋体" w:eastAsia="宋体"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3）期末按成本计量的可供出售金融资产" w:id="248"/>
      <w:bookmarkEnd w:id="248"/>
      <w:r>
        <w:rPr>
          <w:b w:val="0"/>
          <w:bCs w:val="0"/>
        </w:rPr>
      </w:r>
      <w:r>
        <w:rPr/>
        <w:t>（</w:t>
      </w:r>
      <w:r>
        <w:rPr>
          <w:rFonts w:ascii="宋体" w:hAnsi="宋体" w:cs="宋体" w:eastAsia="宋体" w:hint="default"/>
        </w:rPr>
        <w:t>3</w:t>
      </w:r>
      <w:r>
        <w:rPr/>
        <w:t>）期末按成本计量的可供出售金融资产</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87"/>
        <w:gridCol w:w="1404"/>
        <w:gridCol w:w="864"/>
        <w:gridCol w:w="456"/>
        <w:gridCol w:w="1320"/>
        <w:gridCol w:w="684"/>
        <w:gridCol w:w="480"/>
        <w:gridCol w:w="458"/>
        <w:gridCol w:w="702"/>
        <w:gridCol w:w="1038"/>
        <w:gridCol w:w="869"/>
      </w:tblGrid>
      <w:tr>
        <w:trPr>
          <w:trHeight w:val="415" w:hRule="exact"/>
        </w:trPr>
        <w:tc>
          <w:tcPr>
            <w:tcW w:w="1287"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044"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5"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038"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869"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48" w:right="56"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9" w:hRule="exact"/>
        </w:trPr>
        <w:tc>
          <w:tcPr>
            <w:tcW w:w="1287" w:type="dxa"/>
            <w:vMerge/>
            <w:tcBorders>
              <w:left w:val="single" w:sz="12" w:space="0" w:color="000000"/>
              <w:bottom w:val="single" w:sz="6" w:space="0" w:color="000000"/>
              <w:right w:val="single" w:sz="6" w:space="0" w:color="000000"/>
            </w:tcBorders>
            <w:shd w:val="clear" w:color="auto" w:fill="D2D2D2"/>
          </w:tcPr>
          <w:p>
            <w:pPr/>
          </w:p>
        </w:tc>
        <w:tc>
          <w:tcPr>
            <w:tcW w:w="14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4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9" w:right="4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6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4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51" w:right="53"/>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4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42" w:right="41"/>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038" w:type="dxa"/>
            <w:vMerge/>
            <w:tcBorders>
              <w:left w:val="single" w:sz="6" w:space="0" w:color="000000"/>
              <w:bottom w:val="single" w:sz="6" w:space="0" w:color="000000"/>
              <w:right w:val="single" w:sz="6" w:space="0" w:color="000000"/>
            </w:tcBorders>
            <w:shd w:val="clear" w:color="auto" w:fill="D2D2D2"/>
          </w:tcPr>
          <w:p>
            <w:pPr/>
          </w:p>
        </w:tc>
        <w:tc>
          <w:tcPr>
            <w:tcW w:w="869" w:type="dxa"/>
            <w:vMerge/>
            <w:tcBorders>
              <w:left w:val="single" w:sz="6" w:space="0" w:color="000000"/>
              <w:bottom w:val="single" w:sz="6" w:space="0" w:color="000000"/>
              <w:right w:val="single" w:sz="12" w:space="0" w:color="000000"/>
            </w:tcBorders>
            <w:shd w:val="clear" w:color="auto" w:fill="D2D2D2"/>
          </w:tcPr>
          <w:p>
            <w:pPr/>
          </w:p>
        </w:tc>
      </w:tr>
      <w:tr>
        <w:trPr>
          <w:trHeight w:val="719" w:hRule="exact"/>
        </w:trPr>
        <w:tc>
          <w:tcPr>
            <w:tcW w:w="128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9"/>
              <w:jc w:val="left"/>
              <w:rPr>
                <w:rFonts w:ascii="宋体" w:hAnsi="宋体" w:cs="宋体" w:eastAsia="宋体" w:hint="default"/>
                <w:sz w:val="18"/>
                <w:szCs w:val="18"/>
              </w:rPr>
            </w:pPr>
            <w:r>
              <w:rPr>
                <w:rFonts w:ascii="宋体" w:hAnsi="宋体" w:cs="宋体" w:eastAsia="宋体" w:hint="default"/>
                <w:spacing w:val="25"/>
                <w:sz w:val="18"/>
                <w:szCs w:val="18"/>
              </w:rPr>
              <w:t>贵州贵银投资</w:t>
            </w:r>
            <w:r>
              <w:rPr>
                <w:rFonts w:ascii="宋体" w:hAnsi="宋体" w:cs="宋体" w:eastAsia="宋体" w:hint="default"/>
                <w:spacing w:val="-60"/>
                <w:sz w:val="18"/>
                <w:szCs w:val="18"/>
              </w:rPr>
              <w:t> </w:t>
            </w:r>
            <w:r>
              <w:rPr>
                <w:rFonts w:ascii="宋体" w:hAnsi="宋体" w:cs="宋体" w:eastAsia="宋体" w:hint="default"/>
                <w:sz w:val="18"/>
                <w:szCs w:val="18"/>
              </w:rPr>
              <w:t>有限公司</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700,000.00</w:t>
            </w:r>
          </w:p>
        </w:tc>
        <w:tc>
          <w:tcPr>
            <w:tcW w:w="864"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700,000.00</w:t>
            </w:r>
          </w:p>
        </w:tc>
        <w:tc>
          <w:tcPr>
            <w:tcW w:w="684"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7.00%</w:t>
            </w:r>
          </w:p>
        </w:tc>
        <w:tc>
          <w:tcPr>
            <w:tcW w:w="86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28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9"/>
              <w:jc w:val="left"/>
              <w:rPr>
                <w:rFonts w:ascii="宋体" w:hAnsi="宋体" w:cs="宋体" w:eastAsia="宋体" w:hint="default"/>
                <w:sz w:val="18"/>
                <w:szCs w:val="18"/>
              </w:rPr>
            </w:pPr>
            <w:r>
              <w:rPr>
                <w:rFonts w:ascii="宋体" w:hAnsi="宋体" w:cs="宋体" w:eastAsia="宋体" w:hint="default"/>
                <w:spacing w:val="25"/>
                <w:sz w:val="18"/>
                <w:szCs w:val="18"/>
              </w:rPr>
              <w:t>广东九联科技</w:t>
            </w:r>
            <w:r>
              <w:rPr>
                <w:rFonts w:ascii="宋体" w:hAnsi="宋体" w:cs="宋体" w:eastAsia="宋体" w:hint="default"/>
                <w:spacing w:val="-60"/>
                <w:sz w:val="18"/>
                <w:szCs w:val="18"/>
              </w:rPr>
              <w:t> </w:t>
            </w:r>
            <w:r>
              <w:rPr>
                <w:rFonts w:ascii="宋体" w:hAnsi="宋体" w:cs="宋体" w:eastAsia="宋体" w:hint="default"/>
                <w:sz w:val="18"/>
                <w:szCs w:val="18"/>
              </w:rPr>
              <w:t>股份有限公司</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21,600,000.00</w:t>
            </w:r>
          </w:p>
        </w:tc>
        <w:tc>
          <w:tcPr>
            <w:tcW w:w="864"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21,600,000.00</w:t>
            </w:r>
          </w:p>
        </w:tc>
        <w:tc>
          <w:tcPr>
            <w:tcW w:w="684"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4.00%</w:t>
            </w:r>
          </w:p>
        </w:tc>
        <w:tc>
          <w:tcPr>
            <w:tcW w:w="869"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128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2"/>
              <w:ind w:left="13" w:right="-9"/>
              <w:jc w:val="both"/>
              <w:rPr>
                <w:rFonts w:ascii="宋体" w:hAnsi="宋体" w:cs="宋体" w:eastAsia="宋体" w:hint="default"/>
                <w:sz w:val="18"/>
                <w:szCs w:val="18"/>
              </w:rPr>
            </w:pPr>
            <w:r>
              <w:rPr>
                <w:rFonts w:ascii="宋体" w:hAnsi="宋体" w:cs="宋体" w:eastAsia="宋体" w:hint="default"/>
                <w:spacing w:val="25"/>
                <w:sz w:val="18"/>
                <w:szCs w:val="18"/>
              </w:rPr>
              <w:t>南京光一文化</w:t>
            </w:r>
            <w:r>
              <w:rPr>
                <w:rFonts w:ascii="宋体" w:hAnsi="宋体" w:cs="宋体" w:eastAsia="宋体" w:hint="default"/>
                <w:spacing w:val="-60"/>
                <w:sz w:val="18"/>
                <w:szCs w:val="18"/>
              </w:rPr>
              <w:t> </w:t>
            </w:r>
            <w:r>
              <w:rPr>
                <w:rFonts w:ascii="宋体" w:hAnsi="宋体" w:cs="宋体" w:eastAsia="宋体" w:hint="default"/>
                <w:spacing w:val="25"/>
                <w:sz w:val="18"/>
                <w:szCs w:val="18"/>
              </w:rPr>
              <w:t>产业投资发展</w:t>
            </w:r>
            <w:r>
              <w:rPr>
                <w:rFonts w:ascii="宋体" w:hAnsi="宋体" w:cs="宋体" w:eastAsia="宋体" w:hint="default"/>
                <w:spacing w:val="-60"/>
                <w:sz w:val="18"/>
                <w:szCs w:val="18"/>
              </w:rPr>
              <w:t> </w:t>
            </w:r>
            <w:r>
              <w:rPr>
                <w:rFonts w:ascii="宋体" w:hAnsi="宋体" w:cs="宋体" w:eastAsia="宋体" w:hint="default"/>
                <w:spacing w:val="9"/>
                <w:sz w:val="18"/>
                <w:szCs w:val="18"/>
              </w:rPr>
              <w:t>合伙企业</w:t>
            </w:r>
            <w:r>
              <w:rPr>
                <w:rFonts w:ascii="宋体" w:hAnsi="宋体" w:cs="宋体" w:eastAsia="宋体" w:hint="default"/>
                <w:spacing w:val="9"/>
                <w:sz w:val="18"/>
                <w:szCs w:val="18"/>
              </w:rPr>
              <w:t>(</w:t>
            </w:r>
            <w:r>
              <w:rPr>
                <w:rFonts w:ascii="宋体" w:hAnsi="宋体" w:cs="宋体" w:eastAsia="宋体" w:hint="default"/>
                <w:spacing w:val="9"/>
                <w:sz w:val="18"/>
                <w:szCs w:val="18"/>
              </w:rPr>
              <w:t>有限</w:t>
            </w:r>
            <w:r>
              <w:rPr>
                <w:rFonts w:ascii="宋体" w:hAnsi="宋体" w:cs="宋体" w:eastAsia="宋体" w:hint="default"/>
                <w:spacing w:val="-87"/>
                <w:sz w:val="18"/>
                <w:szCs w:val="18"/>
              </w:rPr>
              <w:t> </w:t>
            </w:r>
            <w:r>
              <w:rPr>
                <w:rFonts w:ascii="宋体" w:hAnsi="宋体" w:cs="宋体" w:eastAsia="宋体" w:hint="default"/>
                <w:sz w:val="18"/>
                <w:szCs w:val="18"/>
              </w:rPr>
              <w:t>合伙</w:t>
            </w:r>
            <w:r>
              <w:rPr>
                <w:rFonts w:ascii="宋体" w:hAnsi="宋体" w:cs="宋体" w:eastAsia="宋体" w:hint="default"/>
                <w:sz w:val="18"/>
                <w:szCs w:val="18"/>
              </w:rPr>
              <w:t>)</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56,000,000.00</w:t>
            </w:r>
          </w:p>
        </w:tc>
        <w:tc>
          <w:tcPr>
            <w:tcW w:w="864"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56,000,000.00</w:t>
            </w:r>
          </w:p>
        </w:tc>
        <w:tc>
          <w:tcPr>
            <w:tcW w:w="684"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19.86%</w:t>
            </w:r>
          </w:p>
        </w:tc>
        <w:tc>
          <w:tcPr>
            <w:tcW w:w="869"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128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9"/>
              <w:jc w:val="both"/>
              <w:rPr>
                <w:rFonts w:ascii="宋体" w:hAnsi="宋体" w:cs="宋体" w:eastAsia="宋体" w:hint="default"/>
                <w:sz w:val="18"/>
                <w:szCs w:val="18"/>
              </w:rPr>
            </w:pPr>
            <w:r>
              <w:rPr>
                <w:rFonts w:ascii="宋体" w:hAnsi="宋体" w:cs="宋体" w:eastAsia="宋体" w:hint="default"/>
                <w:spacing w:val="25"/>
                <w:sz w:val="18"/>
                <w:szCs w:val="18"/>
              </w:rPr>
              <w:t>南京捷尼瑞科</w:t>
            </w:r>
            <w:r>
              <w:rPr>
                <w:rFonts w:ascii="宋体" w:hAnsi="宋体" w:cs="宋体" w:eastAsia="宋体" w:hint="default"/>
                <w:spacing w:val="-60"/>
                <w:sz w:val="18"/>
                <w:szCs w:val="18"/>
              </w:rPr>
              <w:t> </w:t>
            </w:r>
            <w:r>
              <w:rPr>
                <w:rFonts w:ascii="宋体" w:hAnsi="宋体" w:cs="宋体" w:eastAsia="宋体" w:hint="default"/>
                <w:spacing w:val="25"/>
                <w:sz w:val="18"/>
                <w:szCs w:val="18"/>
              </w:rPr>
              <w:t>技产业投资合</w:t>
            </w:r>
            <w:r>
              <w:rPr>
                <w:rFonts w:ascii="宋体" w:hAnsi="宋体" w:cs="宋体" w:eastAsia="宋体" w:hint="default"/>
                <w:spacing w:val="-60"/>
                <w:sz w:val="18"/>
                <w:szCs w:val="18"/>
              </w:rPr>
              <w:t> </w:t>
            </w:r>
            <w:r>
              <w:rPr>
                <w:rFonts w:ascii="宋体" w:hAnsi="宋体" w:cs="宋体" w:eastAsia="宋体" w:hint="default"/>
                <w:spacing w:val="-5"/>
                <w:sz w:val="18"/>
                <w:szCs w:val="18"/>
              </w:rPr>
              <w:t>伙企业（有限合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3,000,000.00</w:t>
            </w:r>
          </w:p>
        </w:tc>
        <w:tc>
          <w:tcPr>
            <w:tcW w:w="864" w:type="dxa"/>
            <w:tcBorders>
              <w:top w:val="single" w:sz="6" w:space="0" w:color="000000"/>
              <w:left w:val="single" w:sz="6"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3,000,000.00</w:t>
            </w:r>
          </w:p>
        </w:tc>
        <w:tc>
          <w:tcPr>
            <w:tcW w:w="684"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
        </w:tc>
        <w:tc>
          <w:tcPr>
            <w:tcW w:w="1038"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12" w:space="0" w:color="000000"/>
            </w:tcBorders>
          </w:tcPr>
          <w:p>
            <w:pPr/>
          </w:p>
        </w:tc>
      </w:tr>
      <w:tr>
        <w:trPr>
          <w:trHeight w:val="1344" w:hRule="exact"/>
        </w:trPr>
        <w:tc>
          <w:tcPr>
            <w:tcW w:w="128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9"/>
              <w:jc w:val="both"/>
              <w:rPr>
                <w:rFonts w:ascii="宋体" w:hAnsi="宋体" w:cs="宋体" w:eastAsia="宋体" w:hint="default"/>
                <w:sz w:val="18"/>
                <w:szCs w:val="18"/>
              </w:rPr>
            </w:pPr>
            <w:r>
              <w:rPr>
                <w:rFonts w:ascii="宋体" w:hAnsi="宋体" w:cs="宋体" w:eastAsia="宋体" w:hint="default"/>
                <w:spacing w:val="25"/>
                <w:sz w:val="18"/>
                <w:szCs w:val="18"/>
              </w:rPr>
              <w:t>南京光一版权</w:t>
            </w:r>
            <w:r>
              <w:rPr>
                <w:rFonts w:ascii="宋体" w:hAnsi="宋体" w:cs="宋体" w:eastAsia="宋体" w:hint="default"/>
                <w:spacing w:val="-60"/>
                <w:sz w:val="18"/>
                <w:szCs w:val="18"/>
              </w:rPr>
              <w:t> </w:t>
            </w:r>
            <w:r>
              <w:rPr>
                <w:rFonts w:ascii="宋体" w:hAnsi="宋体" w:cs="宋体" w:eastAsia="宋体" w:hint="default"/>
                <w:spacing w:val="25"/>
                <w:sz w:val="18"/>
                <w:szCs w:val="18"/>
              </w:rPr>
              <w:t>云大数据服务</w:t>
            </w:r>
            <w:r>
              <w:rPr>
                <w:rFonts w:ascii="宋体" w:hAnsi="宋体" w:cs="宋体" w:eastAsia="宋体" w:hint="default"/>
                <w:spacing w:val="-60"/>
                <w:sz w:val="18"/>
                <w:szCs w:val="18"/>
              </w:rPr>
              <w:t> </w:t>
            </w:r>
            <w:r>
              <w:rPr>
                <w:rFonts w:ascii="宋体" w:hAnsi="宋体" w:cs="宋体" w:eastAsia="宋体" w:hint="default"/>
                <w:spacing w:val="-5"/>
                <w:sz w:val="18"/>
                <w:szCs w:val="18"/>
              </w:rPr>
              <w:t>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04"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6" w:right="0"/>
              <w:jc w:val="center"/>
              <w:rPr>
                <w:rFonts w:ascii="宋体" w:hAnsi="宋体" w:cs="宋体" w:eastAsia="宋体" w:hint="default"/>
                <w:sz w:val="18"/>
                <w:szCs w:val="18"/>
              </w:rPr>
            </w:pPr>
            <w:r>
              <w:rPr>
                <w:rFonts w:ascii="宋体"/>
                <w:sz w:val="18"/>
              </w:rPr>
              <w:t>3,000.00</w:t>
            </w:r>
          </w:p>
        </w:tc>
        <w:tc>
          <w:tcPr>
            <w:tcW w:w="45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3,000.00</w:t>
            </w:r>
          </w:p>
        </w:tc>
        <w:tc>
          <w:tcPr>
            <w:tcW w:w="684"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
        </w:tc>
        <w:tc>
          <w:tcPr>
            <w:tcW w:w="1038"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28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81,300,000.00</w:t>
            </w:r>
          </w:p>
        </w:tc>
        <w:tc>
          <w:tcPr>
            <w:tcW w:w="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sz w:val="18"/>
              </w:rPr>
              <w:t>3,000.00</w:t>
            </w:r>
          </w:p>
        </w:tc>
        <w:tc>
          <w:tcPr>
            <w:tcW w:w="456" w:type="dxa"/>
            <w:tcBorders>
              <w:top w:val="single" w:sz="6" w:space="0" w:color="000000"/>
              <w:left w:val="single" w:sz="6" w:space="0" w:color="000000"/>
              <w:bottom w:val="single" w:sz="12" w:space="0" w:color="000000"/>
              <w:right w:val="single" w:sz="6" w:space="0" w:color="000000"/>
            </w:tcBorders>
          </w:tcPr>
          <w:p>
            <w:pP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81,303,000.00</w:t>
            </w:r>
          </w:p>
        </w:tc>
        <w:tc>
          <w:tcPr>
            <w:tcW w:w="684" w:type="dxa"/>
            <w:tcBorders>
              <w:top w:val="single" w:sz="6" w:space="0" w:color="000000"/>
              <w:left w:val="single" w:sz="6" w:space="0" w:color="000000"/>
              <w:bottom w:val="single" w:sz="12" w:space="0" w:color="000000"/>
              <w:right w:val="single" w:sz="6" w:space="0" w:color="000000"/>
            </w:tcBorders>
          </w:tcPr>
          <w:p>
            <w:pPr/>
          </w:p>
        </w:tc>
        <w:tc>
          <w:tcPr>
            <w:tcW w:w="480" w:type="dxa"/>
            <w:tcBorders>
              <w:top w:val="single" w:sz="6" w:space="0" w:color="000000"/>
              <w:left w:val="single" w:sz="6" w:space="0" w:color="000000"/>
              <w:bottom w:val="single" w:sz="12" w:space="0" w:color="000000"/>
              <w:right w:val="single" w:sz="6" w:space="0" w:color="000000"/>
            </w:tcBorders>
          </w:tcPr>
          <w:p>
            <w:pPr/>
          </w:p>
        </w:tc>
        <w:tc>
          <w:tcPr>
            <w:tcW w:w="458" w:type="dxa"/>
            <w:tcBorders>
              <w:top w:val="single" w:sz="6" w:space="0" w:color="000000"/>
              <w:left w:val="single" w:sz="6" w:space="0" w:color="000000"/>
              <w:bottom w:val="single" w:sz="12" w:space="0" w:color="000000"/>
              <w:right w:val="single" w:sz="6" w:space="0" w:color="000000"/>
            </w:tcBorders>
          </w:tcPr>
          <w:p>
            <w:pPr/>
          </w:p>
        </w:tc>
        <w:tc>
          <w:tcPr>
            <w:tcW w:w="702" w:type="dxa"/>
            <w:tcBorders>
              <w:top w:val="single" w:sz="6" w:space="0" w:color="000000"/>
              <w:left w:val="single" w:sz="6" w:space="0" w:color="000000"/>
              <w:bottom w:val="single" w:sz="12" w:space="0" w:color="000000"/>
              <w:right w:val="single" w:sz="14" w:space="0" w:color="D2D2D2"/>
            </w:tcBorders>
          </w:tcPr>
          <w:p>
            <w:pPr/>
          </w:p>
        </w:tc>
        <w:tc>
          <w:tcPr>
            <w:tcW w:w="103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869"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1122"/>
        <w:jc w:val="left"/>
        <w:rPr>
          <w:b w:val="0"/>
          <w:bCs w:val="0"/>
        </w:rPr>
      </w:pPr>
      <w:bookmarkStart w:name="（4）报告期内可供出售金融资产减值的变动情况" w:id="249"/>
      <w:bookmarkEnd w:id="249"/>
      <w:r>
        <w:rPr>
          <w:b w:val="0"/>
          <w:bCs w:val="0"/>
        </w:rPr>
      </w:r>
      <w:r>
        <w:rPr/>
        <w:t>（</w:t>
      </w:r>
      <w:r>
        <w:rPr>
          <w:rFonts w:ascii="宋体" w:hAnsi="宋体" w:cs="宋体" w:eastAsia="宋体"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5）可供出售权益工具期末公允价值严重下跌或非暂时性下跌但未计提减值准备的相关说" w:id="250"/>
      <w:bookmarkEnd w:id="250"/>
      <w:r>
        <w:rPr>
          <w:b w:val="0"/>
          <w:bCs w:val="0"/>
        </w:rPr>
      </w:r>
      <w:r>
        <w:rPr/>
        <w:t>（</w:t>
      </w:r>
      <w:r>
        <w:rPr>
          <w:rFonts w:ascii="宋体" w:hAnsi="宋体" w:cs="宋体" w:eastAsia="宋体"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left="794" w:right="1118"/>
        <w:jc w:val="left"/>
        <w:rPr>
          <w:b w:val="0"/>
          <w:bCs w:val="0"/>
        </w:rPr>
      </w:pPr>
      <w:bookmarkStart w:name="12、持有至到期投资" w:id="251"/>
      <w:bookmarkEnd w:id="251"/>
      <w:r>
        <w:rPr>
          <w:b w:val="0"/>
          <w:bCs w:val="0"/>
        </w:rPr>
      </w:r>
      <w:r>
        <w:rPr>
          <w:rFonts w:ascii="宋体" w:hAnsi="宋体" w:cs="宋体" w:eastAsia="宋体" w:hint="default"/>
        </w:rPr>
        <w:t>12</w:t>
      </w:r>
      <w:r>
        <w:rPr/>
        <w:t>、持有至到期投资</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794" w:right="1118"/>
        <w:jc w:val="left"/>
        <w:rPr>
          <w:b w:val="0"/>
          <w:bCs w:val="0"/>
        </w:rPr>
      </w:pPr>
      <w:bookmarkStart w:name="（1）持有至到期投资情况" w:id="252"/>
      <w:bookmarkEnd w:id="252"/>
      <w:r>
        <w:rPr>
          <w:b w:val="0"/>
          <w:bCs w:val="0"/>
        </w:rPr>
      </w:r>
      <w:r>
        <w:rPr/>
        <w:t>（</w:t>
      </w:r>
      <w:r>
        <w:rPr>
          <w:rFonts w:ascii="宋体" w:hAnsi="宋体" w:cs="宋体" w:eastAsia="宋体" w:hint="default"/>
        </w:rPr>
        <w:t>1</w:t>
      </w:r>
      <w:r>
        <w:rPr/>
        <w:t>）持有至到期投资情况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794" w:right="1118"/>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794" w:right="1118"/>
        <w:jc w:val="left"/>
        <w:rPr>
          <w:b w:val="0"/>
          <w:bCs w:val="0"/>
        </w:rPr>
      </w:pPr>
      <w:bookmarkStart w:name="（2）期末重要的持有至到期投资" w:id="253"/>
      <w:bookmarkEnd w:id="253"/>
      <w:r>
        <w:rPr>
          <w:b w:val="0"/>
          <w:bCs w:val="0"/>
        </w:rPr>
      </w:r>
      <w:r>
        <w:rPr/>
        <w:t>（</w:t>
      </w:r>
      <w:r>
        <w:rPr>
          <w:rFonts w:ascii="宋体" w:hAnsi="宋体" w:cs="宋体" w:eastAsia="宋体" w:hint="default"/>
        </w:rPr>
        <w:t>2</w:t>
      </w:r>
      <w:r>
        <w:rPr/>
        <w:t>）期末重要的持有至到期投资</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794" w:right="1118"/>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794" w:right="1118"/>
        <w:jc w:val="left"/>
        <w:rPr>
          <w:b w:val="0"/>
          <w:bCs w:val="0"/>
        </w:rPr>
      </w:pPr>
      <w:bookmarkStart w:name="（3）本期重分类的持有至到期投资" w:id="254"/>
      <w:bookmarkEnd w:id="254"/>
      <w:r>
        <w:rPr>
          <w:b w:val="0"/>
          <w:bCs w:val="0"/>
        </w:rPr>
      </w:r>
      <w:r>
        <w:rPr/>
        <w:t>（</w:t>
      </w:r>
      <w:r>
        <w:rPr>
          <w:rFonts w:ascii="宋体" w:hAnsi="宋体" w:cs="宋体" w:eastAsia="宋体" w:hint="default"/>
        </w:rPr>
        <w:t>3</w:t>
      </w:r>
      <w:r>
        <w:rPr/>
        <w:t>）本期重分类的持有至到期投资</w:t>
      </w:r>
      <w:r>
        <w:rPr>
          <w:b w:val="0"/>
          <w:bCs w:val="0"/>
        </w:rPr>
      </w:r>
    </w:p>
    <w:p>
      <w:pPr>
        <w:spacing w:line="240" w:lineRule="auto" w:before="10"/>
        <w:rPr>
          <w:rFonts w:ascii="宋体" w:hAnsi="宋体" w:cs="宋体" w:eastAsia="宋体" w:hint="default"/>
          <w:b/>
          <w:bCs/>
          <w:sz w:val="14"/>
          <w:szCs w:val="14"/>
        </w:rPr>
      </w:pPr>
    </w:p>
    <w:p>
      <w:pPr>
        <w:spacing w:line="408" w:lineRule="auto" w:before="0"/>
        <w:ind w:left="79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3、长期应收款" w:id="255"/>
      <w:bookmarkEnd w:id="255"/>
      <w:r>
        <w:rPr>
          <w:rFonts w:ascii="宋体" w:hAnsi="宋体" w:cs="宋体" w:eastAsia="宋体" w:hint="default"/>
          <w:sz w:val="21"/>
          <w:szCs w:val="21"/>
        </w:rPr>
      </w:r>
      <w:r>
        <w:rPr>
          <w:rFonts w:ascii="宋体" w:hAnsi="宋体" w:cs="宋体" w:eastAsia="宋体" w:hint="default"/>
          <w:b/>
          <w:bCs/>
          <w:sz w:val="21"/>
          <w:szCs w:val="21"/>
        </w:rPr>
        <w:t>13</w:t>
      </w:r>
      <w:r>
        <w:rPr>
          <w:rFonts w:ascii="宋体" w:hAnsi="宋体" w:cs="宋体" w:eastAsia="宋体" w:hint="default"/>
          <w:b/>
          <w:bCs/>
          <w:sz w:val="21"/>
          <w:szCs w:val="21"/>
        </w:rPr>
        <w:t>、长期应收款</w:t>
      </w:r>
      <w:r>
        <w:rPr>
          <w:rFonts w:ascii="宋体" w:hAnsi="宋体" w:cs="宋体" w:eastAsia="宋体" w:hint="default"/>
          <w:sz w:val="21"/>
          <w:szCs w:val="21"/>
        </w:rPr>
      </w:r>
    </w:p>
    <w:p>
      <w:pPr>
        <w:pStyle w:val="Heading4"/>
        <w:spacing w:line="240" w:lineRule="auto" w:before="46"/>
        <w:ind w:left="794" w:right="1118"/>
        <w:jc w:val="left"/>
        <w:rPr>
          <w:b w:val="0"/>
          <w:bCs w:val="0"/>
        </w:rPr>
      </w:pPr>
      <w:bookmarkStart w:name="（1）长期应收款情况" w:id="256"/>
      <w:bookmarkEnd w:id="256"/>
      <w:r>
        <w:rPr>
          <w:b w:val="0"/>
          <w:bCs w:val="0"/>
        </w:rPr>
      </w:r>
      <w:r>
        <w:rPr/>
        <w:t>（</w:t>
      </w:r>
      <w:r>
        <w:rPr>
          <w:rFonts w:ascii="宋体" w:hAnsi="宋体" w:cs="宋体" w:eastAsia="宋体" w:hint="default"/>
        </w:rPr>
        <w:t>1</w:t>
      </w:r>
      <w:r>
        <w:rPr/>
        <w:t>）长期应收款情况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794" w:right="1118"/>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794" w:right="1118"/>
        <w:jc w:val="left"/>
        <w:rPr>
          <w:b w:val="0"/>
          <w:bCs w:val="0"/>
        </w:rPr>
      </w:pPr>
      <w:bookmarkStart w:name="（2）因金融资产转移而终止确认的长期应收款" w:id="257"/>
      <w:bookmarkEnd w:id="257"/>
      <w:r>
        <w:rPr>
          <w:b w:val="0"/>
          <w:bCs w:val="0"/>
        </w:rPr>
      </w:r>
      <w:r>
        <w:rPr/>
        <w:t>（</w:t>
      </w:r>
      <w:r>
        <w:rPr>
          <w:rFonts w:ascii="宋体" w:hAnsi="宋体" w:cs="宋体" w:eastAsia="宋体"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794" w:right="1118"/>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794" w:right="1118"/>
        <w:jc w:val="left"/>
        <w:rPr>
          <w:b w:val="0"/>
          <w:bCs w:val="0"/>
        </w:rPr>
      </w:pPr>
      <w:bookmarkStart w:name="（3）转移长期应收款且继续涉入形成的资产、负债金额" w:id="258"/>
      <w:bookmarkEnd w:id="258"/>
      <w:r>
        <w:rPr>
          <w:b w:val="0"/>
          <w:bCs w:val="0"/>
        </w:rPr>
      </w:r>
      <w:r>
        <w:rPr/>
        <w:t>（</w:t>
      </w:r>
      <w:r>
        <w:rPr>
          <w:rFonts w:ascii="宋体" w:hAnsi="宋体" w:cs="宋体" w:eastAsia="宋体" w:hint="default"/>
        </w:rPr>
        <w:t>3</w:t>
      </w:r>
      <w:r>
        <w:rPr/>
        <w:t>）转移长期应收款且继续涉入形成的资产、负债金额</w:t>
      </w:r>
      <w:r>
        <w:rPr>
          <w:b w:val="0"/>
          <w:bCs w:val="0"/>
        </w:rPr>
      </w:r>
    </w:p>
    <w:p>
      <w:pPr>
        <w:spacing w:line="240" w:lineRule="auto" w:before="10"/>
        <w:rPr>
          <w:rFonts w:ascii="宋体" w:hAnsi="宋体" w:cs="宋体" w:eastAsia="宋体" w:hint="default"/>
          <w:b/>
          <w:bCs/>
          <w:sz w:val="14"/>
          <w:szCs w:val="14"/>
        </w:rPr>
      </w:pPr>
    </w:p>
    <w:p>
      <w:pPr>
        <w:spacing w:line="408" w:lineRule="auto" w:before="0"/>
        <w:ind w:left="79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4、长期股权投资" w:id="259"/>
      <w:bookmarkEnd w:id="259"/>
      <w:r>
        <w:rPr>
          <w:rFonts w:ascii="宋体" w:hAnsi="宋体" w:cs="宋体" w:eastAsia="宋体" w:hint="default"/>
          <w:sz w:val="21"/>
          <w:szCs w:val="21"/>
        </w:rPr>
      </w:r>
      <w:r>
        <w:rPr>
          <w:rFonts w:ascii="宋体" w:hAnsi="宋体" w:cs="宋体" w:eastAsia="宋体"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30"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357"/>
        <w:gridCol w:w="1363"/>
        <w:gridCol w:w="1354"/>
        <w:gridCol w:w="240"/>
        <w:gridCol w:w="1254"/>
        <w:gridCol w:w="502"/>
        <w:gridCol w:w="1277"/>
        <w:gridCol w:w="644"/>
        <w:gridCol w:w="458"/>
        <w:gridCol w:w="566"/>
        <w:gridCol w:w="1364"/>
        <w:gridCol w:w="611"/>
      </w:tblGrid>
      <w:tr>
        <w:trPr>
          <w:trHeight w:val="415" w:hRule="exact"/>
        </w:trPr>
        <w:tc>
          <w:tcPr>
            <w:tcW w:w="1357"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63"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95" w:type="dxa"/>
            <w:gridSpan w:val="8"/>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64"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11"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9" w:lineRule="auto"/>
              <w:ind w:left="27" w:right="18"/>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43" w:hRule="exact"/>
        </w:trPr>
        <w:tc>
          <w:tcPr>
            <w:tcW w:w="1357" w:type="dxa"/>
            <w:vMerge/>
            <w:tcBorders>
              <w:left w:val="single" w:sz="12" w:space="0" w:color="000000"/>
              <w:bottom w:val="single" w:sz="6" w:space="0" w:color="000000"/>
              <w:right w:val="single" w:sz="6" w:space="0" w:color="000000"/>
            </w:tcBorders>
            <w:shd w:val="clear" w:color="auto" w:fill="D2D2D2"/>
          </w:tcPr>
          <w:p>
            <w:pPr/>
          </w:p>
        </w:tc>
        <w:tc>
          <w:tcPr>
            <w:tcW w:w="1363" w:type="dxa"/>
            <w:vMerge/>
            <w:tcBorders>
              <w:left w:val="single" w:sz="6" w:space="0" w:color="000000"/>
              <w:bottom w:val="single" w:sz="6" w:space="0" w:color="000000"/>
              <w:right w:val="single" w:sz="6" w:space="0" w:color="000000"/>
            </w:tcBorders>
            <w:shd w:val="clear" w:color="auto" w:fill="D2D2D2"/>
          </w:tcPr>
          <w:p>
            <w:pPr/>
          </w:p>
        </w:tc>
        <w:tc>
          <w:tcPr>
            <w:tcW w:w="13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2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1" w:right="23"/>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9" w:right="78" w:hanging="91"/>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3" w:right="61"/>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其他权益变动</w:t>
            </w:r>
          </w:p>
        </w:tc>
        <w:tc>
          <w:tcPr>
            <w:tcW w:w="6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4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 w:right="41"/>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tcBorders>
              <w:left w:val="single" w:sz="6" w:space="0" w:color="000000"/>
              <w:bottom w:val="single" w:sz="6" w:space="0" w:color="000000"/>
              <w:right w:val="single" w:sz="6" w:space="0" w:color="000000"/>
            </w:tcBorders>
            <w:shd w:val="clear" w:color="auto" w:fill="D2D2D2"/>
          </w:tcPr>
          <w:p>
            <w:pPr/>
          </w:p>
        </w:tc>
        <w:tc>
          <w:tcPr>
            <w:tcW w:w="611"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0990"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7" w:hRule="exact"/>
        </w:trPr>
        <w:tc>
          <w:tcPr>
            <w:tcW w:w="10990"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9" w:hRule="exact"/>
        </w:trPr>
        <w:tc>
          <w:tcPr>
            <w:tcW w:w="135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59"/>
              <w:jc w:val="left"/>
              <w:rPr>
                <w:rFonts w:ascii="宋体" w:hAnsi="宋体" w:cs="宋体" w:eastAsia="宋体" w:hint="default"/>
                <w:sz w:val="18"/>
                <w:szCs w:val="18"/>
              </w:rPr>
            </w:pPr>
            <w:r>
              <w:rPr>
                <w:rFonts w:ascii="宋体" w:hAnsi="宋体" w:cs="宋体" w:eastAsia="宋体" w:hint="default"/>
                <w:sz w:val="18"/>
                <w:szCs w:val="18"/>
              </w:rPr>
              <w:t>北京海誉动想科 技股份有限公司</w:t>
            </w:r>
          </w:p>
        </w:tc>
        <w:tc>
          <w:tcPr>
            <w:tcW w:w="136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center"/>
              <w:rPr>
                <w:rFonts w:ascii="宋体" w:hAnsi="宋体" w:cs="宋体" w:eastAsia="宋体" w:hint="default"/>
                <w:sz w:val="18"/>
                <w:szCs w:val="18"/>
              </w:rPr>
            </w:pPr>
            <w:r>
              <w:rPr>
                <w:rFonts w:ascii="宋体"/>
                <w:sz w:val="18"/>
              </w:rPr>
              <w:t>200,000,000.00</w:t>
            </w:r>
          </w:p>
        </w:tc>
        <w:tc>
          <w:tcPr>
            <w:tcW w:w="240"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11,065,657.67</w:t>
            </w:r>
          </w:p>
        </w:tc>
        <w:tc>
          <w:tcPr>
            <w:tcW w:w="50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211,065,657.67</w:t>
            </w:r>
          </w:p>
        </w:tc>
        <w:tc>
          <w:tcPr>
            <w:tcW w:w="611"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35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59"/>
              <w:jc w:val="left"/>
              <w:rPr>
                <w:rFonts w:ascii="宋体" w:hAnsi="宋体" w:cs="宋体" w:eastAsia="宋体" w:hint="default"/>
                <w:sz w:val="18"/>
                <w:szCs w:val="18"/>
              </w:rPr>
            </w:pPr>
            <w:r>
              <w:rPr>
                <w:rFonts w:ascii="宋体" w:hAnsi="宋体" w:cs="宋体" w:eastAsia="宋体" w:hint="default"/>
                <w:sz w:val="18"/>
                <w:szCs w:val="18"/>
              </w:rPr>
              <w:t>中云文化大数据 科技有限公司</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80,646,971.61</w:t>
            </w:r>
          </w:p>
        </w:tc>
        <w:tc>
          <w:tcPr>
            <w:tcW w:w="135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25,155.57</w:t>
            </w:r>
          </w:p>
        </w:tc>
        <w:tc>
          <w:tcPr>
            <w:tcW w:w="50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-1,007,905.13</w:t>
            </w:r>
          </w:p>
        </w:tc>
        <w:tc>
          <w:tcPr>
            <w:tcW w:w="644"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79,664,222.05</w:t>
            </w:r>
          </w:p>
        </w:tc>
        <w:tc>
          <w:tcPr>
            <w:tcW w:w="611"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35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59"/>
              <w:jc w:val="left"/>
              <w:rPr>
                <w:rFonts w:ascii="宋体" w:hAnsi="宋体" w:cs="宋体" w:eastAsia="宋体" w:hint="default"/>
                <w:sz w:val="18"/>
                <w:szCs w:val="18"/>
              </w:rPr>
            </w:pPr>
            <w:r>
              <w:rPr>
                <w:rFonts w:ascii="宋体" w:hAnsi="宋体" w:cs="宋体" w:eastAsia="宋体" w:hint="default"/>
                <w:sz w:val="18"/>
                <w:szCs w:val="18"/>
              </w:rPr>
              <w:t>北京中广格兰信 息科技有限公司</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11,397,816.32</w:t>
            </w:r>
          </w:p>
        </w:tc>
        <w:tc>
          <w:tcPr>
            <w:tcW w:w="135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-321,969.14</w:t>
            </w:r>
          </w:p>
        </w:tc>
        <w:tc>
          <w:tcPr>
            <w:tcW w:w="50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11,075,847.18</w:t>
            </w:r>
          </w:p>
        </w:tc>
        <w:tc>
          <w:tcPr>
            <w:tcW w:w="611"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135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59"/>
              <w:jc w:val="both"/>
              <w:rPr>
                <w:rFonts w:ascii="宋体" w:hAnsi="宋体" w:cs="宋体" w:eastAsia="宋体" w:hint="default"/>
                <w:sz w:val="18"/>
                <w:szCs w:val="18"/>
              </w:rPr>
            </w:pPr>
            <w:r>
              <w:rPr>
                <w:rFonts w:ascii="宋体" w:hAnsi="宋体" w:cs="宋体" w:eastAsia="宋体" w:hint="default"/>
                <w:sz w:val="18"/>
                <w:szCs w:val="18"/>
              </w:rPr>
              <w:t>广东今程光一电 力科技有限责任 公司</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3,030,221.39</w:t>
            </w:r>
          </w:p>
        </w:tc>
        <w:tc>
          <w:tcPr>
            <w:tcW w:w="135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89,834.17</w:t>
            </w:r>
          </w:p>
        </w:tc>
        <w:tc>
          <w:tcPr>
            <w:tcW w:w="50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3,120,055.56</w:t>
            </w:r>
          </w:p>
        </w:tc>
        <w:tc>
          <w:tcPr>
            <w:tcW w:w="611"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1357"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51"/>
              <w:ind w:left="13" w:right="59"/>
              <w:jc w:val="left"/>
              <w:rPr>
                <w:rFonts w:ascii="宋体" w:hAnsi="宋体" w:cs="宋体" w:eastAsia="宋体" w:hint="default"/>
                <w:sz w:val="18"/>
                <w:szCs w:val="18"/>
              </w:rPr>
            </w:pPr>
            <w:r>
              <w:rPr>
                <w:rFonts w:ascii="宋体" w:hAnsi="宋体" w:cs="宋体" w:eastAsia="宋体" w:hint="default"/>
                <w:sz w:val="18"/>
                <w:szCs w:val="18"/>
              </w:rPr>
              <w:t>江苏其厚智能电 气设备有限公司</w:t>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33,163,184.31</w:t>
            </w:r>
          </w:p>
        </w:tc>
        <w:tc>
          <w:tcPr>
            <w:tcW w:w="1354" w:type="dxa"/>
            <w:tcBorders>
              <w:top w:val="single" w:sz="6" w:space="0" w:color="000000"/>
              <w:left w:val="single" w:sz="6" w:space="0" w:color="000000"/>
              <w:bottom w:val="single" w:sz="12" w:space="0" w:color="000000"/>
              <w:right w:val="single" w:sz="6" w:space="0" w:color="000000"/>
            </w:tcBorders>
          </w:tcPr>
          <w:p>
            <w:pPr/>
          </w:p>
        </w:tc>
        <w:tc>
          <w:tcPr>
            <w:tcW w:w="240" w:type="dxa"/>
            <w:tcBorders>
              <w:top w:val="single" w:sz="6" w:space="0" w:color="000000"/>
              <w:left w:val="single" w:sz="6" w:space="0" w:color="000000"/>
              <w:bottom w:val="single" w:sz="12" w:space="0" w:color="000000"/>
              <w:right w:val="single" w:sz="6" w:space="0" w:color="000000"/>
            </w:tcBorders>
          </w:tcPr>
          <w:p>
            <w:pPr/>
          </w:p>
        </w:tc>
        <w:tc>
          <w:tcPr>
            <w:tcW w:w="12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5,059,277.92</w:t>
            </w:r>
          </w:p>
        </w:tc>
        <w:tc>
          <w:tcPr>
            <w:tcW w:w="502"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644" w:type="dxa"/>
            <w:tcBorders>
              <w:top w:val="single" w:sz="6" w:space="0" w:color="000000"/>
              <w:left w:val="single" w:sz="6" w:space="0" w:color="000000"/>
              <w:bottom w:val="single" w:sz="12" w:space="0" w:color="000000"/>
              <w:right w:val="single" w:sz="6" w:space="0" w:color="000000"/>
            </w:tcBorders>
          </w:tcPr>
          <w:p>
            <w:pPr/>
          </w:p>
        </w:tc>
        <w:tc>
          <w:tcPr>
            <w:tcW w:w="458"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3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38,222,462.23</w:t>
            </w:r>
          </w:p>
        </w:tc>
        <w:tc>
          <w:tcPr>
            <w:tcW w:w="61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0" w:top="1100" w:bottom="1180" w:left="340" w:right="0"/>
        </w:sectPr>
      </w:pPr>
    </w:p>
    <w:p>
      <w:pPr>
        <w:spacing w:line="240" w:lineRule="auto" w:before="6"/>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357"/>
        <w:gridCol w:w="1363"/>
        <w:gridCol w:w="1354"/>
        <w:gridCol w:w="240"/>
        <w:gridCol w:w="1254"/>
        <w:gridCol w:w="502"/>
        <w:gridCol w:w="1277"/>
        <w:gridCol w:w="644"/>
        <w:gridCol w:w="458"/>
        <w:gridCol w:w="566"/>
        <w:gridCol w:w="1364"/>
        <w:gridCol w:w="611"/>
      </w:tblGrid>
      <w:tr>
        <w:trPr>
          <w:trHeight w:val="727" w:hRule="exact"/>
        </w:trPr>
        <w:tc>
          <w:tcPr>
            <w:tcW w:w="1357"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51"/>
              <w:ind w:left="13" w:right="59"/>
              <w:jc w:val="left"/>
              <w:rPr>
                <w:rFonts w:ascii="宋体" w:hAnsi="宋体" w:cs="宋体" w:eastAsia="宋体" w:hint="default"/>
                <w:sz w:val="18"/>
                <w:szCs w:val="18"/>
              </w:rPr>
            </w:pPr>
            <w:r>
              <w:rPr>
                <w:rFonts w:ascii="宋体" w:hAnsi="宋体" w:cs="宋体" w:eastAsia="宋体" w:hint="default"/>
                <w:sz w:val="18"/>
                <w:szCs w:val="18"/>
              </w:rPr>
              <w:t>北京大数有容科 技有限公司</w:t>
            </w:r>
          </w:p>
        </w:tc>
        <w:tc>
          <w:tcPr>
            <w:tcW w:w="13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4,870,332.06</w:t>
            </w:r>
          </w:p>
        </w:tc>
        <w:tc>
          <w:tcPr>
            <w:tcW w:w="13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300,000.00</w:t>
            </w:r>
          </w:p>
        </w:tc>
        <w:tc>
          <w:tcPr>
            <w:tcW w:w="240" w:type="dxa"/>
            <w:tcBorders>
              <w:top w:val="single" w:sz="12" w:space="0" w:color="000000"/>
              <w:left w:val="single" w:sz="6" w:space="0" w:color="000000"/>
              <w:bottom w:val="single" w:sz="6" w:space="0" w:color="000000"/>
              <w:right w:val="single" w:sz="6" w:space="0" w:color="000000"/>
            </w:tcBorders>
          </w:tcPr>
          <w:p>
            <w:pPr/>
          </w:p>
        </w:tc>
        <w:tc>
          <w:tcPr>
            <w:tcW w:w="12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-811,746.40</w:t>
            </w:r>
          </w:p>
        </w:tc>
        <w:tc>
          <w:tcPr>
            <w:tcW w:w="502"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644" w:type="dxa"/>
            <w:tcBorders>
              <w:top w:val="single" w:sz="12" w:space="0" w:color="000000"/>
              <w:left w:val="single" w:sz="6" w:space="0" w:color="000000"/>
              <w:bottom w:val="single" w:sz="6" w:space="0" w:color="000000"/>
              <w:right w:val="single" w:sz="6" w:space="0" w:color="000000"/>
            </w:tcBorders>
          </w:tcPr>
          <w:p>
            <w:pPr/>
          </w:p>
        </w:tc>
        <w:tc>
          <w:tcPr>
            <w:tcW w:w="458"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13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4,358,585.66</w:t>
            </w:r>
          </w:p>
        </w:tc>
        <w:tc>
          <w:tcPr>
            <w:tcW w:w="611" w:type="dxa"/>
            <w:tcBorders>
              <w:top w:val="single" w:sz="12" w:space="0" w:color="000000"/>
              <w:left w:val="single" w:sz="6" w:space="0" w:color="000000"/>
              <w:bottom w:val="single" w:sz="6" w:space="0" w:color="000000"/>
              <w:right w:val="single" w:sz="12" w:space="0" w:color="000000"/>
            </w:tcBorders>
          </w:tcPr>
          <w:p>
            <w:pPr/>
          </w:p>
        </w:tc>
      </w:tr>
      <w:tr>
        <w:trPr>
          <w:trHeight w:val="719" w:hRule="exact"/>
        </w:trPr>
        <w:tc>
          <w:tcPr>
            <w:tcW w:w="135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59"/>
              <w:jc w:val="left"/>
              <w:rPr>
                <w:rFonts w:ascii="宋体" w:hAnsi="宋体" w:cs="宋体" w:eastAsia="宋体" w:hint="default"/>
                <w:sz w:val="18"/>
                <w:szCs w:val="18"/>
              </w:rPr>
            </w:pPr>
            <w:r>
              <w:rPr>
                <w:rFonts w:ascii="宋体" w:hAnsi="宋体" w:cs="宋体" w:eastAsia="宋体" w:hint="default"/>
                <w:sz w:val="18"/>
                <w:szCs w:val="18"/>
              </w:rPr>
              <w:t>湖北瀚瑞铜业有 限公司</w:t>
            </w:r>
          </w:p>
        </w:tc>
        <w:tc>
          <w:tcPr>
            <w:tcW w:w="1363"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10,000,000.00</w:t>
            </w:r>
          </w:p>
        </w:tc>
        <w:tc>
          <w:tcPr>
            <w:tcW w:w="240"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-330,237.09</w:t>
            </w:r>
          </w:p>
        </w:tc>
        <w:tc>
          <w:tcPr>
            <w:tcW w:w="50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9,669,762.91</w:t>
            </w:r>
          </w:p>
        </w:tc>
        <w:tc>
          <w:tcPr>
            <w:tcW w:w="61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133,108,525.69</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210,300,000.00</w:t>
            </w:r>
          </w:p>
        </w:tc>
        <w:tc>
          <w:tcPr>
            <w:tcW w:w="240"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14,775,972.70</w:t>
            </w:r>
          </w:p>
        </w:tc>
        <w:tc>
          <w:tcPr>
            <w:tcW w:w="50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-1,007,905.13</w:t>
            </w:r>
          </w:p>
        </w:tc>
        <w:tc>
          <w:tcPr>
            <w:tcW w:w="644"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357,176,593.26</w:t>
            </w:r>
          </w:p>
        </w:tc>
        <w:tc>
          <w:tcPr>
            <w:tcW w:w="611"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35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133,108,525.69</w:t>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210,300,000.00</w:t>
            </w:r>
          </w:p>
        </w:tc>
        <w:tc>
          <w:tcPr>
            <w:tcW w:w="240" w:type="dxa"/>
            <w:tcBorders>
              <w:top w:val="single" w:sz="6" w:space="0" w:color="000000"/>
              <w:left w:val="single" w:sz="6" w:space="0" w:color="000000"/>
              <w:bottom w:val="single" w:sz="12" w:space="0" w:color="000000"/>
              <w:right w:val="single" w:sz="6" w:space="0" w:color="000000"/>
            </w:tcBorders>
          </w:tcPr>
          <w:p>
            <w:pPr/>
          </w:p>
        </w:tc>
        <w:tc>
          <w:tcPr>
            <w:tcW w:w="12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14,775,972.70</w:t>
            </w:r>
          </w:p>
        </w:tc>
        <w:tc>
          <w:tcPr>
            <w:tcW w:w="502"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-1,007,905.13</w:t>
            </w:r>
          </w:p>
        </w:tc>
        <w:tc>
          <w:tcPr>
            <w:tcW w:w="644" w:type="dxa"/>
            <w:tcBorders>
              <w:top w:val="single" w:sz="6" w:space="0" w:color="000000"/>
              <w:left w:val="single" w:sz="6" w:space="0" w:color="000000"/>
              <w:bottom w:val="single" w:sz="12" w:space="0" w:color="000000"/>
              <w:right w:val="single" w:sz="6" w:space="0" w:color="000000"/>
            </w:tcBorders>
          </w:tcPr>
          <w:p>
            <w:pPr/>
          </w:p>
        </w:tc>
        <w:tc>
          <w:tcPr>
            <w:tcW w:w="458"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3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357,176,593.26</w:t>
            </w:r>
          </w:p>
        </w:tc>
        <w:tc>
          <w:tcPr>
            <w:tcW w:w="611"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408" w:lineRule="auto" w:before="63"/>
        <w:ind w:left="794" w:right="1118"/>
        <w:jc w:val="left"/>
      </w:pPr>
      <w:r>
        <w:rPr/>
        <w:t>其他说明：长期股权投资期末余额期末较期初增加了</w:t>
      </w:r>
      <w:r>
        <w:rPr>
          <w:spacing w:val="-57"/>
        </w:rPr>
        <w:t> </w:t>
      </w:r>
      <w:r>
        <w:rPr>
          <w:rFonts w:ascii="宋体" w:hAnsi="宋体" w:cs="宋体" w:eastAsia="宋体" w:hint="default"/>
        </w:rPr>
        <w:t>224,068,067.57</w:t>
      </w:r>
      <w:r>
        <w:rPr>
          <w:rFonts w:ascii="宋体" w:hAnsi="宋体" w:cs="宋体" w:eastAsia="宋体" w:hint="default"/>
          <w:spacing w:val="-58"/>
        </w:rPr>
        <w:t> </w:t>
      </w:r>
      <w:r>
        <w:rPr>
          <w:spacing w:val="-4"/>
        </w:rPr>
        <w:t>元，增加比例为</w:t>
      </w:r>
      <w:r>
        <w:rPr>
          <w:spacing w:val="-57"/>
        </w:rPr>
        <w:t> </w:t>
      </w:r>
      <w:r>
        <w:rPr>
          <w:rFonts w:ascii="宋体" w:hAnsi="宋体" w:cs="宋体" w:eastAsia="宋体" w:hint="default"/>
          <w:spacing w:val="-3"/>
        </w:rPr>
        <w:t>168.33%</w:t>
      </w:r>
      <w:r>
        <w:rPr>
          <w:spacing w:val="-3"/>
        </w:rPr>
        <w:t>，主要原因</w:t>
      </w:r>
      <w:r>
        <w:rPr/>
        <w:t> 为报告期内投资了北京海誉动想科技股份有限公司。</w:t>
      </w:r>
    </w:p>
    <w:p>
      <w:pPr>
        <w:pStyle w:val="Heading4"/>
        <w:spacing w:line="240" w:lineRule="auto" w:before="46"/>
        <w:ind w:left="794" w:right="1118"/>
        <w:jc w:val="left"/>
        <w:rPr>
          <w:b w:val="0"/>
          <w:bCs w:val="0"/>
        </w:rPr>
      </w:pPr>
      <w:bookmarkStart w:name="15、投资性房地产" w:id="260"/>
      <w:bookmarkEnd w:id="260"/>
      <w:r>
        <w:rPr>
          <w:b w:val="0"/>
          <w:bCs w:val="0"/>
        </w:rPr>
      </w:r>
      <w:r>
        <w:rPr>
          <w:rFonts w:ascii="宋体" w:hAnsi="宋体" w:cs="宋体" w:eastAsia="宋体" w:hint="default"/>
        </w:rPr>
        <w:t>15</w:t>
      </w:r>
      <w:r>
        <w:rPr/>
        <w:t>、投资性房地产</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794" w:right="1118"/>
        <w:jc w:val="left"/>
        <w:rPr>
          <w:b w:val="0"/>
          <w:bCs w:val="0"/>
        </w:rPr>
      </w:pPr>
      <w:bookmarkStart w:name="（1）采用成本计量模式的投资性房地产" w:id="261"/>
      <w:bookmarkEnd w:id="261"/>
      <w:r>
        <w:rPr>
          <w:b w:val="0"/>
          <w:bCs w:val="0"/>
        </w:rPr>
      </w:r>
      <w:r>
        <w:rPr/>
        <w:t>（</w:t>
      </w:r>
      <w:r>
        <w:rPr>
          <w:rFonts w:ascii="宋体" w:hAnsi="宋体" w:cs="宋体" w:eastAsia="宋体" w:hint="default"/>
        </w:rPr>
        <w:t>1</w:t>
      </w:r>
      <w:r>
        <w:rPr/>
        <w:t>）采用成本计量模式的投资性房地产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794" w:right="1118"/>
        <w:jc w:val="left"/>
      </w:pPr>
      <w:r>
        <w:rPr/>
        <w:t>√ 适用 □</w:t>
      </w:r>
      <w:r>
        <w:rPr>
          <w:spacing w:val="-1"/>
        </w:rPr>
        <w:t> </w:t>
      </w:r>
      <w:r>
        <w:rPr/>
        <w:t>不适用</w:t>
      </w:r>
    </w:p>
    <w:p>
      <w:pPr>
        <w:spacing w:line="240" w:lineRule="auto" w:before="11"/>
        <w:rPr>
          <w:rFonts w:ascii="宋体" w:hAnsi="宋体" w:cs="宋体" w:eastAsia="宋体" w:hint="default"/>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785" w:type="dxa"/>
        <w:tblLayout w:type="fixed"/>
        <w:tblCellMar>
          <w:top w:w="0" w:type="dxa"/>
          <w:left w:w="0" w:type="dxa"/>
          <w:bottom w:w="0" w:type="dxa"/>
          <w:right w:w="0" w:type="dxa"/>
        </w:tblCellMar>
        <w:tblLook w:val="01E0"/>
      </w:tblPr>
      <w:tblGrid>
        <w:gridCol w:w="2252"/>
        <w:gridCol w:w="1836"/>
        <w:gridCol w:w="1826"/>
        <w:gridCol w:w="1824"/>
        <w:gridCol w:w="1826"/>
      </w:tblGrid>
      <w:tr>
        <w:trPr>
          <w:trHeight w:val="413" w:hRule="exact"/>
        </w:trPr>
        <w:tc>
          <w:tcPr>
            <w:tcW w:w="225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8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2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8"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36" w:type="dxa"/>
            <w:tcBorders>
              <w:top w:val="single" w:sz="6" w:space="0" w:color="000000"/>
              <w:left w:val="single" w:sz="14" w:space="0" w:color="D2D2D2"/>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7,048,300.99</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7,048,300.99</w:t>
            </w: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20,653,115.56</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20,653,115.56</w:t>
            </w: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836" w:type="dxa"/>
            <w:tcBorders>
              <w:top w:val="single" w:sz="6" w:space="0" w:color="000000"/>
              <w:left w:val="single" w:sz="14" w:space="0" w:color="D2D2D2"/>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9" w:firstLine="34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）存货</w:t>
            </w:r>
            <w:r>
              <w:rPr>
                <w:rFonts w:ascii="宋体" w:hAnsi="宋体" w:cs="宋体" w:eastAsia="宋体" w:hint="default"/>
                <w:spacing w:val="-2"/>
                <w:sz w:val="18"/>
                <w:szCs w:val="18"/>
              </w:rPr>
              <w:t>\</w:t>
            </w:r>
            <w:r>
              <w:rPr>
                <w:rFonts w:ascii="宋体" w:hAnsi="宋体" w:cs="宋体" w:eastAsia="宋体" w:hint="default"/>
                <w:spacing w:val="-2"/>
                <w:sz w:val="18"/>
                <w:szCs w:val="18"/>
              </w:rPr>
              <w:t>固定资产</w:t>
            </w:r>
            <w:r>
              <w:rPr>
                <w:rFonts w:ascii="宋体" w:hAnsi="宋体" w:cs="宋体" w:eastAsia="宋体" w:hint="default"/>
                <w:spacing w:val="-2"/>
                <w:sz w:val="18"/>
                <w:szCs w:val="18"/>
              </w:rPr>
              <w:t>\</w:t>
            </w:r>
            <w:r>
              <w:rPr>
                <w:rFonts w:ascii="宋体" w:hAnsi="宋体" w:cs="宋体" w:eastAsia="宋体" w:hint="default"/>
                <w:spacing w:val="-2"/>
                <w:sz w:val="18"/>
                <w:szCs w:val="18"/>
              </w:rPr>
              <w:t>在</w:t>
            </w:r>
            <w:r>
              <w:rPr>
                <w:rFonts w:ascii="宋体" w:hAnsi="宋体" w:cs="宋体" w:eastAsia="宋体" w:hint="default"/>
                <w:sz w:val="18"/>
                <w:szCs w:val="18"/>
              </w:rPr>
              <w:t> 建工程转入</w:t>
            </w:r>
          </w:p>
        </w:tc>
        <w:tc>
          <w:tcPr>
            <w:tcW w:w="18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20,653,115.56</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20,653,115.56</w:t>
            </w: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836" w:type="dxa"/>
            <w:tcBorders>
              <w:top w:val="single" w:sz="6" w:space="0" w:color="000000"/>
              <w:left w:val="single" w:sz="14" w:space="0" w:color="D2D2D2"/>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36" w:type="dxa"/>
            <w:tcBorders>
              <w:top w:val="single" w:sz="6" w:space="0" w:color="000000"/>
              <w:left w:val="single" w:sz="14" w:space="0" w:color="D2D2D2"/>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836" w:type="dxa"/>
            <w:tcBorders>
              <w:top w:val="single" w:sz="6" w:space="0" w:color="000000"/>
              <w:left w:val="single" w:sz="14" w:space="0" w:color="D2D2D2"/>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836" w:type="dxa"/>
            <w:tcBorders>
              <w:top w:val="single" w:sz="6" w:space="0" w:color="000000"/>
              <w:left w:val="single" w:sz="14" w:space="0" w:color="D2D2D2"/>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27,701,416.55</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27,701,416.55</w:t>
            </w: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36" w:type="dxa"/>
            <w:tcBorders>
              <w:top w:val="single" w:sz="6" w:space="0" w:color="000000"/>
              <w:left w:val="single" w:sz="14" w:space="0" w:color="D2D2D2"/>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2,452,998.69</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2,452,998.69</w:t>
            </w:r>
          </w:p>
        </w:tc>
      </w:tr>
      <w:tr>
        <w:trPr>
          <w:trHeight w:val="408"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2,406,994.01</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2,406,994.01</w:t>
            </w: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486,848.71</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486,848.71</w:t>
            </w: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7D7D7"/>
          </w:tcPr>
          <w:p>
            <w:pPr>
              <w:pStyle w:val="TableParagraph"/>
              <w:spacing w:line="240" w:lineRule="auto" w:before="51"/>
              <w:ind w:left="13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1,920,145.30</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1,920,145.30</w:t>
            </w: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4,859,992.70</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4,859,992.70</w:t>
            </w:r>
          </w:p>
        </w:tc>
      </w:tr>
      <w:tr>
        <w:trPr>
          <w:trHeight w:val="415" w:hRule="exact"/>
        </w:trPr>
        <w:tc>
          <w:tcPr>
            <w:tcW w:w="22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36" w:type="dxa"/>
            <w:tcBorders>
              <w:top w:val="single" w:sz="6" w:space="0" w:color="000000"/>
              <w:left w:val="single" w:sz="6" w:space="0" w:color="000000"/>
              <w:bottom w:val="single" w:sz="12" w:space="0" w:color="000000"/>
              <w:right w:val="single" w:sz="6" w:space="0" w:color="000000"/>
            </w:tcBorders>
          </w:tcPr>
          <w:p>
            <w:pPr/>
          </w:p>
        </w:tc>
        <w:tc>
          <w:tcPr>
            <w:tcW w:w="1826" w:type="dxa"/>
            <w:tcBorders>
              <w:top w:val="single" w:sz="6" w:space="0" w:color="000000"/>
              <w:left w:val="single" w:sz="6" w:space="0" w:color="000000"/>
              <w:bottom w:val="single" w:sz="12" w:space="0" w:color="000000"/>
              <w:right w:val="single" w:sz="6" w:space="0" w:color="000000"/>
            </w:tcBorders>
          </w:tcPr>
          <w:p>
            <w:pPr/>
          </w:p>
        </w:tc>
        <w:tc>
          <w:tcPr>
            <w:tcW w:w="1824" w:type="dxa"/>
            <w:tcBorders>
              <w:top w:val="single" w:sz="6" w:space="0" w:color="000000"/>
              <w:left w:val="single" w:sz="6" w:space="0" w:color="000000"/>
              <w:bottom w:val="single" w:sz="12" w:space="0" w:color="000000"/>
              <w:right w:val="single" w:sz="6" w:space="0" w:color="000000"/>
            </w:tcBorders>
          </w:tcPr>
          <w:p>
            <w:pPr/>
          </w:p>
        </w:tc>
        <w:tc>
          <w:tcPr>
            <w:tcW w:w="182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0" w:top="1100" w:bottom="1180" w:left="340" w:right="0"/>
        </w:sectPr>
      </w:pPr>
    </w:p>
    <w:p>
      <w:pPr>
        <w:spacing w:line="240" w:lineRule="auto" w:before="6"/>
        <w:rPr>
          <w:rFonts w:ascii="宋体" w:hAnsi="宋体" w:cs="宋体" w:eastAsia="宋体" w:hint="default"/>
          <w:sz w:val="24"/>
          <w:szCs w:val="24"/>
        </w:rPr>
      </w:pPr>
    </w:p>
    <w:tbl>
      <w:tblPr>
        <w:tblW w:w="0" w:type="auto"/>
        <w:jc w:val="left"/>
        <w:tblInd w:w="378" w:type="dxa"/>
        <w:tblLayout w:type="fixed"/>
        <w:tblCellMar>
          <w:top w:w="0" w:type="dxa"/>
          <w:left w:w="0" w:type="dxa"/>
          <w:bottom w:w="0" w:type="dxa"/>
          <w:right w:w="0" w:type="dxa"/>
        </w:tblCellMar>
        <w:tblLook w:val="01E0"/>
      </w:tblPr>
      <w:tblGrid>
        <w:gridCol w:w="2269"/>
        <w:gridCol w:w="1826"/>
        <w:gridCol w:w="1826"/>
        <w:gridCol w:w="1824"/>
        <w:gridCol w:w="1826"/>
      </w:tblGrid>
      <w:tr>
        <w:trPr>
          <w:trHeight w:val="415" w:hRule="exact"/>
        </w:trPr>
        <w:tc>
          <w:tcPr>
            <w:tcW w:w="22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26" w:type="dxa"/>
            <w:tcBorders>
              <w:top w:val="single" w:sz="12" w:space="0" w:color="000000"/>
              <w:left w:val="single" w:sz="6" w:space="0" w:color="000000"/>
              <w:bottom w:val="single" w:sz="6" w:space="0" w:color="000000"/>
              <w:right w:val="single" w:sz="6" w:space="0" w:color="000000"/>
            </w:tcBorders>
          </w:tcPr>
          <w:p>
            <w:pPr/>
          </w:p>
        </w:tc>
        <w:tc>
          <w:tcPr>
            <w:tcW w:w="1826" w:type="dxa"/>
            <w:tcBorders>
              <w:top w:val="single" w:sz="12" w:space="0" w:color="000000"/>
              <w:left w:val="single" w:sz="6" w:space="0" w:color="000000"/>
              <w:bottom w:val="single" w:sz="6" w:space="0" w:color="000000"/>
              <w:right w:val="single" w:sz="6" w:space="0" w:color="000000"/>
            </w:tcBorders>
          </w:tcPr>
          <w:p>
            <w:pPr/>
          </w:p>
        </w:tc>
        <w:tc>
          <w:tcPr>
            <w:tcW w:w="1824" w:type="dxa"/>
            <w:tcBorders>
              <w:top w:val="single" w:sz="12" w:space="0" w:color="000000"/>
              <w:left w:val="single" w:sz="6" w:space="0" w:color="000000"/>
              <w:bottom w:val="single" w:sz="6" w:space="0" w:color="000000"/>
              <w:right w:val="single" w:sz="6" w:space="0" w:color="000000"/>
            </w:tcBorders>
          </w:tcPr>
          <w:p>
            <w:pPr/>
          </w:p>
        </w:tc>
        <w:tc>
          <w:tcPr>
            <w:tcW w:w="1826"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2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22,841,423.85</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22,841,423.85</w:t>
            </w:r>
          </w:p>
        </w:tc>
      </w:tr>
      <w:tr>
        <w:trPr>
          <w:trHeight w:val="415" w:hRule="exact"/>
        </w:trPr>
        <w:tc>
          <w:tcPr>
            <w:tcW w:w="22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4,595,302.30</w:t>
            </w:r>
          </w:p>
        </w:tc>
        <w:tc>
          <w:tcPr>
            <w:tcW w:w="1826" w:type="dxa"/>
            <w:tcBorders>
              <w:top w:val="single" w:sz="6" w:space="0" w:color="000000"/>
              <w:left w:val="single" w:sz="6" w:space="0" w:color="000000"/>
              <w:bottom w:val="single" w:sz="12" w:space="0" w:color="000000"/>
              <w:right w:val="single" w:sz="6" w:space="0" w:color="000000"/>
            </w:tcBorders>
          </w:tcPr>
          <w:p>
            <w:pPr/>
          </w:p>
        </w:tc>
        <w:tc>
          <w:tcPr>
            <w:tcW w:w="1824" w:type="dxa"/>
            <w:tcBorders>
              <w:top w:val="single" w:sz="6" w:space="0" w:color="000000"/>
              <w:left w:val="single" w:sz="6" w:space="0" w:color="000000"/>
              <w:bottom w:val="single" w:sz="12" w:space="0" w:color="000000"/>
              <w:right w:val="single" w:sz="6" w:space="0" w:color="000000"/>
            </w:tcBorders>
          </w:tcPr>
          <w:p>
            <w:pPr/>
          </w:p>
        </w:tc>
        <w:tc>
          <w:tcPr>
            <w:tcW w:w="18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4,595,302.30</w:t>
            </w:r>
          </w:p>
        </w:tc>
      </w:tr>
    </w:tbl>
    <w:p>
      <w:pPr>
        <w:pStyle w:val="Heading4"/>
        <w:spacing w:line="240" w:lineRule="auto" w:before="63"/>
        <w:ind w:left="394" w:right="0"/>
        <w:jc w:val="left"/>
        <w:rPr>
          <w:b w:val="0"/>
          <w:bCs w:val="0"/>
        </w:rPr>
      </w:pPr>
      <w:bookmarkStart w:name="（2）采用公允价值计量模式的投资性房地产" w:id="262"/>
      <w:bookmarkEnd w:id="262"/>
      <w:r>
        <w:rPr>
          <w:b w:val="0"/>
          <w:bCs w:val="0"/>
        </w:rPr>
      </w:r>
      <w:r>
        <w:rPr/>
        <w:t>（</w:t>
      </w:r>
      <w:r>
        <w:rPr>
          <w:rFonts w:ascii="宋体" w:hAnsi="宋体" w:cs="宋体" w:eastAsia="宋体" w:hint="default"/>
        </w:rPr>
        <w:t>2</w:t>
      </w:r>
      <w:r>
        <w:rPr/>
        <w:t>）采用公允价值计量模式的投资性房地产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39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394" w:right="0"/>
        <w:jc w:val="left"/>
        <w:rPr>
          <w:b w:val="0"/>
          <w:bCs w:val="0"/>
        </w:rPr>
      </w:pPr>
      <w:bookmarkStart w:name="（3） 未办妥产权证书的投资性房地产情况" w:id="263"/>
      <w:bookmarkEnd w:id="263"/>
      <w:r>
        <w:rPr>
          <w:b w:val="0"/>
          <w:bCs w:val="0"/>
        </w:rPr>
      </w:r>
      <w:r>
        <w:rPr/>
        <w:t>（</w:t>
      </w:r>
      <w:r>
        <w:rPr>
          <w:rFonts w:ascii="宋体" w:hAnsi="宋体" w:cs="宋体" w:eastAsia="宋体" w:hint="default"/>
        </w:rPr>
        <w:t>3</w:t>
      </w:r>
      <w:r>
        <w:rPr/>
        <w:t>）未办妥产权证书的投资性房地产情况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39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6、固定资产" w:id="264"/>
      <w:bookmarkEnd w:id="264"/>
      <w:r>
        <w:rPr>
          <w:rFonts w:ascii="宋体" w:hAnsi="宋体" w:cs="宋体" w:eastAsia="宋体" w:hint="default"/>
          <w:sz w:val="21"/>
          <w:szCs w:val="21"/>
        </w:rPr>
      </w:r>
      <w:r>
        <w:rPr>
          <w:rFonts w:ascii="宋体" w:hAnsi="宋体" w:cs="宋体" w:eastAsia="宋体"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9"/>
          <w:szCs w:val="9"/>
        </w:rPr>
      </w:pPr>
    </w:p>
    <w:tbl>
      <w:tblPr>
        <w:tblW w:w="0" w:type="auto"/>
        <w:jc w:val="left"/>
        <w:tblInd w:w="378" w:type="dxa"/>
        <w:tblLayout w:type="fixed"/>
        <w:tblCellMar>
          <w:top w:w="0" w:type="dxa"/>
          <w:left w:w="0" w:type="dxa"/>
          <w:bottom w:w="0" w:type="dxa"/>
          <w:right w:w="0" w:type="dxa"/>
        </w:tblCellMar>
        <w:tblLook w:val="01E0"/>
      </w:tblPr>
      <w:tblGrid>
        <w:gridCol w:w="3195"/>
        <w:gridCol w:w="3188"/>
        <w:gridCol w:w="3187"/>
      </w:tblGrid>
      <w:tr>
        <w:trPr>
          <w:trHeight w:val="370" w:hRule="exact"/>
        </w:trPr>
        <w:tc>
          <w:tcPr>
            <w:tcW w:w="319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2"/>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3" w:hRule="exact"/>
        </w:trPr>
        <w:tc>
          <w:tcPr>
            <w:tcW w:w="31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17" w:space="0" w:color="D2D2D2"/>
              <w:left w:val="single" w:sz="13" w:space="0" w:color="D2D2D2"/>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18"/>
                <w:szCs w:val="18"/>
              </w:rPr>
            </w:pPr>
            <w:r>
              <w:rPr>
                <w:rFonts w:ascii="宋体"/>
                <w:sz w:val="18"/>
              </w:rPr>
              <w:t>360,590,903.02</w:t>
            </w:r>
          </w:p>
        </w:tc>
        <w:tc>
          <w:tcPr>
            <w:tcW w:w="3187" w:type="dxa"/>
            <w:tcBorders>
              <w:top w:val="single" w:sz="17" w:space="0" w:color="D2D2D2"/>
              <w:left w:val="single" w:sz="4" w:space="0" w:color="000000"/>
              <w:bottom w:val="single" w:sz="4" w:space="0" w:color="000000"/>
              <w:right w:val="single" w:sz="12" w:space="0" w:color="000000"/>
            </w:tcBorders>
          </w:tcPr>
          <w:p>
            <w:pPr>
              <w:pStyle w:val="TableParagraph"/>
              <w:spacing w:line="240" w:lineRule="auto" w:before="62"/>
              <w:ind w:right="11"/>
              <w:jc w:val="right"/>
              <w:rPr>
                <w:rFonts w:ascii="宋体" w:hAnsi="宋体" w:cs="宋体" w:eastAsia="宋体" w:hint="default"/>
                <w:sz w:val="18"/>
                <w:szCs w:val="18"/>
              </w:rPr>
            </w:pPr>
            <w:r>
              <w:rPr>
                <w:rFonts w:ascii="宋体"/>
                <w:sz w:val="18"/>
              </w:rPr>
              <w:t>440,198,059.54</w:t>
            </w:r>
          </w:p>
        </w:tc>
      </w:tr>
      <w:tr>
        <w:trPr>
          <w:trHeight w:val="417" w:hRule="exact"/>
        </w:trPr>
        <w:tc>
          <w:tcPr>
            <w:tcW w:w="31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360,590,903.02</w:t>
            </w:r>
          </w:p>
        </w:tc>
        <w:tc>
          <w:tcPr>
            <w:tcW w:w="31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440,198,059.54</w:t>
            </w:r>
          </w:p>
        </w:tc>
      </w:tr>
    </w:tbl>
    <w:p>
      <w:pPr>
        <w:spacing w:line="240" w:lineRule="auto" w:before="1"/>
        <w:rPr>
          <w:rFonts w:ascii="宋体" w:hAnsi="宋体" w:cs="宋体" w:eastAsia="宋体" w:hint="default"/>
          <w:sz w:val="14"/>
          <w:szCs w:val="14"/>
        </w:rPr>
      </w:pPr>
    </w:p>
    <w:p>
      <w:pPr>
        <w:pStyle w:val="Heading4"/>
        <w:spacing w:line="240" w:lineRule="auto" w:before="35"/>
        <w:ind w:left="394" w:right="0"/>
        <w:jc w:val="left"/>
        <w:rPr>
          <w:b w:val="0"/>
          <w:bCs w:val="0"/>
        </w:rPr>
      </w:pPr>
      <w:bookmarkStart w:name="（1）固定资产情况" w:id="265"/>
      <w:bookmarkEnd w:id="265"/>
      <w:r>
        <w:rPr>
          <w:b w:val="0"/>
          <w:bCs w:val="0"/>
        </w:rPr>
      </w:r>
      <w:r>
        <w:rPr/>
        <w:t>（</w:t>
      </w:r>
      <w:r>
        <w:rPr>
          <w:rFonts w:ascii="宋体" w:hAnsi="宋体" w:cs="宋体" w:eastAsia="宋体" w:hint="default"/>
        </w:rPr>
        <w:t>1</w:t>
      </w:r>
      <w:r>
        <w:rPr/>
        <w:t>）固定资产情况</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635"/>
        <w:gridCol w:w="1377"/>
        <w:gridCol w:w="1368"/>
        <w:gridCol w:w="1367"/>
        <w:gridCol w:w="1367"/>
        <w:gridCol w:w="1367"/>
        <w:gridCol w:w="1366"/>
      </w:tblGrid>
      <w:tr>
        <w:trPr>
          <w:trHeight w:val="413" w:hRule="exact"/>
        </w:trPr>
        <w:tc>
          <w:tcPr>
            <w:tcW w:w="163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36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right="45"/>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6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7" w:type="dxa"/>
            <w:tcBorders>
              <w:top w:val="single" w:sz="6" w:space="0" w:color="000000"/>
              <w:left w:val="single" w:sz="14" w:space="0" w:color="D9D9D9"/>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18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389,765,914.88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24,135,883.45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91,237,547.76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21,131,226.09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23,053,398.57</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549,323,970.75</w:t>
            </w: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2,706,368.15</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1,650,173.31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10,085.47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6,530,565.79</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10,897,192.72</w:t>
            </w: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1,558,795.33</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858,958.59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10,085.47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6,338,481.19</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8,766,320.58</w:t>
            </w:r>
          </w:p>
        </w:tc>
      </w:tr>
      <w:tr>
        <w:trPr>
          <w:trHeight w:val="719"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9" w:lineRule="auto" w:before="51"/>
              <w:ind w:left="7" w:right="7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 转入</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1,147,572.82</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791,214.72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192,084.60</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2,130,872.14</w:t>
            </w:r>
          </w:p>
        </w:tc>
      </w:tr>
      <w:tr>
        <w:trPr>
          <w:trHeight w:val="719"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6" w:lineRule="auto" w:before="52"/>
              <w:ind w:left="7" w:right="7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 增加</w:t>
            </w:r>
          </w:p>
        </w:tc>
        <w:tc>
          <w:tcPr>
            <w:tcW w:w="1377" w:type="dxa"/>
            <w:tcBorders>
              <w:top w:val="single" w:sz="6" w:space="0" w:color="000000"/>
              <w:left w:val="single" w:sz="14" w:space="0" w:color="D9D9D9"/>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right="16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64,848,312.30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24,135,883.45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579,862.49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1,736,091.84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9,576,531.33</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100,876,681.41</w:t>
            </w:r>
          </w:p>
        </w:tc>
      </w:tr>
      <w:tr>
        <w:trPr>
          <w:trHeight w:val="728" w:hRule="exact"/>
        </w:trPr>
        <w:tc>
          <w:tcPr>
            <w:tcW w:w="163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2"/>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377" w:type="dxa"/>
            <w:tcBorders>
              <w:top w:val="single" w:sz="6" w:space="0" w:color="000000"/>
              <w:left w:val="single" w:sz="14" w:space="0" w:color="D9D9D9"/>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44,195,196.74</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24,135,883.45</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579,862.49</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1,736,091.84</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9,576,531.33</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80,223,565.85</w:t>
            </w:r>
          </w:p>
        </w:tc>
      </w:tr>
    </w:tbl>
    <w:p>
      <w:pPr>
        <w:spacing w:after="0" w:line="240" w:lineRule="auto"/>
        <w:jc w:val="right"/>
        <w:rPr>
          <w:rFonts w:ascii="宋体" w:hAnsi="宋体" w:cs="宋体" w:eastAsia="宋体" w:hint="default"/>
          <w:sz w:val="18"/>
          <w:szCs w:val="18"/>
        </w:rPr>
        <w:sectPr>
          <w:pgSz w:w="11910" w:h="16840"/>
          <w:pgMar w:header="877" w:footer="1000" w:top="1100" w:bottom="1180" w:left="74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635"/>
        <w:gridCol w:w="1377"/>
        <w:gridCol w:w="1368"/>
        <w:gridCol w:w="1367"/>
        <w:gridCol w:w="1367"/>
        <w:gridCol w:w="1367"/>
        <w:gridCol w:w="1366"/>
      </w:tblGrid>
      <w:tr>
        <w:trPr>
          <w:trHeight w:val="415" w:hRule="exact"/>
        </w:trPr>
        <w:tc>
          <w:tcPr>
            <w:tcW w:w="163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36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right="45"/>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6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9"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6" w:lineRule="auto" w:before="51"/>
              <w:ind w:left="7" w:right="7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）转投资性 房地产</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20,653,115.56</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20,653,115.56</w:t>
            </w: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327,623,970.73</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92,307,858.58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19,405,219.72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20,007,433.03</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459,344,482.06</w:t>
            </w: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7" w:type="dxa"/>
            <w:tcBorders>
              <w:top w:val="single" w:sz="6" w:space="0" w:color="000000"/>
              <w:left w:val="single" w:sz="14" w:space="0" w:color="D9D9D9"/>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18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18,084,473.75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12,316,839.76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48,367,093.62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13,497,525.86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16,859,978.22</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109,125,911.21</w:t>
            </w: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right="16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9,553,158.73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762,693.92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7,810,316.96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1,909,238.60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1,922,971.54</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21,958,379.75</w:t>
            </w:r>
          </w:p>
        </w:tc>
      </w:tr>
      <w:tr>
        <w:trPr>
          <w:trHeight w:val="408"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9,553,158.73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762,693.92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7,810,316.96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1,909,238.60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1,922,971.54</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21,958,379.75</w:t>
            </w: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8,215,204.15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13,079,533.68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550,874.99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1,646,420.62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8,838,678.48</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32,330,711.92</w:t>
            </w:r>
          </w:p>
        </w:tc>
      </w:tr>
      <w:tr>
        <w:trPr>
          <w:trHeight w:val="719"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6,174,016.14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13,079,533.68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550,874.99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1,646,420.62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8,838,678.48</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30,289,523.91</w:t>
            </w:r>
          </w:p>
        </w:tc>
      </w:tr>
      <w:tr>
        <w:trPr>
          <w:trHeight w:val="719"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319" w:lineRule="auto" w:before="51"/>
              <w:ind w:left="7" w:right="7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）转投资性 房地产</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2,041,188.01</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2,041,188.01</w:t>
            </w: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18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19,422,428.33</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55,626,535.59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13,760,343.84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9,944,271.28</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98,753,579.04</w:t>
            </w: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7" w:type="dxa"/>
            <w:tcBorders>
              <w:top w:val="single" w:sz="6" w:space="0" w:color="000000"/>
              <w:left w:val="single" w:sz="14" w:space="0" w:color="D9D9D9"/>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18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77" w:type="dxa"/>
            <w:tcBorders>
              <w:top w:val="single" w:sz="6" w:space="0" w:color="000000"/>
              <w:left w:val="single" w:sz="14" w:space="0" w:color="D9D9D9"/>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77" w:type="dxa"/>
            <w:tcBorders>
              <w:top w:val="single" w:sz="6" w:space="0" w:color="000000"/>
              <w:left w:val="single" w:sz="14" w:space="0" w:color="D9D9D9"/>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77" w:type="dxa"/>
            <w:tcBorders>
              <w:top w:val="single" w:sz="6" w:space="0" w:color="000000"/>
              <w:left w:val="single" w:sz="14" w:space="0" w:color="D9D9D9"/>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77" w:type="dxa"/>
            <w:tcBorders>
              <w:top w:val="single" w:sz="6" w:space="0" w:color="000000"/>
              <w:left w:val="single" w:sz="14" w:space="0" w:color="D9D9D9"/>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377" w:type="dxa"/>
            <w:tcBorders>
              <w:top w:val="single" w:sz="6" w:space="0" w:color="000000"/>
              <w:left w:val="single" w:sz="14" w:space="0" w:color="D9D9D9"/>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18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77" w:type="dxa"/>
            <w:tcBorders>
              <w:top w:val="single" w:sz="6" w:space="0" w:color="000000"/>
              <w:left w:val="single" w:sz="14" w:space="0" w:color="D9D9D9"/>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7" w:type="dxa"/>
            <w:tcBorders>
              <w:top w:val="single" w:sz="6" w:space="0" w:color="000000"/>
              <w:left w:val="single" w:sz="14" w:space="0" w:color="D9D9D9"/>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63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77" w:type="dxa"/>
            <w:tcBorders>
              <w:top w:val="single" w:sz="6" w:space="0" w:color="000000"/>
              <w:left w:val="single" w:sz="14" w:space="0" w:color="D9D9D9"/>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308,201,542.40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36,681,322.99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5,644,875.88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10,063,161.75</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360,590,903.02</w:t>
            </w:r>
          </w:p>
        </w:tc>
      </w:tr>
      <w:tr>
        <w:trPr>
          <w:trHeight w:val="415" w:hRule="exact"/>
        </w:trPr>
        <w:tc>
          <w:tcPr>
            <w:tcW w:w="163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77" w:type="dxa"/>
            <w:tcBorders>
              <w:top w:val="single" w:sz="6" w:space="0" w:color="000000"/>
              <w:left w:val="single" w:sz="14" w:space="0" w:color="D9D9D9"/>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371,681,441.13</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11,819,043.69</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42,870,454.14</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7,633,700.23</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6,193,420.35</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440,198,059.54</w:t>
            </w:r>
          </w:p>
        </w:tc>
      </w:tr>
    </w:tbl>
    <w:p>
      <w:pPr>
        <w:pStyle w:val="Heading4"/>
        <w:spacing w:line="240" w:lineRule="auto" w:before="63"/>
        <w:ind w:left="394" w:right="0"/>
        <w:jc w:val="left"/>
        <w:rPr>
          <w:b w:val="0"/>
          <w:bCs w:val="0"/>
        </w:rPr>
      </w:pPr>
      <w:bookmarkStart w:name="（2） 暂时闲置的固定资产情况" w:id="266"/>
      <w:bookmarkEnd w:id="266"/>
      <w:r>
        <w:rPr>
          <w:b w:val="0"/>
          <w:bCs w:val="0"/>
        </w:rPr>
      </w:r>
      <w:r>
        <w:rPr/>
        <w:t>（</w:t>
      </w:r>
      <w:r>
        <w:rPr>
          <w:rFonts w:ascii="宋体" w:hAnsi="宋体" w:cs="宋体" w:eastAsia="宋体" w:hint="default"/>
        </w:rPr>
        <w:t>2</w:t>
      </w:r>
      <w:r>
        <w:rPr/>
        <w:t>）暂时闲置的固定资产情况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39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394" w:right="0"/>
        <w:jc w:val="left"/>
        <w:rPr>
          <w:b w:val="0"/>
          <w:bCs w:val="0"/>
        </w:rPr>
      </w:pPr>
      <w:bookmarkStart w:name="（3） 通过融资租赁租入的固定资产情况" w:id="267"/>
      <w:bookmarkEnd w:id="267"/>
      <w:r>
        <w:rPr>
          <w:b w:val="0"/>
          <w:bCs w:val="0"/>
        </w:rPr>
      </w:r>
      <w:r>
        <w:rPr/>
        <w:t>（</w:t>
      </w:r>
      <w:r>
        <w:rPr>
          <w:rFonts w:ascii="宋体" w:hAnsi="宋体" w:cs="宋体" w:eastAsia="宋体" w:hint="default"/>
        </w:rPr>
        <w:t>3</w:t>
      </w:r>
      <w:r>
        <w:rPr/>
        <w:t>）通过融资租赁租入的固定资产情况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39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394" w:right="0"/>
        <w:jc w:val="left"/>
        <w:rPr>
          <w:b w:val="0"/>
          <w:bCs w:val="0"/>
        </w:rPr>
      </w:pPr>
      <w:bookmarkStart w:name="（4） 通过经营租赁租出的固定资产" w:id="268"/>
      <w:bookmarkEnd w:id="268"/>
      <w:r>
        <w:rPr>
          <w:b w:val="0"/>
          <w:bCs w:val="0"/>
        </w:rPr>
      </w:r>
      <w:r>
        <w:rPr/>
        <w:t>（</w:t>
      </w:r>
      <w:r>
        <w:rPr>
          <w:rFonts w:ascii="宋体" w:hAnsi="宋体" w:cs="宋体" w:eastAsia="宋体" w:hint="default"/>
        </w:rPr>
        <w:t>4</w:t>
      </w:r>
      <w:r>
        <w:rPr/>
        <w:t>）通过经营租赁租出的固定资产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39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394" w:right="0"/>
        <w:jc w:val="left"/>
        <w:rPr>
          <w:b w:val="0"/>
          <w:bCs w:val="0"/>
        </w:rPr>
      </w:pPr>
      <w:bookmarkStart w:name="（5） 未办妥产权证书的固定资产情况" w:id="269"/>
      <w:bookmarkEnd w:id="269"/>
      <w:r>
        <w:rPr>
          <w:b w:val="0"/>
          <w:bCs w:val="0"/>
        </w:rPr>
      </w:r>
      <w:r>
        <w:rPr/>
        <w:t>（</w:t>
      </w:r>
      <w:r>
        <w:rPr>
          <w:rFonts w:ascii="宋体" w:hAnsi="宋体" w:cs="宋体" w:eastAsia="宋体" w:hint="default"/>
        </w:rPr>
        <w:t>5</w:t>
      </w:r>
      <w:r>
        <w:rPr/>
        <w:t>）未办妥产权证书的固定资产情况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394" w:right="0"/>
        <w:jc w:val="left"/>
      </w:pPr>
      <w:r>
        <w:rPr/>
        <w:t>□ 适用 √</w:t>
      </w:r>
      <w:r>
        <w:rPr>
          <w:spacing w:val="-1"/>
        </w:rPr>
        <w:t> </w:t>
      </w:r>
      <w:r>
        <w:rPr/>
        <w:t>不适用</w:t>
      </w:r>
    </w:p>
    <w:p>
      <w:pPr>
        <w:spacing w:after="0" w:line="240" w:lineRule="auto"/>
        <w:jc w:val="left"/>
        <w:sectPr>
          <w:pgSz w:w="11910" w:h="16840"/>
          <w:pgMar w:header="877" w:footer="1000" w:top="1100" w:bottom="1180" w:left="740" w:right="0"/>
        </w:sectPr>
      </w:pPr>
    </w:p>
    <w:p>
      <w:pPr>
        <w:spacing w:line="240" w:lineRule="auto" w:before="8"/>
        <w:rPr>
          <w:rFonts w:ascii="宋体" w:hAnsi="宋体" w:cs="宋体" w:eastAsia="宋体" w:hint="default"/>
          <w:sz w:val="26"/>
          <w:szCs w:val="26"/>
        </w:rPr>
      </w:pPr>
    </w:p>
    <w:p>
      <w:pPr>
        <w:pStyle w:val="Heading4"/>
        <w:spacing w:line="240" w:lineRule="auto" w:before="35"/>
        <w:ind w:left="934" w:right="0"/>
        <w:jc w:val="left"/>
        <w:rPr>
          <w:b w:val="0"/>
          <w:bCs w:val="0"/>
        </w:rPr>
      </w:pPr>
      <w:bookmarkStart w:name="（6） 固定资产清理" w:id="270"/>
      <w:bookmarkEnd w:id="270"/>
      <w:r>
        <w:rPr>
          <w:b w:val="0"/>
          <w:bCs w:val="0"/>
        </w:rPr>
      </w:r>
      <w:r>
        <w:rPr/>
        <w:t>（</w:t>
      </w:r>
      <w:r>
        <w:rPr>
          <w:rFonts w:ascii="宋体" w:hAnsi="宋体" w:cs="宋体" w:eastAsia="宋体" w:hint="default"/>
        </w:rPr>
        <w:t>6</w:t>
      </w:r>
      <w:r>
        <w:rPr/>
        <w:t>）固定资产清理</w:t>
      </w:r>
      <w:r>
        <w:rPr>
          <w:b w:val="0"/>
          <w:bCs w:val="0"/>
        </w:rPr>
      </w:r>
    </w:p>
    <w:p>
      <w:pPr>
        <w:spacing w:line="240" w:lineRule="auto" w:before="10"/>
        <w:rPr>
          <w:rFonts w:ascii="宋体" w:hAnsi="宋体" w:cs="宋体" w:eastAsia="宋体" w:hint="default"/>
          <w:b/>
          <w:bCs/>
          <w:sz w:val="14"/>
          <w:szCs w:val="14"/>
        </w:rPr>
      </w:pPr>
    </w:p>
    <w:p>
      <w:pPr>
        <w:spacing w:line="408" w:lineRule="auto" w:before="0"/>
        <w:ind w:left="9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7、在建工程" w:id="271"/>
      <w:bookmarkEnd w:id="271"/>
      <w:r>
        <w:rPr>
          <w:rFonts w:ascii="宋体" w:hAnsi="宋体" w:cs="宋体" w:eastAsia="宋体" w:hint="default"/>
          <w:sz w:val="21"/>
          <w:szCs w:val="21"/>
        </w:rPr>
      </w:r>
      <w:r>
        <w:rPr>
          <w:rFonts w:ascii="宋体" w:hAnsi="宋体" w:cs="宋体" w:eastAsia="宋体"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30"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925" w:type="dxa"/>
        <w:tblLayout w:type="fixed"/>
        <w:tblCellMar>
          <w:top w:w="0" w:type="dxa"/>
          <w:left w:w="0" w:type="dxa"/>
          <w:bottom w:w="0" w:type="dxa"/>
          <w:right w:w="0" w:type="dxa"/>
        </w:tblCellMar>
        <w:tblLook w:val="01E0"/>
      </w:tblPr>
      <w:tblGrid>
        <w:gridCol w:w="1826"/>
        <w:gridCol w:w="3839"/>
        <w:gridCol w:w="3897"/>
      </w:tblGrid>
      <w:tr>
        <w:trPr>
          <w:trHeight w:val="412" w:hRule="exact"/>
        </w:trPr>
        <w:tc>
          <w:tcPr>
            <w:tcW w:w="182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83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103,327,810.58</w:t>
            </w:r>
          </w:p>
        </w:tc>
        <w:tc>
          <w:tcPr>
            <w:tcW w:w="38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81,041,968.94</w:t>
            </w:r>
          </w:p>
        </w:tc>
      </w:tr>
      <w:tr>
        <w:trPr>
          <w:trHeight w:val="412" w:hRule="exact"/>
        </w:trPr>
        <w:tc>
          <w:tcPr>
            <w:tcW w:w="182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39"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103,327,810.58</w:t>
            </w:r>
          </w:p>
        </w:tc>
        <w:tc>
          <w:tcPr>
            <w:tcW w:w="38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81,041,968.94</w:t>
            </w:r>
          </w:p>
        </w:tc>
      </w:tr>
    </w:tbl>
    <w:p>
      <w:pPr>
        <w:pStyle w:val="Heading4"/>
        <w:spacing w:line="240" w:lineRule="auto" w:before="63"/>
        <w:ind w:left="934" w:right="0"/>
        <w:jc w:val="left"/>
        <w:rPr>
          <w:b w:val="0"/>
          <w:bCs w:val="0"/>
        </w:rPr>
      </w:pPr>
      <w:bookmarkStart w:name="（1）在建工程情况" w:id="272"/>
      <w:bookmarkEnd w:id="272"/>
      <w:r>
        <w:rPr>
          <w:b w:val="0"/>
          <w:bCs w:val="0"/>
        </w:rPr>
      </w:r>
      <w:r>
        <w:rPr/>
        <w:t>（</w:t>
      </w:r>
      <w:r>
        <w:rPr>
          <w:rFonts w:ascii="宋体" w:hAnsi="宋体" w:cs="宋体" w:eastAsia="宋体" w:hint="default"/>
        </w:rPr>
        <w:t>1</w:t>
      </w:r>
      <w:r>
        <w:rPr/>
        <w:t>）在建工程情况</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918" w:type="dxa"/>
        <w:tblLayout w:type="fixed"/>
        <w:tblCellMar>
          <w:top w:w="0" w:type="dxa"/>
          <w:left w:w="0" w:type="dxa"/>
          <w:bottom w:w="0" w:type="dxa"/>
          <w:right w:w="0" w:type="dxa"/>
        </w:tblCellMar>
        <w:tblLook w:val="01E0"/>
      </w:tblPr>
      <w:tblGrid>
        <w:gridCol w:w="1844"/>
        <w:gridCol w:w="1559"/>
        <w:gridCol w:w="851"/>
        <w:gridCol w:w="1417"/>
        <w:gridCol w:w="1560"/>
        <w:gridCol w:w="850"/>
        <w:gridCol w:w="1491"/>
      </w:tblGrid>
      <w:tr>
        <w:trPr>
          <w:trHeight w:val="412" w:hRule="exact"/>
        </w:trPr>
        <w:tc>
          <w:tcPr>
            <w:tcW w:w="1844"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01"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44" w:type="dxa"/>
            <w:vMerge/>
            <w:tcBorders>
              <w:left w:val="single" w:sz="12"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9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生产与中试基地工程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39,303,276.37</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39,303,276.37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23,353,317.40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23,353,317.40</w:t>
            </w:r>
          </w:p>
        </w:tc>
      </w:tr>
      <w:tr>
        <w:trPr>
          <w:trHeight w:val="402"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办公自动化项目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290,920.83</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290,920.83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290,920.83</w:t>
            </w:r>
          </w:p>
        </w:tc>
        <w:tc>
          <w:tcPr>
            <w:tcW w:w="8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290,920.83</w:t>
            </w:r>
          </w:p>
        </w:tc>
      </w:tr>
      <w:tr>
        <w:trPr>
          <w:trHeight w:val="402"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睿博公司一期工程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62,201,727.41</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62,201,727.41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55,968,087.89</w:t>
            </w:r>
          </w:p>
        </w:tc>
        <w:tc>
          <w:tcPr>
            <w:tcW w:w="8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55,968,087.89</w:t>
            </w:r>
          </w:p>
        </w:tc>
      </w:tr>
      <w:tr>
        <w:trPr>
          <w:trHeight w:val="402"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园林景观改造工程</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1,147,572.82</w:t>
            </w:r>
          </w:p>
        </w:tc>
        <w:tc>
          <w:tcPr>
            <w:tcW w:w="8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1,147,572.82</w:t>
            </w:r>
          </w:p>
        </w:tc>
      </w:tr>
      <w:tr>
        <w:trPr>
          <w:trHeight w:val="402"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表箱自能化项目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1,263,247.87</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1,263,247.87</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1"/>
              <w:ind w:left="13" w:right="189"/>
              <w:jc w:val="left"/>
              <w:rPr>
                <w:rFonts w:ascii="宋体" w:hAnsi="宋体" w:cs="宋体" w:eastAsia="宋体" w:hint="default"/>
                <w:sz w:val="18"/>
                <w:szCs w:val="18"/>
              </w:rPr>
            </w:pPr>
            <w:r>
              <w:rPr>
                <w:rFonts w:ascii="宋体" w:hAnsi="宋体" w:cs="宋体" w:eastAsia="宋体" w:hint="default"/>
                <w:sz w:val="18"/>
                <w:szCs w:val="18"/>
              </w:rPr>
              <w:t>索瑞义乌商品房（毛 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268,638.10</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268,638.10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282,070.00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282,070.00</w:t>
            </w:r>
          </w:p>
        </w:tc>
      </w:tr>
      <w:tr>
        <w:trPr>
          <w:trHeight w:val="412" w:hRule="exact"/>
        </w:trPr>
        <w:tc>
          <w:tcPr>
            <w:tcW w:w="184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103,327,810.58</w:t>
            </w:r>
          </w:p>
        </w:tc>
        <w:tc>
          <w:tcPr>
            <w:tcW w:w="851"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103,327,810.58</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81,041,968.94</w:t>
            </w:r>
          </w:p>
        </w:tc>
        <w:tc>
          <w:tcPr>
            <w:tcW w:w="850" w:type="dxa"/>
            <w:tcBorders>
              <w:top w:val="single" w:sz="4" w:space="0" w:color="000000"/>
              <w:left w:val="single" w:sz="4" w:space="0" w:color="000000"/>
              <w:bottom w:val="single" w:sz="12" w:space="0" w:color="000000"/>
              <w:right w:val="single" w:sz="4" w:space="0" w:color="000000"/>
            </w:tcBorders>
          </w:tcPr>
          <w:p>
            <w:pPr/>
          </w:p>
        </w:tc>
        <w:tc>
          <w:tcPr>
            <w:tcW w:w="14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81,041,968.94</w:t>
            </w:r>
          </w:p>
        </w:tc>
      </w:tr>
    </w:tbl>
    <w:p>
      <w:pPr>
        <w:spacing w:line="240" w:lineRule="auto" w:before="1"/>
        <w:rPr>
          <w:rFonts w:ascii="宋体" w:hAnsi="宋体" w:cs="宋体" w:eastAsia="宋体" w:hint="default"/>
          <w:sz w:val="14"/>
          <w:szCs w:val="14"/>
        </w:rPr>
      </w:pPr>
    </w:p>
    <w:p>
      <w:pPr>
        <w:pStyle w:val="Heading4"/>
        <w:spacing w:line="240" w:lineRule="auto" w:before="35"/>
        <w:ind w:left="934" w:right="0"/>
        <w:jc w:val="left"/>
        <w:rPr>
          <w:b w:val="0"/>
          <w:bCs w:val="0"/>
        </w:rPr>
      </w:pPr>
      <w:bookmarkStart w:name="（2）重要在建工程项目本期变动情况" w:id="273"/>
      <w:bookmarkEnd w:id="273"/>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699"/>
        <w:gridCol w:w="1134"/>
        <w:gridCol w:w="1037"/>
        <w:gridCol w:w="1069"/>
        <w:gridCol w:w="993"/>
        <w:gridCol w:w="775"/>
        <w:gridCol w:w="1145"/>
        <w:gridCol w:w="622"/>
        <w:gridCol w:w="579"/>
        <w:gridCol w:w="1069"/>
        <w:gridCol w:w="992"/>
        <w:gridCol w:w="634"/>
        <w:gridCol w:w="491"/>
      </w:tblGrid>
      <w:tr>
        <w:trPr>
          <w:trHeight w:val="1270" w:hRule="exact"/>
        </w:trPr>
        <w:tc>
          <w:tcPr>
            <w:tcW w:w="69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4"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预算数</w:t>
            </w:r>
          </w:p>
        </w:tc>
        <w:tc>
          <w:tcPr>
            <w:tcW w:w="10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0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本期增加金额</w:t>
            </w:r>
          </w:p>
        </w:tc>
        <w:tc>
          <w:tcPr>
            <w:tcW w:w="9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189" w:right="36" w:hanging="150"/>
              <w:jc w:val="left"/>
              <w:rPr>
                <w:rFonts w:ascii="宋体" w:hAnsi="宋体" w:cs="宋体" w:eastAsia="宋体" w:hint="default"/>
                <w:sz w:val="15"/>
                <w:szCs w:val="15"/>
              </w:rPr>
            </w:pPr>
            <w:r>
              <w:rPr>
                <w:rFonts w:ascii="宋体" w:hAnsi="宋体" w:cs="宋体" w:eastAsia="宋体" w:hint="default"/>
                <w:sz w:val="15"/>
                <w:szCs w:val="15"/>
              </w:rPr>
              <w:t>本期转入固定 资产金额</w:t>
            </w:r>
          </w:p>
        </w:tc>
        <w:tc>
          <w:tcPr>
            <w:tcW w:w="7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79" w:right="79"/>
              <w:jc w:val="left"/>
              <w:rPr>
                <w:rFonts w:ascii="宋体" w:hAnsi="宋体" w:cs="宋体" w:eastAsia="宋体" w:hint="default"/>
                <w:sz w:val="15"/>
                <w:szCs w:val="15"/>
              </w:rPr>
            </w:pPr>
            <w:r>
              <w:rPr>
                <w:rFonts w:ascii="宋体" w:hAnsi="宋体" w:cs="宋体" w:eastAsia="宋体" w:hint="default"/>
                <w:sz w:val="15"/>
                <w:szCs w:val="15"/>
              </w:rPr>
              <w:t>本期其他 减少金额</w:t>
            </w:r>
          </w:p>
        </w:tc>
        <w:tc>
          <w:tcPr>
            <w:tcW w:w="11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6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6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81" w:lineRule="auto" w:before="33"/>
              <w:ind w:left="77" w:right="77"/>
              <w:jc w:val="both"/>
              <w:rPr>
                <w:rFonts w:ascii="宋体" w:hAnsi="宋体" w:cs="宋体" w:eastAsia="宋体" w:hint="default"/>
                <w:sz w:val="15"/>
                <w:szCs w:val="15"/>
              </w:rPr>
            </w:pPr>
            <w:r>
              <w:rPr>
                <w:rFonts w:ascii="宋体" w:hAnsi="宋体" w:cs="宋体" w:eastAsia="宋体" w:hint="default"/>
                <w:sz w:val="15"/>
                <w:szCs w:val="15"/>
              </w:rPr>
              <w:t>工程累 计投入 占预算 比例</w:t>
            </w:r>
          </w:p>
        </w:tc>
        <w:tc>
          <w:tcPr>
            <w:tcW w:w="5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207" w:right="54" w:hanging="150"/>
              <w:jc w:val="left"/>
              <w:rPr>
                <w:rFonts w:ascii="宋体" w:hAnsi="宋体" w:cs="宋体" w:eastAsia="宋体" w:hint="default"/>
                <w:sz w:val="15"/>
                <w:szCs w:val="15"/>
              </w:rPr>
            </w:pPr>
            <w:r>
              <w:rPr>
                <w:rFonts w:ascii="宋体" w:hAnsi="宋体" w:cs="宋体" w:eastAsia="宋体" w:hint="default"/>
                <w:sz w:val="15"/>
                <w:szCs w:val="15"/>
              </w:rPr>
              <w:t>工程进 度</w:t>
            </w:r>
          </w:p>
        </w:tc>
        <w:tc>
          <w:tcPr>
            <w:tcW w:w="10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301" w:right="77" w:hanging="225"/>
              <w:jc w:val="left"/>
              <w:rPr>
                <w:rFonts w:ascii="宋体" w:hAnsi="宋体" w:cs="宋体" w:eastAsia="宋体" w:hint="default"/>
                <w:sz w:val="15"/>
                <w:szCs w:val="15"/>
              </w:rPr>
            </w:pPr>
            <w:r>
              <w:rPr>
                <w:rFonts w:ascii="宋体" w:hAnsi="宋体" w:cs="宋体" w:eastAsia="宋体" w:hint="default"/>
                <w:sz w:val="15"/>
                <w:szCs w:val="15"/>
              </w:rPr>
              <w:t>利息资本化累 计金额</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38" w:right="37"/>
              <w:jc w:val="left"/>
              <w:rPr>
                <w:rFonts w:ascii="宋体" w:hAnsi="宋体" w:cs="宋体" w:eastAsia="宋体" w:hint="default"/>
                <w:sz w:val="15"/>
                <w:szCs w:val="15"/>
              </w:rPr>
            </w:pPr>
            <w:r>
              <w:rPr>
                <w:rFonts w:ascii="宋体" w:hAnsi="宋体" w:cs="宋体" w:eastAsia="宋体" w:hint="default"/>
                <w:sz w:val="15"/>
                <w:szCs w:val="15"/>
              </w:rPr>
              <w:t>其中：本期利 息资本化金额</w:t>
            </w:r>
          </w:p>
        </w:tc>
        <w:tc>
          <w:tcPr>
            <w:tcW w:w="6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85" w:right="83"/>
              <w:jc w:val="both"/>
              <w:rPr>
                <w:rFonts w:ascii="宋体" w:hAnsi="宋体" w:cs="宋体" w:eastAsia="宋体" w:hint="default"/>
                <w:sz w:val="15"/>
                <w:szCs w:val="15"/>
              </w:rPr>
            </w:pPr>
            <w:r>
              <w:rPr>
                <w:rFonts w:ascii="宋体" w:hAnsi="宋体" w:cs="宋体" w:eastAsia="宋体" w:hint="default"/>
                <w:sz w:val="15"/>
                <w:szCs w:val="15"/>
              </w:rPr>
              <w:t>本期利 息资本 化率</w:t>
            </w:r>
          </w:p>
        </w:tc>
        <w:tc>
          <w:tcPr>
            <w:tcW w:w="4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87" w:right="78"/>
              <w:jc w:val="left"/>
              <w:rPr>
                <w:rFonts w:ascii="宋体" w:hAnsi="宋体" w:cs="宋体" w:eastAsia="宋体" w:hint="default"/>
                <w:sz w:val="15"/>
                <w:szCs w:val="15"/>
              </w:rPr>
            </w:pPr>
            <w:r>
              <w:rPr>
                <w:rFonts w:ascii="宋体" w:hAnsi="宋体" w:cs="宋体" w:eastAsia="宋体" w:hint="default"/>
                <w:sz w:val="15"/>
                <w:szCs w:val="15"/>
              </w:rPr>
              <w:t>资金 来源</w:t>
            </w:r>
          </w:p>
        </w:tc>
      </w:tr>
      <w:tr>
        <w:trPr>
          <w:trHeight w:val="1343" w:hRule="exact"/>
        </w:trPr>
        <w:tc>
          <w:tcPr>
            <w:tcW w:w="69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74"/>
              <w:ind w:left="13" w:right="61"/>
              <w:jc w:val="left"/>
              <w:rPr>
                <w:rFonts w:ascii="宋体" w:hAnsi="宋体" w:cs="宋体" w:eastAsia="宋体" w:hint="default"/>
                <w:sz w:val="15"/>
                <w:szCs w:val="15"/>
              </w:rPr>
            </w:pPr>
            <w:r>
              <w:rPr>
                <w:rFonts w:ascii="宋体" w:hAnsi="宋体" w:cs="宋体" w:eastAsia="宋体" w:hint="default"/>
                <w:sz w:val="15"/>
                <w:szCs w:val="15"/>
              </w:rPr>
              <w:t>生产与中 试基地</w:t>
            </w:r>
            <w:r>
              <w:rPr>
                <w:rFonts w:ascii="宋体" w:hAnsi="宋体" w:cs="宋体" w:eastAsia="宋体" w:hint="default"/>
                <w:sz w:val="15"/>
                <w:szCs w:val="15"/>
              </w:rPr>
              <w:t>/ </w:t>
            </w:r>
            <w:r>
              <w:rPr>
                <w:rFonts w:ascii="宋体" w:hAnsi="宋体" w:cs="宋体" w:eastAsia="宋体" w:hint="default"/>
                <w:sz w:val="15"/>
                <w:szCs w:val="15"/>
              </w:rPr>
              <w:t>厂房一、 二</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center"/>
              <w:rPr>
                <w:rFonts w:ascii="宋体" w:hAnsi="宋体" w:cs="宋体" w:eastAsia="宋体" w:hint="default"/>
                <w:sz w:val="15"/>
                <w:szCs w:val="15"/>
              </w:rPr>
            </w:pPr>
            <w:r>
              <w:rPr>
                <w:rFonts w:ascii="宋体"/>
                <w:sz w:val="15"/>
              </w:rPr>
              <w:t>50,000,000.00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5,602,494.39</w:t>
            </w:r>
          </w:p>
        </w:tc>
        <w:tc>
          <w:tcPr>
            <w:tcW w:w="1069"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5,602,494.39</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133.58%</w:t>
            </w:r>
          </w:p>
        </w:tc>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100.00</w:t>
            </w:r>
          </w:p>
        </w:tc>
        <w:tc>
          <w:tcPr>
            <w:tcW w:w="106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1" w:lineRule="auto"/>
              <w:ind w:left="20" w:right="147"/>
              <w:jc w:val="left"/>
              <w:rPr>
                <w:rFonts w:ascii="宋体" w:hAnsi="宋体" w:cs="宋体" w:eastAsia="宋体" w:hint="default"/>
                <w:sz w:val="15"/>
                <w:szCs w:val="15"/>
              </w:rPr>
            </w:pPr>
            <w:r>
              <w:rPr>
                <w:rFonts w:ascii="宋体" w:hAnsi="宋体" w:cs="宋体" w:eastAsia="宋体" w:hint="default"/>
                <w:sz w:val="15"/>
                <w:szCs w:val="15"/>
              </w:rPr>
              <w:t>募股 资金</w:t>
            </w:r>
          </w:p>
        </w:tc>
      </w:tr>
      <w:tr>
        <w:trPr>
          <w:trHeight w:val="1343" w:hRule="exact"/>
        </w:trPr>
        <w:tc>
          <w:tcPr>
            <w:tcW w:w="69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74"/>
              <w:ind w:left="13" w:right="61"/>
              <w:jc w:val="left"/>
              <w:rPr>
                <w:rFonts w:ascii="宋体" w:hAnsi="宋体" w:cs="宋体" w:eastAsia="宋体" w:hint="default"/>
                <w:sz w:val="15"/>
                <w:szCs w:val="15"/>
              </w:rPr>
            </w:pPr>
            <w:r>
              <w:rPr>
                <w:rFonts w:ascii="宋体" w:hAnsi="宋体" w:cs="宋体" w:eastAsia="宋体" w:hint="default"/>
                <w:sz w:val="15"/>
                <w:szCs w:val="15"/>
              </w:rPr>
              <w:t>生产与中 试基地</w:t>
            </w:r>
            <w:r>
              <w:rPr>
                <w:rFonts w:ascii="宋体" w:hAnsi="宋体" w:cs="宋体" w:eastAsia="宋体" w:hint="default"/>
                <w:sz w:val="15"/>
                <w:szCs w:val="15"/>
              </w:rPr>
              <w:t>/ </w:t>
            </w:r>
            <w:r>
              <w:rPr>
                <w:rFonts w:ascii="宋体" w:hAnsi="宋体" w:cs="宋体" w:eastAsia="宋体" w:hint="default"/>
                <w:sz w:val="15"/>
                <w:szCs w:val="15"/>
              </w:rPr>
              <w:t>检验检测 大楼</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center"/>
              <w:rPr>
                <w:rFonts w:ascii="宋体" w:hAnsi="宋体" w:cs="宋体" w:eastAsia="宋体" w:hint="default"/>
                <w:sz w:val="15"/>
                <w:szCs w:val="15"/>
              </w:rPr>
            </w:pPr>
            <w:r>
              <w:rPr>
                <w:rFonts w:ascii="宋体"/>
                <w:sz w:val="15"/>
              </w:rPr>
              <w:t>28,000,000.00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115,196.58</w:t>
            </w:r>
          </w:p>
        </w:tc>
        <w:tc>
          <w:tcPr>
            <w:tcW w:w="1069"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115,196.58</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97.96%</w:t>
            </w:r>
          </w:p>
        </w:tc>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100.00</w:t>
            </w:r>
          </w:p>
        </w:tc>
        <w:tc>
          <w:tcPr>
            <w:tcW w:w="106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4" w:lineRule="auto"/>
              <w:ind w:left="20" w:right="147"/>
              <w:jc w:val="left"/>
              <w:rPr>
                <w:rFonts w:ascii="宋体" w:hAnsi="宋体" w:cs="宋体" w:eastAsia="宋体" w:hint="default"/>
                <w:sz w:val="15"/>
                <w:szCs w:val="15"/>
              </w:rPr>
            </w:pPr>
            <w:r>
              <w:rPr>
                <w:rFonts w:ascii="宋体" w:hAnsi="宋体" w:cs="宋体" w:eastAsia="宋体" w:hint="default"/>
                <w:sz w:val="15"/>
                <w:szCs w:val="15"/>
              </w:rPr>
              <w:t>募股 资金</w:t>
            </w:r>
          </w:p>
        </w:tc>
      </w:tr>
      <w:tr>
        <w:trPr>
          <w:trHeight w:val="1039" w:hRule="exact"/>
        </w:trPr>
        <w:tc>
          <w:tcPr>
            <w:tcW w:w="699" w:type="dxa"/>
            <w:tcBorders>
              <w:top w:val="single" w:sz="6" w:space="0" w:color="000000"/>
              <w:left w:val="single" w:sz="12" w:space="0" w:color="000000"/>
              <w:bottom w:val="single" w:sz="12" w:space="0" w:color="000000"/>
              <w:right w:val="single" w:sz="6" w:space="0" w:color="000000"/>
            </w:tcBorders>
          </w:tcPr>
          <w:p>
            <w:pPr>
              <w:pStyle w:val="TableParagraph"/>
              <w:spacing w:line="381" w:lineRule="auto" w:before="74"/>
              <w:ind w:left="13" w:right="61"/>
              <w:jc w:val="left"/>
              <w:rPr>
                <w:rFonts w:ascii="宋体" w:hAnsi="宋体" w:cs="宋体" w:eastAsia="宋体" w:hint="default"/>
                <w:sz w:val="15"/>
                <w:szCs w:val="15"/>
              </w:rPr>
            </w:pPr>
            <w:r>
              <w:rPr>
                <w:rFonts w:ascii="宋体" w:hAnsi="宋体" w:cs="宋体" w:eastAsia="宋体" w:hint="default"/>
                <w:sz w:val="15"/>
                <w:szCs w:val="15"/>
              </w:rPr>
              <w:t>生产与中 试基地</w:t>
            </w:r>
            <w:r>
              <w:rPr>
                <w:rFonts w:ascii="宋体" w:hAnsi="宋体" w:cs="宋体" w:eastAsia="宋体" w:hint="default"/>
                <w:sz w:val="15"/>
                <w:szCs w:val="15"/>
              </w:rPr>
              <w:t>/ </w:t>
            </w:r>
            <w:r>
              <w:rPr>
                <w:rFonts w:ascii="宋体" w:hAnsi="宋体" w:cs="宋体" w:eastAsia="宋体" w:hint="default"/>
                <w:sz w:val="15"/>
                <w:szCs w:val="15"/>
              </w:rPr>
              <w:t>综合楼</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 w:right="0"/>
              <w:jc w:val="center"/>
              <w:rPr>
                <w:rFonts w:ascii="宋体" w:hAnsi="宋体" w:cs="宋体" w:eastAsia="宋体" w:hint="default"/>
                <w:sz w:val="15"/>
                <w:szCs w:val="15"/>
              </w:rPr>
            </w:pPr>
            <w:r>
              <w:rPr>
                <w:rFonts w:ascii="宋体"/>
                <w:sz w:val="15"/>
              </w:rPr>
              <w:t>132,000,000.00</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8,895,643.97</w:t>
            </w:r>
          </w:p>
        </w:tc>
        <w:tc>
          <w:tcPr>
            <w:tcW w:w="1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3" w:right="0"/>
              <w:jc w:val="center"/>
              <w:rPr>
                <w:rFonts w:ascii="宋体" w:hAnsi="宋体" w:cs="宋体" w:eastAsia="宋体" w:hint="default"/>
                <w:sz w:val="15"/>
                <w:szCs w:val="15"/>
              </w:rPr>
            </w:pPr>
            <w:r>
              <w:rPr>
                <w:rFonts w:ascii="宋体"/>
                <w:sz w:val="15"/>
              </w:rPr>
              <w:t>1,406,066.65</w:t>
            </w:r>
          </w:p>
        </w:tc>
        <w:tc>
          <w:tcPr>
            <w:tcW w:w="993" w:type="dxa"/>
            <w:tcBorders>
              <w:top w:val="single" w:sz="6" w:space="0" w:color="000000"/>
              <w:left w:val="single" w:sz="6" w:space="0" w:color="000000"/>
              <w:bottom w:val="single" w:sz="12" w:space="0" w:color="000000"/>
              <w:right w:val="single" w:sz="6" w:space="0" w:color="000000"/>
            </w:tcBorders>
          </w:tcPr>
          <w:p>
            <w:pPr/>
          </w:p>
        </w:tc>
        <w:tc>
          <w:tcPr>
            <w:tcW w:w="775" w:type="dxa"/>
            <w:tcBorders>
              <w:top w:val="single" w:sz="6" w:space="0" w:color="000000"/>
              <w:left w:val="single" w:sz="6" w:space="0" w:color="000000"/>
              <w:bottom w:val="single" w:sz="12" w:space="0" w:color="000000"/>
              <w:right w:val="single" w:sz="6" w:space="0" w:color="000000"/>
            </w:tcBorders>
          </w:tcPr>
          <w:p>
            <w:pPr/>
          </w:p>
        </w:tc>
        <w:tc>
          <w:tcPr>
            <w:tcW w:w="11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10,301,710.62</w:t>
            </w:r>
          </w:p>
        </w:tc>
        <w:tc>
          <w:tcPr>
            <w:tcW w:w="6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159.92%</w:t>
            </w:r>
          </w:p>
        </w:tc>
        <w:tc>
          <w:tcPr>
            <w:tcW w:w="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100.00</w:t>
            </w:r>
          </w:p>
        </w:tc>
        <w:tc>
          <w:tcPr>
            <w:tcW w:w="1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5"/>
                <w:szCs w:val="15"/>
              </w:rPr>
            </w:pPr>
            <w:r>
              <w:rPr>
                <w:rFonts w:ascii="宋体"/>
                <w:sz w:val="15"/>
              </w:rPr>
              <w:t>11,725,054.78</w:t>
            </w:r>
          </w:p>
        </w:tc>
        <w:tc>
          <w:tcPr>
            <w:tcW w:w="992" w:type="dxa"/>
            <w:tcBorders>
              <w:top w:val="single" w:sz="6" w:space="0" w:color="000000"/>
              <w:left w:val="single" w:sz="6" w:space="0" w:color="000000"/>
              <w:bottom w:val="single" w:sz="12" w:space="0" w:color="000000"/>
              <w:right w:val="single" w:sz="6" w:space="0" w:color="000000"/>
            </w:tcBorders>
          </w:tcPr>
          <w:p>
            <w:pPr/>
          </w:p>
        </w:tc>
        <w:tc>
          <w:tcPr>
            <w:tcW w:w="634" w:type="dxa"/>
            <w:tcBorders>
              <w:top w:val="single" w:sz="6" w:space="0" w:color="000000"/>
              <w:left w:val="single" w:sz="6" w:space="0" w:color="000000"/>
              <w:bottom w:val="single" w:sz="12" w:space="0" w:color="000000"/>
              <w:right w:val="single" w:sz="6" w:space="0" w:color="000000"/>
            </w:tcBorders>
          </w:tcPr>
          <w:p>
            <w:pPr/>
          </w:p>
        </w:tc>
        <w:tc>
          <w:tcPr>
            <w:tcW w:w="4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20" w:right="147"/>
              <w:jc w:val="left"/>
              <w:rPr>
                <w:rFonts w:ascii="宋体" w:hAnsi="宋体" w:cs="宋体" w:eastAsia="宋体" w:hint="default"/>
                <w:sz w:val="15"/>
                <w:szCs w:val="15"/>
              </w:rPr>
            </w:pPr>
            <w:r>
              <w:rPr>
                <w:rFonts w:ascii="宋体" w:hAnsi="宋体" w:cs="宋体" w:eastAsia="宋体" w:hint="default"/>
                <w:sz w:val="15"/>
                <w:szCs w:val="15"/>
              </w:rPr>
              <w:t>募股 资金</w:t>
            </w:r>
          </w:p>
        </w:tc>
      </w:tr>
    </w:tbl>
    <w:p>
      <w:pPr>
        <w:spacing w:after="0" w:line="384" w:lineRule="auto"/>
        <w:jc w:val="left"/>
        <w:rPr>
          <w:rFonts w:ascii="宋体" w:hAnsi="宋体" w:cs="宋体" w:eastAsia="宋体" w:hint="default"/>
          <w:sz w:val="15"/>
          <w:szCs w:val="15"/>
        </w:rPr>
        <w:sectPr>
          <w:pgSz w:w="11910" w:h="16840"/>
          <w:pgMar w:header="877" w:footer="1000" w:top="1100" w:bottom="1180" w:left="200" w:right="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699"/>
        <w:gridCol w:w="1134"/>
        <w:gridCol w:w="1037"/>
        <w:gridCol w:w="1069"/>
        <w:gridCol w:w="993"/>
        <w:gridCol w:w="775"/>
        <w:gridCol w:w="1145"/>
        <w:gridCol w:w="622"/>
        <w:gridCol w:w="579"/>
        <w:gridCol w:w="1069"/>
        <w:gridCol w:w="992"/>
        <w:gridCol w:w="634"/>
        <w:gridCol w:w="491"/>
      </w:tblGrid>
      <w:tr>
        <w:trPr>
          <w:trHeight w:val="1270" w:hRule="exact"/>
        </w:trPr>
        <w:tc>
          <w:tcPr>
            <w:tcW w:w="69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4"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预算数</w:t>
            </w:r>
          </w:p>
        </w:tc>
        <w:tc>
          <w:tcPr>
            <w:tcW w:w="10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0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77"/>
              <w:jc w:val="right"/>
              <w:rPr>
                <w:rFonts w:ascii="宋体" w:hAnsi="宋体" w:cs="宋体" w:eastAsia="宋体" w:hint="default"/>
                <w:sz w:val="15"/>
                <w:szCs w:val="15"/>
              </w:rPr>
            </w:pPr>
            <w:r>
              <w:rPr>
                <w:rFonts w:ascii="宋体" w:hAnsi="宋体" w:cs="宋体" w:eastAsia="宋体" w:hint="default"/>
                <w:sz w:val="15"/>
                <w:szCs w:val="15"/>
              </w:rPr>
              <w:t>本期增加金额</w:t>
            </w:r>
          </w:p>
        </w:tc>
        <w:tc>
          <w:tcPr>
            <w:tcW w:w="9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189" w:right="36" w:hanging="150"/>
              <w:jc w:val="left"/>
              <w:rPr>
                <w:rFonts w:ascii="宋体" w:hAnsi="宋体" w:cs="宋体" w:eastAsia="宋体" w:hint="default"/>
                <w:sz w:val="15"/>
                <w:szCs w:val="15"/>
              </w:rPr>
            </w:pPr>
            <w:r>
              <w:rPr>
                <w:rFonts w:ascii="宋体" w:hAnsi="宋体" w:cs="宋体" w:eastAsia="宋体" w:hint="default"/>
                <w:sz w:val="15"/>
                <w:szCs w:val="15"/>
              </w:rPr>
              <w:t>本期转入固定 资产金额</w:t>
            </w:r>
          </w:p>
        </w:tc>
        <w:tc>
          <w:tcPr>
            <w:tcW w:w="7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79" w:right="79"/>
              <w:jc w:val="left"/>
              <w:rPr>
                <w:rFonts w:ascii="宋体" w:hAnsi="宋体" w:cs="宋体" w:eastAsia="宋体" w:hint="default"/>
                <w:sz w:val="15"/>
                <w:szCs w:val="15"/>
              </w:rPr>
            </w:pPr>
            <w:r>
              <w:rPr>
                <w:rFonts w:ascii="宋体" w:hAnsi="宋体" w:cs="宋体" w:eastAsia="宋体" w:hint="default"/>
                <w:sz w:val="15"/>
                <w:szCs w:val="15"/>
              </w:rPr>
              <w:t>本期其他 减少金额</w:t>
            </w:r>
          </w:p>
        </w:tc>
        <w:tc>
          <w:tcPr>
            <w:tcW w:w="11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6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6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81" w:lineRule="auto" w:before="33"/>
              <w:ind w:left="77" w:right="77"/>
              <w:jc w:val="both"/>
              <w:rPr>
                <w:rFonts w:ascii="宋体" w:hAnsi="宋体" w:cs="宋体" w:eastAsia="宋体" w:hint="default"/>
                <w:sz w:val="15"/>
                <w:szCs w:val="15"/>
              </w:rPr>
            </w:pPr>
            <w:r>
              <w:rPr>
                <w:rFonts w:ascii="宋体" w:hAnsi="宋体" w:cs="宋体" w:eastAsia="宋体" w:hint="default"/>
                <w:sz w:val="15"/>
                <w:szCs w:val="15"/>
              </w:rPr>
              <w:t>工程累 计投入 占预算 比例</w:t>
            </w:r>
          </w:p>
        </w:tc>
        <w:tc>
          <w:tcPr>
            <w:tcW w:w="5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207" w:right="54" w:hanging="150"/>
              <w:jc w:val="left"/>
              <w:rPr>
                <w:rFonts w:ascii="宋体" w:hAnsi="宋体" w:cs="宋体" w:eastAsia="宋体" w:hint="default"/>
                <w:sz w:val="15"/>
                <w:szCs w:val="15"/>
              </w:rPr>
            </w:pPr>
            <w:r>
              <w:rPr>
                <w:rFonts w:ascii="宋体" w:hAnsi="宋体" w:cs="宋体" w:eastAsia="宋体" w:hint="default"/>
                <w:sz w:val="15"/>
                <w:szCs w:val="15"/>
              </w:rPr>
              <w:t>工程进 度</w:t>
            </w:r>
          </w:p>
        </w:tc>
        <w:tc>
          <w:tcPr>
            <w:tcW w:w="10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301" w:right="77" w:hanging="225"/>
              <w:jc w:val="left"/>
              <w:rPr>
                <w:rFonts w:ascii="宋体" w:hAnsi="宋体" w:cs="宋体" w:eastAsia="宋体" w:hint="default"/>
                <w:sz w:val="15"/>
                <w:szCs w:val="15"/>
              </w:rPr>
            </w:pPr>
            <w:r>
              <w:rPr>
                <w:rFonts w:ascii="宋体" w:hAnsi="宋体" w:cs="宋体" w:eastAsia="宋体" w:hint="default"/>
                <w:sz w:val="15"/>
                <w:szCs w:val="15"/>
              </w:rPr>
              <w:t>利息资本化累 计金额</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38" w:right="37"/>
              <w:jc w:val="left"/>
              <w:rPr>
                <w:rFonts w:ascii="宋体" w:hAnsi="宋体" w:cs="宋体" w:eastAsia="宋体" w:hint="default"/>
                <w:sz w:val="15"/>
                <w:szCs w:val="15"/>
              </w:rPr>
            </w:pPr>
            <w:r>
              <w:rPr>
                <w:rFonts w:ascii="宋体" w:hAnsi="宋体" w:cs="宋体" w:eastAsia="宋体" w:hint="default"/>
                <w:sz w:val="15"/>
                <w:szCs w:val="15"/>
              </w:rPr>
              <w:t>其中：本期利 息资本化金额</w:t>
            </w:r>
          </w:p>
        </w:tc>
        <w:tc>
          <w:tcPr>
            <w:tcW w:w="6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85" w:right="83"/>
              <w:jc w:val="both"/>
              <w:rPr>
                <w:rFonts w:ascii="宋体" w:hAnsi="宋体" w:cs="宋体" w:eastAsia="宋体" w:hint="default"/>
                <w:sz w:val="15"/>
                <w:szCs w:val="15"/>
              </w:rPr>
            </w:pPr>
            <w:r>
              <w:rPr>
                <w:rFonts w:ascii="宋体" w:hAnsi="宋体" w:cs="宋体" w:eastAsia="宋体" w:hint="default"/>
                <w:sz w:val="15"/>
                <w:szCs w:val="15"/>
              </w:rPr>
              <w:t>本期利 息资本 化率</w:t>
            </w:r>
          </w:p>
        </w:tc>
        <w:tc>
          <w:tcPr>
            <w:tcW w:w="4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87" w:right="78"/>
              <w:jc w:val="left"/>
              <w:rPr>
                <w:rFonts w:ascii="宋体" w:hAnsi="宋体" w:cs="宋体" w:eastAsia="宋体" w:hint="default"/>
                <w:sz w:val="15"/>
                <w:szCs w:val="15"/>
              </w:rPr>
            </w:pPr>
            <w:r>
              <w:rPr>
                <w:rFonts w:ascii="宋体" w:hAnsi="宋体" w:cs="宋体" w:eastAsia="宋体" w:hint="default"/>
                <w:sz w:val="15"/>
                <w:szCs w:val="15"/>
              </w:rPr>
              <w:t>资金 来源</w:t>
            </w:r>
          </w:p>
        </w:tc>
      </w:tr>
      <w:tr>
        <w:trPr>
          <w:trHeight w:val="1343" w:hRule="exact"/>
        </w:trPr>
        <w:tc>
          <w:tcPr>
            <w:tcW w:w="69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75"/>
              <w:ind w:left="13" w:right="61"/>
              <w:jc w:val="left"/>
              <w:rPr>
                <w:rFonts w:ascii="宋体" w:hAnsi="宋体" w:cs="宋体" w:eastAsia="宋体" w:hint="default"/>
                <w:sz w:val="15"/>
                <w:szCs w:val="15"/>
              </w:rPr>
            </w:pPr>
            <w:r>
              <w:rPr>
                <w:rFonts w:ascii="宋体" w:hAnsi="宋体" w:cs="宋体" w:eastAsia="宋体" w:hint="default"/>
                <w:sz w:val="15"/>
                <w:szCs w:val="15"/>
              </w:rPr>
              <w:t>生产与中 试基地</w:t>
            </w:r>
            <w:r>
              <w:rPr>
                <w:rFonts w:ascii="宋体" w:hAnsi="宋体" w:cs="宋体" w:eastAsia="宋体" w:hint="default"/>
                <w:sz w:val="15"/>
                <w:szCs w:val="15"/>
              </w:rPr>
              <w:t>/ </w:t>
            </w:r>
            <w:r>
              <w:rPr>
                <w:rFonts w:ascii="宋体" w:hAnsi="宋体" w:cs="宋体" w:eastAsia="宋体" w:hint="default"/>
                <w:sz w:val="15"/>
                <w:szCs w:val="15"/>
              </w:rPr>
              <w:t>生产厂房 三</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center"/>
              <w:rPr>
                <w:rFonts w:ascii="宋体" w:hAnsi="宋体" w:cs="宋体" w:eastAsia="宋体" w:hint="default"/>
                <w:sz w:val="15"/>
                <w:szCs w:val="15"/>
              </w:rPr>
            </w:pPr>
            <w:r>
              <w:rPr>
                <w:rFonts w:ascii="宋体"/>
                <w:sz w:val="15"/>
              </w:rPr>
              <w:t>39,800,000.00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8,739,982.46</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14,543,892.32</w:t>
            </w:r>
          </w:p>
        </w:tc>
        <w:tc>
          <w:tcPr>
            <w:tcW w:w="993"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23,283,874.78</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6" w:right="0"/>
              <w:jc w:val="center"/>
              <w:rPr>
                <w:rFonts w:ascii="宋体" w:hAnsi="宋体" w:cs="宋体" w:eastAsia="宋体" w:hint="default"/>
                <w:sz w:val="15"/>
                <w:szCs w:val="15"/>
              </w:rPr>
            </w:pPr>
            <w:r>
              <w:rPr>
                <w:rFonts w:ascii="宋体"/>
                <w:sz w:val="15"/>
              </w:rPr>
              <w:t>58.50%</w:t>
            </w:r>
          </w:p>
        </w:tc>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58.50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1" w:right="0"/>
              <w:jc w:val="center"/>
              <w:rPr>
                <w:rFonts w:ascii="宋体" w:hAnsi="宋体" w:cs="宋体" w:eastAsia="宋体" w:hint="default"/>
                <w:sz w:val="15"/>
                <w:szCs w:val="15"/>
              </w:rPr>
            </w:pPr>
            <w:r>
              <w:rPr>
                <w:rFonts w:ascii="宋体"/>
                <w:sz w:val="15"/>
              </w:rPr>
              <w:t>2,121,391.00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2,121,391.00</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100.00%</w:t>
            </w:r>
          </w:p>
        </w:tc>
        <w:tc>
          <w:tcPr>
            <w:tcW w:w="4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47"/>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719" w:hRule="exact"/>
        </w:trPr>
        <w:tc>
          <w:tcPr>
            <w:tcW w:w="69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75"/>
              <w:ind w:left="13" w:right="61"/>
              <w:jc w:val="left"/>
              <w:rPr>
                <w:rFonts w:ascii="宋体" w:hAnsi="宋体" w:cs="宋体" w:eastAsia="宋体" w:hint="default"/>
                <w:sz w:val="15"/>
                <w:szCs w:val="15"/>
              </w:rPr>
            </w:pPr>
            <w:r>
              <w:rPr>
                <w:rFonts w:ascii="宋体" w:hAnsi="宋体" w:cs="宋体" w:eastAsia="宋体" w:hint="default"/>
                <w:sz w:val="15"/>
                <w:szCs w:val="15"/>
              </w:rPr>
              <w:t>表箱自能 化项目</w:t>
            </w:r>
          </w:p>
        </w:tc>
        <w:tc>
          <w:tcPr>
            <w:tcW w:w="1134"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1,263,247.87</w:t>
            </w:r>
          </w:p>
        </w:tc>
        <w:tc>
          <w:tcPr>
            <w:tcW w:w="993"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1,263,247.87</w:t>
            </w:r>
          </w:p>
        </w:tc>
        <w:tc>
          <w:tcPr>
            <w:tcW w:w="622" w:type="dxa"/>
            <w:tcBorders>
              <w:top w:val="single" w:sz="6" w:space="0" w:color="000000"/>
              <w:left w:val="single" w:sz="6" w:space="0" w:color="000000"/>
              <w:bottom w:val="single" w:sz="6" w:space="0" w:color="000000"/>
              <w:right w:val="single" w:sz="6" w:space="0" w:color="000000"/>
            </w:tcBorders>
          </w:tcPr>
          <w:p>
            <w:pPr/>
          </w:p>
        </w:tc>
        <w:tc>
          <w:tcPr>
            <w:tcW w:w="579"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47"/>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719" w:hRule="exact"/>
        </w:trPr>
        <w:tc>
          <w:tcPr>
            <w:tcW w:w="69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75"/>
              <w:ind w:left="13" w:right="61"/>
              <w:jc w:val="left"/>
              <w:rPr>
                <w:rFonts w:ascii="宋体" w:hAnsi="宋体" w:cs="宋体" w:eastAsia="宋体" w:hint="default"/>
                <w:sz w:val="15"/>
                <w:szCs w:val="15"/>
              </w:rPr>
            </w:pPr>
            <w:r>
              <w:rPr>
                <w:rFonts w:ascii="宋体" w:hAnsi="宋体" w:cs="宋体" w:eastAsia="宋体" w:hint="default"/>
                <w:sz w:val="15"/>
                <w:szCs w:val="15"/>
              </w:rPr>
              <w:t>睿博公司 一期工程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15"/>
                <w:szCs w:val="15"/>
              </w:rPr>
            </w:pPr>
            <w:r>
              <w:rPr>
                <w:rFonts w:ascii="宋体"/>
                <w:sz w:val="15"/>
              </w:rPr>
              <w:t>58,340,000.00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55,968,087.89</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6,233,639.52</w:t>
            </w:r>
          </w:p>
        </w:tc>
        <w:tc>
          <w:tcPr>
            <w:tcW w:w="993"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62,201,727.41</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2" w:right="0"/>
              <w:jc w:val="center"/>
              <w:rPr>
                <w:rFonts w:ascii="宋体" w:hAnsi="宋体" w:cs="宋体" w:eastAsia="宋体" w:hint="default"/>
                <w:sz w:val="15"/>
                <w:szCs w:val="15"/>
              </w:rPr>
            </w:pPr>
            <w:r>
              <w:rPr>
                <w:rFonts w:ascii="宋体"/>
                <w:sz w:val="15"/>
              </w:rPr>
              <w:t>106.62%</w:t>
            </w:r>
          </w:p>
        </w:tc>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98.00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1" w:right="0"/>
              <w:jc w:val="center"/>
              <w:rPr>
                <w:rFonts w:ascii="宋体" w:hAnsi="宋体" w:cs="宋体" w:eastAsia="宋体" w:hint="default"/>
                <w:sz w:val="15"/>
                <w:szCs w:val="15"/>
              </w:rPr>
            </w:pPr>
            <w:r>
              <w:rPr>
                <w:rFonts w:ascii="宋体"/>
                <w:sz w:val="15"/>
              </w:rPr>
              <w:t>3,731,399.74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698,381.97</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100.00%</w:t>
            </w:r>
          </w:p>
        </w:tc>
        <w:tc>
          <w:tcPr>
            <w:tcW w:w="4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47"/>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720" w:hRule="exact"/>
        </w:trPr>
        <w:tc>
          <w:tcPr>
            <w:tcW w:w="69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75"/>
              <w:ind w:left="13" w:right="61"/>
              <w:jc w:val="left"/>
              <w:rPr>
                <w:rFonts w:ascii="宋体" w:hAnsi="宋体" w:cs="宋体" w:eastAsia="宋体" w:hint="default"/>
                <w:sz w:val="15"/>
                <w:szCs w:val="15"/>
              </w:rPr>
            </w:pPr>
            <w:r>
              <w:rPr>
                <w:rFonts w:ascii="宋体" w:hAnsi="宋体" w:cs="宋体" w:eastAsia="宋体" w:hint="default"/>
                <w:sz w:val="15"/>
                <w:szCs w:val="15"/>
              </w:rPr>
              <w:t>园林景观 改造工程</w:t>
            </w:r>
          </w:p>
        </w:tc>
        <w:tc>
          <w:tcPr>
            <w:tcW w:w="1134"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1,147,572.82</w:t>
            </w:r>
          </w:p>
        </w:tc>
        <w:tc>
          <w:tcPr>
            <w:tcW w:w="1069"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1,147,572.82</w:t>
            </w:r>
          </w:p>
        </w:tc>
        <w:tc>
          <w:tcPr>
            <w:tcW w:w="775"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2" w:right="0"/>
              <w:jc w:val="center"/>
              <w:rPr>
                <w:rFonts w:ascii="宋体" w:hAnsi="宋体" w:cs="宋体" w:eastAsia="宋体" w:hint="default"/>
                <w:sz w:val="15"/>
                <w:szCs w:val="15"/>
              </w:rPr>
            </w:pPr>
            <w:r>
              <w:rPr>
                <w:rFonts w:ascii="宋体"/>
                <w:sz w:val="15"/>
              </w:rPr>
              <w:t>100.00%</w:t>
            </w:r>
          </w:p>
        </w:tc>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100.00</w:t>
            </w:r>
          </w:p>
        </w:tc>
        <w:tc>
          <w:tcPr>
            <w:tcW w:w="106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47"/>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719" w:hRule="exact"/>
        </w:trPr>
        <w:tc>
          <w:tcPr>
            <w:tcW w:w="69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74"/>
              <w:ind w:left="13" w:right="61"/>
              <w:jc w:val="left"/>
              <w:rPr>
                <w:rFonts w:ascii="宋体" w:hAnsi="宋体" w:cs="宋体" w:eastAsia="宋体" w:hint="default"/>
                <w:sz w:val="15"/>
                <w:szCs w:val="15"/>
              </w:rPr>
            </w:pPr>
            <w:r>
              <w:rPr>
                <w:rFonts w:ascii="宋体" w:hAnsi="宋体" w:cs="宋体" w:eastAsia="宋体" w:hint="default"/>
                <w:sz w:val="15"/>
                <w:szCs w:val="15"/>
              </w:rPr>
              <w:t>办公自动 化项目</w:t>
            </w:r>
          </w:p>
        </w:tc>
        <w:tc>
          <w:tcPr>
            <w:tcW w:w="1134"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290,920.83</w:t>
            </w:r>
          </w:p>
        </w:tc>
        <w:tc>
          <w:tcPr>
            <w:tcW w:w="1069"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290,920.83</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2" w:right="0"/>
              <w:jc w:val="center"/>
              <w:rPr>
                <w:rFonts w:ascii="宋体" w:hAnsi="宋体" w:cs="宋体" w:eastAsia="宋体" w:hint="default"/>
                <w:sz w:val="15"/>
                <w:szCs w:val="15"/>
              </w:rPr>
            </w:pPr>
            <w:r>
              <w:rPr>
                <w:rFonts w:ascii="宋体"/>
                <w:sz w:val="15"/>
              </w:rPr>
              <w:t>100.00%</w:t>
            </w:r>
          </w:p>
        </w:tc>
        <w:tc>
          <w:tcPr>
            <w:tcW w:w="579"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7"/>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1031" w:hRule="exact"/>
        </w:trPr>
        <w:tc>
          <w:tcPr>
            <w:tcW w:w="69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74"/>
              <w:ind w:left="13" w:right="61"/>
              <w:jc w:val="left"/>
              <w:rPr>
                <w:rFonts w:ascii="宋体" w:hAnsi="宋体" w:cs="宋体" w:eastAsia="宋体" w:hint="default"/>
                <w:sz w:val="15"/>
                <w:szCs w:val="15"/>
              </w:rPr>
            </w:pPr>
            <w:r>
              <w:rPr>
                <w:rFonts w:ascii="宋体" w:hAnsi="宋体" w:cs="宋体" w:eastAsia="宋体" w:hint="default"/>
                <w:sz w:val="15"/>
                <w:szCs w:val="15"/>
              </w:rPr>
              <w:t>索瑞义乌 商品房</w:t>
            </w:r>
          </w:p>
          <w:p>
            <w:pPr>
              <w:pStyle w:val="TableParagraph"/>
              <w:spacing w:line="240" w:lineRule="auto" w:before="28"/>
              <w:ind w:left="13" w:right="0"/>
              <w:jc w:val="left"/>
              <w:rPr>
                <w:rFonts w:ascii="宋体" w:hAnsi="宋体" w:cs="宋体" w:eastAsia="宋体" w:hint="default"/>
                <w:sz w:val="15"/>
                <w:szCs w:val="15"/>
              </w:rPr>
            </w:pPr>
            <w:r>
              <w:rPr>
                <w:rFonts w:ascii="宋体" w:hAnsi="宋体" w:cs="宋体" w:eastAsia="宋体" w:hint="default"/>
                <w:sz w:val="15"/>
                <w:szCs w:val="15"/>
              </w:rPr>
              <w:t>（毛坯）</w:t>
            </w:r>
          </w:p>
        </w:tc>
        <w:tc>
          <w:tcPr>
            <w:tcW w:w="1134"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282,070.00</w:t>
            </w:r>
          </w:p>
        </w:tc>
        <w:tc>
          <w:tcPr>
            <w:tcW w:w="1069"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13,431.90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268,638.10</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2" w:right="0"/>
              <w:jc w:val="center"/>
              <w:rPr>
                <w:rFonts w:ascii="宋体" w:hAnsi="宋体" w:cs="宋体" w:eastAsia="宋体" w:hint="default"/>
                <w:sz w:val="15"/>
                <w:szCs w:val="15"/>
              </w:rPr>
            </w:pPr>
            <w:r>
              <w:rPr>
                <w:rFonts w:ascii="宋体"/>
                <w:sz w:val="15"/>
              </w:rPr>
              <w:t>100.00%</w:t>
            </w:r>
          </w:p>
        </w:tc>
        <w:tc>
          <w:tcPr>
            <w:tcW w:w="579"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47"/>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407" w:hRule="exact"/>
        </w:trPr>
        <w:tc>
          <w:tcPr>
            <w:tcW w:w="6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13" w:right="0"/>
              <w:jc w:val="left"/>
              <w:rPr>
                <w:rFonts w:ascii="宋体" w:hAnsi="宋体" w:cs="宋体" w:eastAsia="宋体" w:hint="default"/>
                <w:sz w:val="15"/>
                <w:szCs w:val="15"/>
              </w:rPr>
            </w:pPr>
            <w:r>
              <w:rPr>
                <w:rFonts w:ascii="宋体" w:hAnsi="宋体" w:cs="宋体" w:eastAsia="宋体" w:hint="default"/>
                <w:sz w:val="15"/>
                <w:szCs w:val="15"/>
              </w:rPr>
              <w:t>设备安装</w:t>
            </w:r>
          </w:p>
        </w:tc>
        <w:tc>
          <w:tcPr>
            <w:tcW w:w="1134"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983,299.32</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983,299.32</w:t>
            </w:r>
          </w:p>
        </w:tc>
        <w:tc>
          <w:tcPr>
            <w:tcW w:w="775"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0.00</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2" w:right="0"/>
              <w:jc w:val="center"/>
              <w:rPr>
                <w:rFonts w:ascii="宋体" w:hAnsi="宋体" w:cs="宋体" w:eastAsia="宋体" w:hint="default"/>
                <w:sz w:val="15"/>
                <w:szCs w:val="15"/>
              </w:rPr>
            </w:pPr>
            <w:r>
              <w:rPr>
                <w:rFonts w:ascii="宋体"/>
                <w:sz w:val="15"/>
              </w:rPr>
              <w:t>100.00%</w:t>
            </w:r>
          </w:p>
        </w:tc>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8"/>
              <w:jc w:val="right"/>
              <w:rPr>
                <w:rFonts w:ascii="宋体" w:hAnsi="宋体" w:cs="宋体" w:eastAsia="宋体" w:hint="default"/>
                <w:sz w:val="15"/>
                <w:szCs w:val="15"/>
              </w:rPr>
            </w:pPr>
            <w:r>
              <w:rPr>
                <w:rFonts w:ascii="宋体"/>
                <w:spacing w:val="-1"/>
                <w:sz w:val="15"/>
              </w:rPr>
              <w:t>100.00</w:t>
            </w:r>
          </w:p>
        </w:tc>
        <w:tc>
          <w:tcPr>
            <w:tcW w:w="106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69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76"/>
              <w:ind w:left="1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27" w:right="0"/>
              <w:jc w:val="center"/>
              <w:rPr>
                <w:rFonts w:ascii="宋体" w:hAnsi="宋体" w:cs="宋体" w:eastAsia="宋体" w:hint="default"/>
                <w:sz w:val="15"/>
                <w:szCs w:val="15"/>
              </w:rPr>
            </w:pPr>
            <w:r>
              <w:rPr>
                <w:rFonts w:ascii="宋体"/>
                <w:sz w:val="15"/>
              </w:rPr>
              <w:t>308,140,000.00</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8"/>
              <w:jc w:val="right"/>
              <w:rPr>
                <w:rFonts w:ascii="宋体" w:hAnsi="宋体" w:cs="宋体" w:eastAsia="宋体" w:hint="default"/>
                <w:sz w:val="15"/>
                <w:szCs w:val="15"/>
              </w:rPr>
            </w:pPr>
            <w:r>
              <w:rPr>
                <w:rFonts w:ascii="宋体"/>
                <w:spacing w:val="-1"/>
                <w:sz w:val="15"/>
              </w:rPr>
              <w:t>81,041,968.94</w:t>
            </w:r>
          </w:p>
        </w:tc>
        <w:tc>
          <w:tcPr>
            <w:tcW w:w="1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8"/>
              <w:jc w:val="right"/>
              <w:rPr>
                <w:rFonts w:ascii="宋体" w:hAnsi="宋体" w:cs="宋体" w:eastAsia="宋体" w:hint="default"/>
                <w:sz w:val="15"/>
                <w:szCs w:val="15"/>
              </w:rPr>
            </w:pPr>
            <w:r>
              <w:rPr>
                <w:rFonts w:ascii="宋体"/>
                <w:spacing w:val="-1"/>
                <w:sz w:val="15"/>
              </w:rPr>
              <w:t>24,430,145.68</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9"/>
              <w:jc w:val="right"/>
              <w:rPr>
                <w:rFonts w:ascii="宋体" w:hAnsi="宋体" w:cs="宋体" w:eastAsia="宋体" w:hint="default"/>
                <w:sz w:val="15"/>
                <w:szCs w:val="15"/>
              </w:rPr>
            </w:pPr>
            <w:r>
              <w:rPr>
                <w:rFonts w:ascii="宋体"/>
                <w:spacing w:val="-1"/>
                <w:sz w:val="15"/>
              </w:rPr>
              <w:t>2,130,872.14</w:t>
            </w:r>
          </w:p>
        </w:tc>
        <w:tc>
          <w:tcPr>
            <w:tcW w:w="7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9"/>
              <w:jc w:val="right"/>
              <w:rPr>
                <w:rFonts w:ascii="宋体" w:hAnsi="宋体" w:cs="宋体" w:eastAsia="宋体" w:hint="default"/>
                <w:sz w:val="15"/>
                <w:szCs w:val="15"/>
              </w:rPr>
            </w:pPr>
            <w:r>
              <w:rPr>
                <w:rFonts w:ascii="宋体"/>
                <w:spacing w:val="-1"/>
                <w:sz w:val="15"/>
              </w:rPr>
              <w:t>13,431.90</w:t>
            </w:r>
          </w:p>
        </w:tc>
        <w:tc>
          <w:tcPr>
            <w:tcW w:w="1145" w:type="dxa"/>
            <w:tcBorders>
              <w:top w:val="single" w:sz="6" w:space="0" w:color="000000"/>
              <w:left w:val="single" w:sz="6" w:space="0" w:color="000000"/>
              <w:bottom w:val="single" w:sz="12" w:space="0" w:color="000000"/>
              <w:right w:val="single" w:sz="8" w:space="0" w:color="D2D2D2"/>
            </w:tcBorders>
          </w:tcPr>
          <w:p>
            <w:pPr>
              <w:pStyle w:val="TableParagraph"/>
              <w:spacing w:line="240" w:lineRule="auto" w:before="76"/>
              <w:ind w:right="17"/>
              <w:jc w:val="right"/>
              <w:rPr>
                <w:rFonts w:ascii="宋体" w:hAnsi="宋体" w:cs="宋体" w:eastAsia="宋体" w:hint="default"/>
                <w:sz w:val="15"/>
                <w:szCs w:val="15"/>
              </w:rPr>
            </w:pPr>
            <w:r>
              <w:rPr>
                <w:rFonts w:ascii="宋体"/>
                <w:spacing w:val="-1"/>
                <w:sz w:val="15"/>
              </w:rPr>
              <w:t>103,327,810.58</w:t>
            </w:r>
          </w:p>
        </w:tc>
        <w:tc>
          <w:tcPr>
            <w:tcW w:w="62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76"/>
              <w:ind w:right="0"/>
              <w:jc w:val="center"/>
              <w:rPr>
                <w:rFonts w:ascii="宋体" w:hAnsi="宋体" w:cs="宋体" w:eastAsia="宋体" w:hint="default"/>
                <w:sz w:val="15"/>
                <w:szCs w:val="15"/>
              </w:rPr>
            </w:pPr>
            <w:r>
              <w:rPr>
                <w:rFonts w:ascii="宋体"/>
                <w:sz w:val="15"/>
              </w:rPr>
              <w:t>--</w:t>
            </w:r>
          </w:p>
        </w:tc>
        <w:tc>
          <w:tcPr>
            <w:tcW w:w="57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76"/>
              <w:ind w:left="2" w:right="0"/>
              <w:jc w:val="center"/>
              <w:rPr>
                <w:rFonts w:ascii="宋体" w:hAnsi="宋体" w:cs="宋体" w:eastAsia="宋体" w:hint="default"/>
                <w:sz w:val="15"/>
                <w:szCs w:val="15"/>
              </w:rPr>
            </w:pPr>
            <w:r>
              <w:rPr>
                <w:rFonts w:ascii="宋体"/>
                <w:sz w:val="15"/>
              </w:rPr>
              <w:t>--</w:t>
            </w:r>
          </w:p>
        </w:tc>
        <w:tc>
          <w:tcPr>
            <w:tcW w:w="1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36" w:right="0"/>
              <w:jc w:val="center"/>
              <w:rPr>
                <w:rFonts w:ascii="宋体" w:hAnsi="宋体" w:cs="宋体" w:eastAsia="宋体" w:hint="default"/>
                <w:sz w:val="15"/>
                <w:szCs w:val="15"/>
              </w:rPr>
            </w:pPr>
            <w:r>
              <w:rPr>
                <w:rFonts w:ascii="宋体"/>
                <w:sz w:val="15"/>
              </w:rPr>
              <w:t>17,577,845.52</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8"/>
              <w:jc w:val="right"/>
              <w:rPr>
                <w:rFonts w:ascii="宋体" w:hAnsi="宋体" w:cs="宋体" w:eastAsia="宋体" w:hint="default"/>
                <w:sz w:val="15"/>
                <w:szCs w:val="15"/>
              </w:rPr>
            </w:pPr>
            <w:r>
              <w:rPr>
                <w:rFonts w:ascii="宋体"/>
                <w:spacing w:val="-1"/>
                <w:sz w:val="15"/>
              </w:rPr>
              <w:t>2,819,772.97</w:t>
            </w:r>
          </w:p>
        </w:tc>
        <w:tc>
          <w:tcPr>
            <w:tcW w:w="634" w:type="dxa"/>
            <w:tcBorders>
              <w:top w:val="single" w:sz="6" w:space="0" w:color="000000"/>
              <w:left w:val="single" w:sz="6" w:space="0" w:color="000000"/>
              <w:bottom w:val="single" w:sz="12" w:space="0" w:color="000000"/>
              <w:right w:val="single" w:sz="8" w:space="0" w:color="D2D2D2"/>
            </w:tcBorders>
          </w:tcPr>
          <w:p>
            <w:pPr/>
          </w:p>
        </w:tc>
        <w:tc>
          <w:tcPr>
            <w:tcW w:w="49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76"/>
              <w:ind w:right="153"/>
              <w:jc w:val="right"/>
              <w:rPr>
                <w:rFonts w:ascii="宋体" w:hAnsi="宋体" w:cs="宋体" w:eastAsia="宋体" w:hint="default"/>
                <w:sz w:val="15"/>
                <w:szCs w:val="15"/>
              </w:rPr>
            </w:pPr>
            <w:r>
              <w:rPr>
                <w:rFonts w:ascii="宋体"/>
                <w:sz w:val="15"/>
              </w:rPr>
              <w:t>--</w:t>
            </w:r>
          </w:p>
        </w:tc>
      </w:tr>
    </w:tbl>
    <w:p>
      <w:pPr>
        <w:pStyle w:val="Heading4"/>
        <w:spacing w:line="240" w:lineRule="auto" w:before="63"/>
        <w:ind w:left="934" w:right="0"/>
        <w:jc w:val="left"/>
        <w:rPr>
          <w:b w:val="0"/>
          <w:bCs w:val="0"/>
        </w:rPr>
      </w:pPr>
      <w:bookmarkStart w:name="（3）本期计提在建工程减值准备情况" w:id="274"/>
      <w:bookmarkEnd w:id="274"/>
      <w:r>
        <w:rPr>
          <w:b w:val="0"/>
          <w:bCs w:val="0"/>
        </w:rPr>
      </w:r>
      <w:r>
        <w:rPr/>
        <w:t>（</w:t>
      </w:r>
      <w:r>
        <w:rPr>
          <w:rFonts w:ascii="宋体" w:hAnsi="宋体" w:cs="宋体" w:eastAsia="宋体" w:hint="default"/>
        </w:rPr>
        <w:t>3</w:t>
      </w:r>
      <w:r>
        <w:rPr/>
        <w:t>）本期计提在建工程减值准备情况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93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934" w:right="0"/>
        <w:jc w:val="left"/>
        <w:rPr>
          <w:b w:val="0"/>
          <w:bCs w:val="0"/>
        </w:rPr>
      </w:pPr>
      <w:bookmarkStart w:name="（4） 工程物资" w:id="275"/>
      <w:bookmarkEnd w:id="275"/>
      <w:r>
        <w:rPr>
          <w:b w:val="0"/>
          <w:bCs w:val="0"/>
        </w:rPr>
      </w:r>
      <w:r>
        <w:rPr/>
        <w:t>（</w:t>
      </w:r>
      <w:r>
        <w:rPr>
          <w:rFonts w:ascii="宋体" w:hAnsi="宋体" w:cs="宋体" w:eastAsia="宋体" w:hint="default"/>
        </w:rPr>
        <w:t>4</w:t>
      </w:r>
      <w:r>
        <w:rPr/>
        <w:t>）工程物资</w:t>
      </w:r>
      <w:r>
        <w:rPr>
          <w:b w:val="0"/>
          <w:bCs w:val="0"/>
        </w:rPr>
      </w:r>
    </w:p>
    <w:p>
      <w:pPr>
        <w:spacing w:line="240" w:lineRule="auto" w:before="10"/>
        <w:rPr>
          <w:rFonts w:ascii="宋体" w:hAnsi="宋体" w:cs="宋体" w:eastAsia="宋体" w:hint="default"/>
          <w:b/>
          <w:bCs/>
          <w:sz w:val="14"/>
          <w:szCs w:val="14"/>
        </w:rPr>
      </w:pPr>
    </w:p>
    <w:p>
      <w:pPr>
        <w:spacing w:line="408" w:lineRule="auto" w:before="0"/>
        <w:ind w:left="934" w:right="885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8、生产性生物资产" w:id="276"/>
      <w:bookmarkEnd w:id="276"/>
      <w:r>
        <w:rPr>
          <w:rFonts w:ascii="宋体" w:hAnsi="宋体" w:cs="宋体" w:eastAsia="宋体" w:hint="default"/>
          <w:sz w:val="21"/>
          <w:szCs w:val="21"/>
        </w:rPr>
      </w:r>
      <w:r>
        <w:rPr>
          <w:rFonts w:ascii="宋体" w:hAnsi="宋体" w:cs="宋体" w:eastAsia="宋体" w:hint="default"/>
          <w:b/>
          <w:bCs/>
          <w:sz w:val="21"/>
          <w:szCs w:val="21"/>
        </w:rPr>
        <w:t>18</w:t>
      </w:r>
      <w:r>
        <w:rPr>
          <w:rFonts w:ascii="宋体" w:hAnsi="宋体" w:cs="宋体" w:eastAsia="宋体" w:hint="default"/>
          <w:b/>
          <w:bCs/>
          <w:sz w:val="21"/>
          <w:szCs w:val="21"/>
        </w:rPr>
        <w:t>、生产性生物资产</w:t>
      </w:r>
      <w:r>
        <w:rPr>
          <w:rFonts w:ascii="宋体" w:hAnsi="宋体" w:cs="宋体" w:eastAsia="宋体" w:hint="default"/>
          <w:sz w:val="21"/>
          <w:szCs w:val="21"/>
        </w:rPr>
      </w:r>
    </w:p>
    <w:p>
      <w:pPr>
        <w:pStyle w:val="Heading4"/>
        <w:spacing w:line="240" w:lineRule="auto" w:before="46"/>
        <w:ind w:left="934" w:right="0"/>
        <w:jc w:val="left"/>
        <w:rPr>
          <w:b w:val="0"/>
          <w:bCs w:val="0"/>
        </w:rPr>
      </w:pPr>
      <w:bookmarkStart w:name="（1）采用成本计量模式的生产性生物资产" w:id="277"/>
      <w:bookmarkEnd w:id="277"/>
      <w:r>
        <w:rPr>
          <w:b w:val="0"/>
          <w:bCs w:val="0"/>
        </w:rPr>
      </w:r>
      <w:r>
        <w:rPr/>
        <w:t>（</w:t>
      </w:r>
      <w:r>
        <w:rPr>
          <w:rFonts w:ascii="宋体" w:hAnsi="宋体" w:cs="宋体" w:eastAsia="宋体" w:hint="default"/>
        </w:rPr>
        <w:t>1</w:t>
      </w:r>
      <w:r>
        <w:rPr/>
        <w:t>）采用成本计量模式的生产性生物资产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93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934" w:right="0"/>
        <w:jc w:val="left"/>
        <w:rPr>
          <w:b w:val="0"/>
          <w:bCs w:val="0"/>
        </w:rPr>
      </w:pPr>
      <w:bookmarkStart w:name="（2）采用公允价值计量模式的生产性生物资产" w:id="278"/>
      <w:bookmarkEnd w:id="278"/>
      <w:r>
        <w:rPr>
          <w:b w:val="0"/>
          <w:bCs w:val="0"/>
        </w:rPr>
      </w:r>
      <w:r>
        <w:rPr/>
        <w:t>（</w:t>
      </w:r>
      <w:r>
        <w:rPr>
          <w:rFonts w:ascii="宋体" w:hAnsi="宋体" w:cs="宋体" w:eastAsia="宋体" w:hint="default"/>
        </w:rPr>
        <w:t>2</w:t>
      </w:r>
      <w:r>
        <w:rPr/>
        <w:t>）采用公允价值计量模式的生产性生物资产</w:t>
      </w:r>
      <w:r>
        <w:rPr>
          <w:b w:val="0"/>
          <w:bCs w:val="0"/>
        </w:rPr>
      </w:r>
    </w:p>
    <w:p>
      <w:pPr>
        <w:spacing w:line="240" w:lineRule="auto" w:before="10"/>
        <w:rPr>
          <w:rFonts w:ascii="宋体" w:hAnsi="宋体" w:cs="宋体" w:eastAsia="宋体" w:hint="default"/>
          <w:b/>
          <w:bCs/>
          <w:sz w:val="14"/>
          <w:szCs w:val="14"/>
        </w:rPr>
      </w:pPr>
    </w:p>
    <w:p>
      <w:pPr>
        <w:spacing w:line="408" w:lineRule="auto" w:before="0"/>
        <w:ind w:left="9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9、油气资产" w:id="279"/>
      <w:bookmarkEnd w:id="279"/>
      <w:r>
        <w:rPr>
          <w:rFonts w:ascii="宋体" w:hAnsi="宋体" w:cs="宋体" w:eastAsia="宋体" w:hint="default"/>
          <w:sz w:val="21"/>
          <w:szCs w:val="21"/>
        </w:rPr>
      </w:r>
      <w:r>
        <w:rPr>
          <w:rFonts w:ascii="宋体" w:hAnsi="宋体" w:cs="宋体" w:eastAsia="宋体" w:hint="default"/>
          <w:b/>
          <w:bCs/>
          <w:sz w:val="21"/>
          <w:szCs w:val="21"/>
        </w:rPr>
        <w:t>19</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408" w:lineRule="auto" w:before="46"/>
        <w:ind w:left="9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0、无形资产" w:id="280"/>
      <w:bookmarkEnd w:id="280"/>
      <w:r>
        <w:rPr>
          <w:rFonts w:ascii="宋体" w:hAnsi="宋体" w:cs="宋体" w:eastAsia="宋体" w:hint="default"/>
          <w:sz w:val="21"/>
          <w:szCs w:val="21"/>
        </w:rPr>
      </w:r>
      <w:r>
        <w:rPr>
          <w:rFonts w:ascii="宋体" w:hAnsi="宋体" w:cs="宋体" w:eastAsia="宋体" w:hint="default"/>
          <w:b/>
          <w:bCs/>
          <w:sz w:val="21"/>
          <w:szCs w:val="21"/>
        </w:rPr>
        <w:t>20</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4"/>
        <w:spacing w:line="240" w:lineRule="auto" w:before="46"/>
        <w:ind w:left="934" w:right="0"/>
        <w:jc w:val="left"/>
        <w:rPr>
          <w:b w:val="0"/>
          <w:bCs w:val="0"/>
        </w:rPr>
      </w:pPr>
      <w:bookmarkStart w:name="（1）无形资产情况" w:id="281"/>
      <w:bookmarkEnd w:id="281"/>
      <w:r>
        <w:rPr>
          <w:b w:val="0"/>
          <w:bCs w:val="0"/>
        </w:rPr>
      </w:r>
      <w:r>
        <w:rPr/>
        <w:t>（</w:t>
      </w:r>
      <w:r>
        <w:rPr>
          <w:rFonts w:ascii="宋体" w:hAnsi="宋体" w:cs="宋体" w:eastAsia="宋体" w:hint="default"/>
        </w:rPr>
        <w:t>1</w:t>
      </w:r>
      <w:r>
        <w:rPr/>
        <w:t>）无形资产情况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934" w:right="0"/>
        <w:jc w:val="left"/>
      </w:pPr>
      <w:r>
        <w:rPr/>
        <w:t>公司是否需遵守《深圳证券交易所创业板行业信息披露指引第</w:t>
      </w:r>
      <w:r>
        <w:rPr>
          <w:spacing w:val="-64"/>
        </w:rPr>
        <w:t> </w:t>
      </w:r>
      <w:r>
        <w:rPr>
          <w:rFonts w:ascii="宋体" w:hAnsi="宋体" w:cs="宋体" w:eastAsia="宋体" w:hint="default"/>
        </w:rPr>
        <w:t>5</w:t>
      </w:r>
      <w:r>
        <w:rPr>
          <w:rFonts w:ascii="宋体" w:hAnsi="宋体" w:cs="宋体" w:eastAsia="宋体" w:hint="default"/>
          <w:spacing w:val="-64"/>
        </w:rPr>
        <w:t> </w:t>
      </w:r>
      <w:r>
        <w:rPr/>
        <w:t>号——上市公司从事互联网游戏业务》的</w:t>
      </w:r>
    </w:p>
    <w:p>
      <w:pPr>
        <w:spacing w:after="0" w:line="240" w:lineRule="auto"/>
        <w:jc w:val="left"/>
        <w:sectPr>
          <w:pgSz w:w="11910" w:h="16840"/>
          <w:pgMar w:header="877" w:footer="1000" w:top="1100" w:bottom="1180" w:left="200" w:right="0"/>
        </w:sectPr>
      </w:pPr>
    </w:p>
    <w:p>
      <w:pPr>
        <w:spacing w:line="240" w:lineRule="auto" w:before="8"/>
        <w:rPr>
          <w:rFonts w:ascii="宋体" w:hAnsi="宋体" w:cs="宋体" w:eastAsia="宋体" w:hint="default"/>
          <w:sz w:val="26"/>
          <w:szCs w:val="26"/>
        </w:rPr>
      </w:pPr>
    </w:p>
    <w:p>
      <w:pPr>
        <w:pStyle w:val="BodyText"/>
        <w:spacing w:line="240" w:lineRule="auto" w:before="35"/>
        <w:ind w:right="1122"/>
        <w:jc w:val="left"/>
      </w:pPr>
      <w:r>
        <w:rPr/>
        <w:t>披露要求</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是 √ 否</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844"/>
        <w:gridCol w:w="1345"/>
        <w:gridCol w:w="1594"/>
        <w:gridCol w:w="1594"/>
        <w:gridCol w:w="1595"/>
        <w:gridCol w:w="1593"/>
      </w:tblGrid>
      <w:tr>
        <w:trPr>
          <w:trHeight w:val="414" w:hRule="exact"/>
        </w:trPr>
        <w:tc>
          <w:tcPr>
            <w:tcW w:w="184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34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73,091,918.76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71,037,286.46</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4,358,175.17</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148,487,380.39</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24,951.20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105,305.05</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130,256.25</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24,951.20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105,305.05</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130,256.25</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9,384,322.60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9,384,322.60</w:t>
            </w:r>
          </w:p>
        </w:tc>
      </w:tr>
      <w:tr>
        <w:trPr>
          <w:trHeight w:val="408"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9,384,322.60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9,384,322.60</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63,707,596.16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71,062,237.66</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4,463,480.22</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139,233,314.04</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7,547,630.86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16,889,823.18</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1,762,896.72</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26,200,350.76</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1,334,208.30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36,414.36</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537,966.35</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1,908,589.01</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1,334,208.30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36,414.36</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537,966.35</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1,908,589.01</w:t>
            </w:r>
          </w:p>
        </w:tc>
      </w:tr>
      <w:tr>
        <w:trPr>
          <w:trHeight w:val="408"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1,379,115.30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1,379,115.30</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1,379,115.30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1,379,115.30</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7,502,723.86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16,926,237.54</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2,300,863.07</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26,729,824.47</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54,117,647.24</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54,117,647.24</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54,117,647.24</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54,117,647.24</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4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56,204,872.30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18,352.88</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2,162,617.15</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58,385,842.33</w:t>
            </w:r>
          </w:p>
        </w:tc>
      </w:tr>
      <w:tr>
        <w:trPr>
          <w:trHeight w:val="416" w:hRule="exact"/>
        </w:trPr>
        <w:tc>
          <w:tcPr>
            <w:tcW w:w="184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65,544,287.90</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29,816.04</w:t>
            </w:r>
          </w:p>
        </w:tc>
        <w:tc>
          <w:tcPr>
            <w:tcW w:w="1594" w:type="dxa"/>
            <w:tcBorders>
              <w:top w:val="single" w:sz="6" w:space="0" w:color="000000"/>
              <w:left w:val="single" w:sz="6" w:space="0" w:color="000000"/>
              <w:bottom w:val="single" w:sz="12" w:space="0" w:color="000000"/>
              <w:right w:val="single" w:sz="6" w:space="0" w:color="000000"/>
            </w:tcBorders>
          </w:tcPr>
          <w:p>
            <w:pP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2,595,278.45</w:t>
            </w: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68,169,382.39</w:t>
            </w:r>
          </w:p>
        </w:tc>
      </w:tr>
    </w:tbl>
    <w:p>
      <w:pPr>
        <w:pStyle w:val="BodyText"/>
        <w:spacing w:line="240" w:lineRule="auto" w:before="26"/>
        <w:ind w:right="1122"/>
        <w:jc w:val="left"/>
      </w:pPr>
      <w:r>
        <w:rPr/>
        <w:t>本期末通过公司内部研发形成的无形资产占无形资产余额的比例。</w:t>
      </w:r>
    </w:p>
    <w:p>
      <w:pPr>
        <w:pStyle w:val="Heading4"/>
        <w:spacing w:line="240" w:lineRule="auto" w:before="153"/>
        <w:ind w:right="1122"/>
        <w:jc w:val="left"/>
        <w:rPr>
          <w:b w:val="0"/>
          <w:bCs w:val="0"/>
        </w:rPr>
      </w:pPr>
      <w:bookmarkStart w:name="（2） 未办妥产权证书的土地使用权情况" w:id="282"/>
      <w:bookmarkEnd w:id="282"/>
      <w:r>
        <w:rPr>
          <w:b w:val="0"/>
          <w:bCs w:val="0"/>
        </w:rPr>
      </w:r>
      <w:r>
        <w:rPr/>
        <w:t>（</w:t>
      </w:r>
      <w:r>
        <w:rPr>
          <w:rFonts w:ascii="宋体" w:hAnsi="宋体" w:cs="宋体" w:eastAsia="宋体" w:hint="default"/>
        </w:rPr>
        <w:t>2</w:t>
      </w:r>
      <w:r>
        <w:rPr/>
        <w:t>）未办妥产权证书的土地使用权情况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21、开发支出" w:id="283"/>
      <w:bookmarkEnd w:id="283"/>
      <w:r>
        <w:rPr>
          <w:b w:val="0"/>
          <w:bCs w:val="0"/>
        </w:rPr>
      </w:r>
      <w:r>
        <w:rPr>
          <w:rFonts w:ascii="宋体" w:hAnsi="宋体" w:cs="宋体" w:eastAsia="宋体" w:hint="default"/>
        </w:rPr>
        <w:t>21</w:t>
      </w:r>
      <w:r>
        <w:rPr/>
        <w:t>、开发支出</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2、商誉" w:id="284"/>
      <w:bookmarkEnd w:id="284"/>
      <w:r>
        <w:rPr>
          <w:rFonts w:ascii="宋体" w:hAnsi="宋体" w:cs="宋体" w:eastAsia="宋体" w:hint="default"/>
          <w:sz w:val="21"/>
          <w:szCs w:val="21"/>
        </w:rPr>
      </w:r>
      <w:r>
        <w:rPr>
          <w:rFonts w:ascii="宋体" w:hAnsi="宋体" w:cs="宋体" w:eastAsia="宋体" w:hint="default"/>
          <w:b/>
          <w:bCs/>
          <w:sz w:val="21"/>
          <w:szCs w:val="21"/>
        </w:rPr>
        <w:t>22</w:t>
      </w:r>
      <w:r>
        <w:rPr>
          <w:rFonts w:ascii="宋体" w:hAnsi="宋体" w:cs="宋体" w:eastAsia="宋体" w:hint="default"/>
          <w:b/>
          <w:bCs/>
          <w:sz w:val="21"/>
          <w:szCs w:val="21"/>
        </w:rPr>
        <w:t>、商誉</w:t>
      </w:r>
      <w:r>
        <w:rPr>
          <w:rFonts w:ascii="宋体" w:hAnsi="宋体" w:cs="宋体" w:eastAsia="宋体" w:hint="default"/>
          <w:sz w:val="21"/>
          <w:szCs w:val="21"/>
        </w:rPr>
      </w:r>
    </w:p>
    <w:p>
      <w:pPr>
        <w:pStyle w:val="Heading4"/>
        <w:spacing w:line="240" w:lineRule="auto" w:before="46"/>
        <w:ind w:right="1122"/>
        <w:jc w:val="left"/>
        <w:rPr>
          <w:b w:val="0"/>
          <w:bCs w:val="0"/>
        </w:rPr>
      </w:pPr>
      <w:bookmarkStart w:name="（1）商誉账面原值" w:id="285"/>
      <w:bookmarkEnd w:id="285"/>
      <w:r>
        <w:rPr>
          <w:b w:val="0"/>
          <w:bCs w:val="0"/>
        </w:rPr>
      </w:r>
      <w:r>
        <w:rPr/>
        <w:t>（</w:t>
      </w:r>
      <w:r>
        <w:rPr>
          <w:rFonts w:ascii="宋体" w:hAnsi="宋体" w:cs="宋体" w:eastAsia="宋体" w:hint="default"/>
        </w:rPr>
        <w:t>1</w:t>
      </w:r>
      <w:r>
        <w:rPr/>
        <w:t>）商誉账面原值</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919"/>
        <w:gridCol w:w="1488"/>
        <w:gridCol w:w="1897"/>
        <w:gridCol w:w="1899"/>
        <w:gridCol w:w="1366"/>
      </w:tblGrid>
      <w:tr>
        <w:trPr>
          <w:trHeight w:val="413" w:hRule="exact"/>
        </w:trPr>
        <w:tc>
          <w:tcPr>
            <w:tcW w:w="291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8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9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9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3,828,073.75</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3,828,073.75</w:t>
            </w:r>
          </w:p>
        </w:tc>
      </w:tr>
      <w:tr>
        <w:trPr>
          <w:trHeight w:val="408" w:hRule="exact"/>
        </w:trPr>
        <w:tc>
          <w:tcPr>
            <w:tcW w:w="29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319,477,893.35</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319,477,893.35</w:t>
            </w:r>
          </w:p>
        </w:tc>
      </w:tr>
      <w:tr>
        <w:trPr>
          <w:trHeight w:val="407" w:hRule="exact"/>
        </w:trPr>
        <w:tc>
          <w:tcPr>
            <w:tcW w:w="29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江苏光一德能电气工程有限公司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8,390,274.10</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8,390,274.10</w:t>
            </w:r>
          </w:p>
        </w:tc>
      </w:tr>
      <w:tr>
        <w:trPr>
          <w:trHeight w:val="407" w:hRule="exact"/>
        </w:trPr>
        <w:tc>
          <w:tcPr>
            <w:tcW w:w="2919"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24,652,381.50</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24,652,381.50</w:t>
            </w:r>
          </w:p>
        </w:tc>
      </w:tr>
      <w:tr>
        <w:trPr>
          <w:trHeight w:val="415" w:hRule="exact"/>
        </w:trPr>
        <w:tc>
          <w:tcPr>
            <w:tcW w:w="291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356,348,622.70</w:t>
            </w:r>
          </w:p>
        </w:tc>
        <w:tc>
          <w:tcPr>
            <w:tcW w:w="1897" w:type="dxa"/>
            <w:tcBorders>
              <w:top w:val="single" w:sz="6" w:space="0" w:color="000000"/>
              <w:left w:val="single" w:sz="6" w:space="0" w:color="000000"/>
              <w:bottom w:val="single" w:sz="12" w:space="0" w:color="000000"/>
              <w:right w:val="single" w:sz="6" w:space="0" w:color="000000"/>
            </w:tcBorders>
          </w:tcPr>
          <w:p>
            <w:pPr/>
          </w:p>
        </w:tc>
        <w:tc>
          <w:tcPr>
            <w:tcW w:w="1899"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356,348,622.70</w:t>
            </w:r>
          </w:p>
        </w:tc>
      </w:tr>
    </w:tbl>
    <w:p>
      <w:pPr>
        <w:pStyle w:val="Heading4"/>
        <w:spacing w:line="240" w:lineRule="auto" w:before="63"/>
        <w:ind w:right="1122"/>
        <w:jc w:val="left"/>
        <w:rPr>
          <w:b w:val="0"/>
          <w:bCs w:val="0"/>
        </w:rPr>
      </w:pPr>
      <w:bookmarkStart w:name="（2）商誉减值准备" w:id="286"/>
      <w:bookmarkEnd w:id="286"/>
      <w:r>
        <w:rPr>
          <w:b w:val="0"/>
          <w:bCs w:val="0"/>
        </w:rPr>
      </w:r>
      <w:r>
        <w:rPr/>
        <w:t>（</w:t>
      </w:r>
      <w:r>
        <w:rPr>
          <w:rFonts w:ascii="宋体" w:hAnsi="宋体" w:cs="宋体" w:eastAsia="宋体" w:hint="default"/>
        </w:rPr>
        <w:t>2</w:t>
      </w:r>
      <w:r>
        <w:rPr/>
        <w:t>）商誉减值准备</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931"/>
        <w:gridCol w:w="1440"/>
        <w:gridCol w:w="1932"/>
        <w:gridCol w:w="1900"/>
        <w:gridCol w:w="1366"/>
      </w:tblGrid>
      <w:tr>
        <w:trPr>
          <w:trHeight w:val="413" w:hRule="exact"/>
        </w:trPr>
        <w:tc>
          <w:tcPr>
            <w:tcW w:w="293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4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9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3,828,073.75</w:t>
            </w:r>
          </w:p>
        </w:tc>
        <w:tc>
          <w:tcPr>
            <w:tcW w:w="1932"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3,828,073.75</w:t>
            </w:r>
          </w:p>
        </w:tc>
      </w:tr>
      <w:tr>
        <w:trPr>
          <w:trHeight w:val="407" w:hRule="exact"/>
        </w:trPr>
        <w:tc>
          <w:tcPr>
            <w:tcW w:w="29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319,477,893.35</w:t>
            </w:r>
          </w:p>
        </w:tc>
        <w:tc>
          <w:tcPr>
            <w:tcW w:w="1932"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319,477,893.35</w:t>
            </w:r>
          </w:p>
        </w:tc>
      </w:tr>
      <w:tr>
        <w:trPr>
          <w:trHeight w:val="407" w:hRule="exact"/>
        </w:trPr>
        <w:tc>
          <w:tcPr>
            <w:tcW w:w="29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江苏光一德能电气工程有限公司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4,952,135.98</w:t>
            </w:r>
          </w:p>
        </w:tc>
        <w:tc>
          <w:tcPr>
            <w:tcW w:w="1932"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4,952,135.98</w:t>
            </w:r>
          </w:p>
        </w:tc>
      </w:tr>
      <w:tr>
        <w:trPr>
          <w:trHeight w:val="407" w:hRule="exact"/>
        </w:trPr>
        <w:tc>
          <w:tcPr>
            <w:tcW w:w="293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24,652,381.50</w:t>
            </w:r>
          </w:p>
        </w:tc>
        <w:tc>
          <w:tcPr>
            <w:tcW w:w="1932"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24,652,381.50</w:t>
            </w:r>
          </w:p>
        </w:tc>
      </w:tr>
      <w:tr>
        <w:trPr>
          <w:trHeight w:val="415" w:hRule="exact"/>
        </w:trPr>
        <w:tc>
          <w:tcPr>
            <w:tcW w:w="293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352,910,484.58</w:t>
            </w:r>
          </w:p>
        </w:tc>
        <w:tc>
          <w:tcPr>
            <w:tcW w:w="1932" w:type="dxa"/>
            <w:tcBorders>
              <w:top w:val="single" w:sz="6" w:space="0" w:color="000000"/>
              <w:left w:val="single" w:sz="6" w:space="0" w:color="000000"/>
              <w:bottom w:val="single" w:sz="12" w:space="0" w:color="000000"/>
              <w:right w:val="single" w:sz="6" w:space="0" w:color="000000"/>
            </w:tcBorders>
          </w:tcPr>
          <w:p>
            <w:pPr/>
          </w:p>
        </w:tc>
        <w:tc>
          <w:tcPr>
            <w:tcW w:w="1900"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352,910,484.58</w:t>
            </w:r>
          </w:p>
        </w:tc>
      </w:tr>
    </w:tbl>
    <w:p>
      <w:pPr>
        <w:pStyle w:val="BodyText"/>
        <w:spacing w:line="408" w:lineRule="auto" w:before="63"/>
        <w:ind w:left="577" w:right="0" w:hanging="424"/>
        <w:jc w:val="left"/>
      </w:pPr>
      <w:r>
        <w:rPr/>
        <w:t>商誉所在资产组或资产组组合的相关信息： </w:t>
      </w:r>
      <w:r>
        <w:rPr>
          <w:rFonts w:ascii="宋体" w:hAnsi="宋体" w:cs="宋体" w:eastAsia="宋体" w:hint="default"/>
          <w:spacing w:val="-3"/>
        </w:rPr>
        <w:t>a</w:t>
      </w:r>
      <w:r>
        <w:rPr>
          <w:spacing w:val="-3"/>
        </w:rPr>
        <w:t>、云商天下相关资产组合并商誉：</w:t>
      </w:r>
      <w:r>
        <w:rPr>
          <w:rFonts w:ascii="宋体" w:hAnsi="宋体" w:cs="宋体" w:eastAsia="宋体" w:hint="default"/>
          <w:spacing w:val="-3"/>
        </w:rPr>
        <w:t>2014</w:t>
      </w:r>
      <w:r>
        <w:rPr>
          <w:spacing w:val="-3"/>
        </w:rPr>
        <w:t>年</w:t>
      </w:r>
      <w:r>
        <w:rPr>
          <w:rFonts w:ascii="宋体" w:hAnsi="宋体" w:cs="宋体" w:eastAsia="宋体" w:hint="default"/>
          <w:spacing w:val="-3"/>
        </w:rPr>
        <w:t>4</w:t>
      </w:r>
      <w:r>
        <w:rPr>
          <w:spacing w:val="-3"/>
        </w:rPr>
        <w:t>月本公司以</w:t>
      </w:r>
      <w:r>
        <w:rPr>
          <w:rFonts w:ascii="宋体" w:hAnsi="宋体" w:cs="宋体" w:eastAsia="宋体" w:hint="default"/>
          <w:spacing w:val="-3"/>
        </w:rPr>
        <w:t>1,144</w:t>
      </w:r>
      <w:r>
        <w:rPr>
          <w:spacing w:val="-3"/>
        </w:rPr>
        <w:t>万元现金为对价收购云商天下</w:t>
      </w:r>
      <w:r>
        <w:rPr>
          <w:rFonts w:ascii="宋体" w:hAnsi="宋体" w:cs="宋体" w:eastAsia="宋体" w:hint="default"/>
          <w:spacing w:val="-3"/>
        </w:rPr>
        <w:t>51%</w:t>
      </w:r>
      <w:r>
        <w:rPr>
          <w:spacing w:val="-3"/>
        </w:rPr>
        <w:t>的股权，</w:t>
      </w:r>
    </w:p>
    <w:p>
      <w:pPr>
        <w:pStyle w:val="BodyText"/>
        <w:spacing w:line="408" w:lineRule="auto"/>
        <w:ind w:right="1122"/>
        <w:jc w:val="left"/>
      </w:pPr>
      <w:r>
        <w:rPr>
          <w:spacing w:val="-1"/>
        </w:rPr>
        <w:t>购买日相关业务资产组可辨认净资产公允价值为</w:t>
      </w:r>
      <w:r>
        <w:rPr>
          <w:rFonts w:ascii="宋体" w:hAnsi="宋体" w:cs="宋体" w:eastAsia="宋体" w:hint="default"/>
          <w:spacing w:val="-1"/>
        </w:rPr>
        <w:t>1,492.53</w:t>
      </w:r>
      <w:r>
        <w:rPr>
          <w:spacing w:val="-1"/>
        </w:rPr>
        <w:t>万元，合并对价超出按购买日持股比例计算的可</w:t>
      </w:r>
      <w:r>
        <w:rPr>
          <w:spacing w:val="-77"/>
        </w:rPr>
        <w:t> </w:t>
      </w:r>
      <w:r>
        <w:rPr>
          <w:spacing w:val="-77"/>
        </w:rPr>
      </w:r>
      <w:r>
        <w:rPr/>
        <w:t>辨认净资产份额的部分确认</w:t>
      </w:r>
      <w:r>
        <w:rPr>
          <w:rFonts w:ascii="宋体" w:hAnsi="宋体" w:cs="宋体" w:eastAsia="宋体" w:hint="default"/>
        </w:rPr>
        <w:t>3,828,073.75</w:t>
      </w:r>
      <w:r>
        <w:rPr/>
        <w:t>元的商誉。</w:t>
      </w:r>
    </w:p>
    <w:p>
      <w:pPr>
        <w:pStyle w:val="BodyText"/>
        <w:spacing w:line="408" w:lineRule="auto"/>
        <w:ind w:right="1130" w:firstLine="423"/>
        <w:jc w:val="both"/>
      </w:pPr>
      <w:r>
        <w:rPr>
          <w:rFonts w:ascii="宋体" w:hAnsi="宋体" w:cs="宋体" w:eastAsia="宋体" w:hint="default"/>
        </w:rPr>
        <w:t>b</w:t>
      </w:r>
      <w:r>
        <w:rPr/>
        <w:t>、湖北索瑞相关资产组合并商誉：</w:t>
      </w:r>
      <w:r>
        <w:rPr>
          <w:rFonts w:ascii="宋体" w:hAnsi="宋体" w:cs="宋体" w:eastAsia="宋体" w:hint="default"/>
        </w:rPr>
        <w:t>2014</w:t>
      </w:r>
      <w:r>
        <w:rPr/>
        <w:t>年</w:t>
      </w:r>
      <w:r>
        <w:rPr>
          <w:rFonts w:ascii="宋体" w:hAnsi="宋体" w:cs="宋体" w:eastAsia="宋体" w:hint="default"/>
        </w:rPr>
        <w:t>12</w:t>
      </w:r>
      <w:r>
        <w:rPr/>
        <w:t>月本公司以发行股份及支付现金的形式购买了湖北索瑞 电气有限公司</w:t>
      </w:r>
      <w:r>
        <w:rPr>
          <w:rFonts w:ascii="宋体" w:hAnsi="宋体" w:cs="宋体" w:eastAsia="宋体" w:hint="default"/>
        </w:rPr>
        <w:t>84.82%</w:t>
      </w:r>
      <w:r>
        <w:rPr/>
        <w:t>的股权，对价合计为</w:t>
      </w:r>
      <w:r>
        <w:rPr>
          <w:rFonts w:ascii="宋体" w:hAnsi="宋体" w:cs="宋体" w:eastAsia="宋体" w:hint="default"/>
        </w:rPr>
        <w:t>72,403.18</w:t>
      </w:r>
      <w:r>
        <w:rPr/>
        <w:t>万元，购买日相关业务资产组可辨认净资产公允价值</w:t>
      </w:r>
      <w:r>
        <w:rPr>
          <w:spacing w:val="-31"/>
        </w:rPr>
        <w:t> </w:t>
      </w:r>
      <w:r>
        <w:rPr>
          <w:spacing w:val="-31"/>
        </w:rPr>
      </w:r>
      <w:r>
        <w:rPr/>
        <w:t>为</w:t>
      </w:r>
      <w:r>
        <w:rPr>
          <w:rFonts w:ascii="宋体" w:hAnsi="宋体" w:cs="宋体" w:eastAsia="宋体" w:hint="default"/>
        </w:rPr>
        <w:t>47,695.58</w:t>
      </w:r>
      <w:r>
        <w:rPr/>
        <w:t>万元，合并对价超出按购买日持股比例计算的可辨认净资产份额的部分确认</w:t>
      </w:r>
      <w:r>
        <w:rPr>
          <w:rFonts w:ascii="宋体" w:hAnsi="宋体" w:cs="宋体" w:eastAsia="宋体" w:hint="default"/>
        </w:rPr>
        <w:t>319,477,893.35</w:t>
      </w:r>
      <w:r>
        <w:rPr>
          <w:rFonts w:ascii="宋体" w:hAnsi="宋体" w:cs="宋体" w:eastAsia="宋体" w:hint="default"/>
          <w:spacing w:val="-35"/>
        </w:rPr>
        <w:t> </w:t>
      </w:r>
      <w:r>
        <w:rPr/>
        <w:t>元的商誉。</w:t>
      </w:r>
    </w:p>
    <w:p>
      <w:pPr>
        <w:pStyle w:val="BodyText"/>
        <w:spacing w:line="408" w:lineRule="auto"/>
        <w:ind w:right="1128" w:firstLine="423"/>
        <w:jc w:val="both"/>
      </w:pPr>
      <w:r>
        <w:rPr>
          <w:rFonts w:ascii="宋体" w:hAnsi="宋体" w:cs="宋体" w:eastAsia="宋体" w:hint="default"/>
        </w:rPr>
        <w:t>c</w:t>
      </w:r>
      <w:r>
        <w:rPr/>
        <w:t>、德能电气相关资产组合并商誉：</w:t>
      </w:r>
      <w:r>
        <w:rPr>
          <w:rFonts w:ascii="宋体" w:hAnsi="宋体" w:cs="宋体" w:eastAsia="宋体" w:hint="default"/>
        </w:rPr>
        <w:t>2015</w:t>
      </w:r>
      <w:r>
        <w:rPr/>
        <w:t>年</w:t>
      </w:r>
      <w:r>
        <w:rPr>
          <w:rFonts w:ascii="宋体" w:hAnsi="宋体" w:cs="宋体" w:eastAsia="宋体" w:hint="default"/>
        </w:rPr>
        <w:t>7</w:t>
      </w:r>
      <w:r>
        <w:rPr/>
        <w:t>月，本公司以</w:t>
      </w:r>
      <w:r>
        <w:rPr>
          <w:rFonts w:ascii="宋体" w:hAnsi="宋体" w:cs="宋体" w:eastAsia="宋体" w:hint="default"/>
        </w:rPr>
        <w:t>700</w:t>
      </w:r>
      <w:r>
        <w:rPr/>
        <w:t>万元现金为对价购买德能电气</w:t>
      </w:r>
      <w:r>
        <w:rPr>
          <w:rFonts w:ascii="宋体" w:hAnsi="宋体" w:cs="宋体" w:eastAsia="宋体" w:hint="default"/>
        </w:rPr>
        <w:t>100%</w:t>
      </w:r>
      <w:r>
        <w:rPr/>
        <w:t>的股</w:t>
      </w:r>
      <w:r>
        <w:rPr>
          <w:spacing w:val="3"/>
        </w:rPr>
        <w:t> </w:t>
      </w:r>
      <w:r>
        <w:rPr/>
        <w:t>份，购买日相关资产组的可辨认净资产公允价值为</w:t>
      </w:r>
      <w:r>
        <w:rPr>
          <w:rFonts w:ascii="宋体" w:hAnsi="宋体" w:cs="宋体" w:eastAsia="宋体" w:hint="default"/>
        </w:rPr>
        <w:t>-139.03</w:t>
      </w:r>
      <w:r>
        <w:rPr/>
        <w:t>万元，合并对价超出按购买日持股比例计算的</w:t>
      </w:r>
      <w:r>
        <w:rPr>
          <w:spacing w:val="-31"/>
        </w:rPr>
        <w:t> </w:t>
      </w:r>
      <w:r>
        <w:rPr>
          <w:spacing w:val="-31"/>
        </w:rPr>
      </w:r>
      <w:r>
        <w:rPr/>
        <w:t>可辨认净资产份额的部分确认</w:t>
      </w:r>
      <w:r>
        <w:rPr>
          <w:rFonts w:ascii="宋体" w:hAnsi="宋体" w:cs="宋体" w:eastAsia="宋体" w:hint="default"/>
        </w:rPr>
        <w:t>8,390,274.10</w:t>
      </w:r>
      <w:r>
        <w:rPr/>
        <w:t>元的商誉。</w:t>
      </w:r>
    </w:p>
    <w:p>
      <w:pPr>
        <w:pStyle w:val="BodyText"/>
        <w:spacing w:line="240" w:lineRule="auto"/>
        <w:ind w:left="577" w:right="1122"/>
        <w:jc w:val="left"/>
      </w:pPr>
      <w:r>
        <w:rPr>
          <w:rFonts w:ascii="宋体" w:hAnsi="宋体" w:cs="宋体" w:eastAsia="宋体" w:hint="default"/>
        </w:rPr>
        <w:t>d</w:t>
      </w:r>
      <w:r>
        <w:rPr/>
        <w:t>、德能设计相关资产组合并商誉：</w:t>
      </w:r>
      <w:r>
        <w:rPr>
          <w:rFonts w:ascii="宋体" w:hAnsi="宋体" w:cs="宋体" w:eastAsia="宋体" w:hint="default"/>
        </w:rPr>
        <w:t>2015</w:t>
      </w:r>
      <w:r>
        <w:rPr/>
        <w:t>年</w:t>
      </w:r>
      <w:r>
        <w:rPr>
          <w:rFonts w:ascii="宋体" w:hAnsi="宋体" w:cs="宋体" w:eastAsia="宋体" w:hint="default"/>
        </w:rPr>
        <w:t>8</w:t>
      </w:r>
      <w:r>
        <w:rPr/>
        <w:t>月，本公司以</w:t>
      </w:r>
      <w:r>
        <w:rPr>
          <w:rFonts w:ascii="宋体" w:hAnsi="宋体" w:cs="宋体" w:eastAsia="宋体" w:hint="default"/>
        </w:rPr>
        <w:t>2,900</w:t>
      </w:r>
      <w:r>
        <w:rPr/>
        <w:t>万元现金为对价购买德能设计</w:t>
      </w:r>
      <w:r>
        <w:rPr>
          <w:rFonts w:ascii="宋体" w:hAnsi="宋体" w:cs="宋体" w:eastAsia="宋体" w:hint="default"/>
        </w:rPr>
        <w:t>100%</w:t>
      </w:r>
      <w:r>
        <w:rPr/>
        <w:t>的</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17"/>
        <w:jc w:val="left"/>
      </w:pPr>
      <w:r>
        <w:rPr>
          <w:spacing w:val="-1"/>
        </w:rPr>
        <w:t>股份，购买日相关资产组的可辨认净资产公允价值为</w:t>
      </w:r>
      <w:r>
        <w:rPr>
          <w:rFonts w:ascii="宋体" w:hAnsi="宋体" w:cs="宋体" w:eastAsia="宋体" w:hint="default"/>
          <w:spacing w:val="-1"/>
        </w:rPr>
        <w:t>434.76</w:t>
      </w:r>
      <w:r>
        <w:rPr>
          <w:spacing w:val="-1"/>
        </w:rPr>
        <w:t>万元，合并对价超出按购买日持股比例计算的</w:t>
      </w:r>
      <w:r>
        <w:rPr>
          <w:spacing w:val="-80"/>
        </w:rPr>
        <w:t> </w:t>
      </w:r>
      <w:r>
        <w:rPr>
          <w:spacing w:val="-80"/>
        </w:rPr>
      </w:r>
      <w:r>
        <w:rPr/>
        <w:t>可辨认净资产份额的部分确认</w:t>
      </w:r>
      <w:r>
        <w:rPr>
          <w:rFonts w:ascii="宋体" w:hAnsi="宋体" w:cs="宋体" w:eastAsia="宋体" w:hint="default"/>
        </w:rPr>
        <w:t>24,652,381.50</w:t>
      </w:r>
      <w:r>
        <w:rPr/>
        <w:t>元的商誉。 </w:t>
      </w:r>
      <w:r>
        <w:rPr>
          <w:spacing w:val="-5"/>
        </w:rPr>
        <w:t>说明商誉减值测试过程、关键参数（如预计未来现金流量现值时的预测期增长率、稳定期增长率、利润率、</w:t>
      </w:r>
      <w:r>
        <w:rPr>
          <w:spacing w:val="-102"/>
        </w:rPr>
        <w:t> </w:t>
      </w:r>
      <w:r>
        <w:rPr>
          <w:spacing w:val="-102"/>
        </w:rPr>
      </w:r>
      <w:r>
        <w:rPr/>
        <w:t>折现率、预测期等）及商誉减值损失的确认方法：</w:t>
      </w:r>
    </w:p>
    <w:p>
      <w:pPr>
        <w:pStyle w:val="BodyText"/>
        <w:spacing w:line="408" w:lineRule="auto"/>
        <w:ind w:right="0" w:firstLine="423"/>
        <w:jc w:val="left"/>
      </w:pPr>
      <w:r>
        <w:rPr>
          <w:spacing w:val="-1"/>
        </w:rPr>
        <w:t>本公司将商誉合理分摊至相关的资产组或者资产组组合，并估计包含商誉的相关资产组的可收回金额，</w:t>
      </w:r>
      <w:r>
        <w:rPr/>
        <w:t> 如相关资产组或者资产组组合的可收回金额低于其账面价值的，确认商誉的减值损失。</w:t>
      </w:r>
    </w:p>
    <w:p>
      <w:pPr>
        <w:pStyle w:val="BodyText"/>
        <w:spacing w:line="408" w:lineRule="auto"/>
        <w:ind w:right="1131" w:firstLine="423"/>
        <w:jc w:val="both"/>
      </w:pPr>
      <w:r>
        <w:rPr>
          <w:rFonts w:ascii="宋体" w:hAnsi="宋体" w:cs="宋体" w:eastAsia="宋体" w:hint="default"/>
        </w:rPr>
        <w:t>a</w:t>
      </w:r>
      <w:r>
        <w:rPr/>
        <w:t>、云商天下相关业务资产组的商誉测试过程：由于云商天下所有的资产负债均为经营性质，本公司 </w:t>
      </w:r>
      <w:r>
        <w:rPr>
          <w:spacing w:val="-1"/>
        </w:rPr>
        <w:t>将云商天下所有资产及负债作为一个资产组进行减值测试，</w:t>
      </w:r>
      <w:r>
        <w:rPr>
          <w:rFonts w:ascii="宋体" w:hAnsi="宋体" w:cs="宋体" w:eastAsia="宋体" w:hint="default"/>
          <w:spacing w:val="-1"/>
        </w:rPr>
        <w:t>2016</w:t>
      </w:r>
      <w:r>
        <w:rPr>
          <w:spacing w:val="-1"/>
        </w:rPr>
        <w:t>年以未来五年的盈利预测为基础，并结合</w:t>
      </w:r>
      <w:r>
        <w:rPr>
          <w:spacing w:val="-80"/>
        </w:rPr>
        <w:t> </w:t>
      </w:r>
      <w:r>
        <w:rPr>
          <w:spacing w:val="-80"/>
        </w:rPr>
      </w:r>
      <w:r>
        <w:rPr>
          <w:spacing w:val="-1"/>
        </w:rPr>
        <w:t>了在手订单、近年度的经营预算，预估了未来五年的经营活动现金流量情况，并预计预测期后将永续保持</w:t>
      </w:r>
      <w:r>
        <w:rPr>
          <w:spacing w:val="-83"/>
        </w:rPr>
        <w:t> </w:t>
      </w:r>
      <w:r>
        <w:rPr>
          <w:spacing w:val="-83"/>
        </w:rPr>
      </w:r>
      <w:r>
        <w:rPr>
          <w:spacing w:val="-1"/>
        </w:rPr>
        <w:t>不变，并根据相应资本成本的税前折现率作为折现率，以企业自由现金流量模型对相关资产组可收回金额</w:t>
      </w:r>
      <w:r>
        <w:rPr>
          <w:spacing w:val="-81"/>
        </w:rPr>
        <w:t> </w:t>
      </w:r>
      <w:r>
        <w:rPr>
          <w:spacing w:val="-81"/>
        </w:rPr>
      </w:r>
      <w:r>
        <w:rPr>
          <w:spacing w:val="-1"/>
        </w:rPr>
        <w:t>进行估算，据此计算云商天下相关业务资产组组合所形成的商誉已经全部减值，</w:t>
      </w:r>
      <w:r>
        <w:rPr>
          <w:rFonts w:ascii="宋体" w:hAnsi="宋体" w:cs="宋体" w:eastAsia="宋体" w:hint="default"/>
          <w:spacing w:val="-1"/>
        </w:rPr>
        <w:t>2016</w:t>
      </w:r>
      <w:r>
        <w:rPr>
          <w:spacing w:val="-1"/>
        </w:rPr>
        <w:t>年公司全额计提了相</w:t>
      </w:r>
      <w:r>
        <w:rPr>
          <w:spacing w:val="-80"/>
        </w:rPr>
        <w:t> </w:t>
      </w:r>
      <w:r>
        <w:rPr>
          <w:spacing w:val="-80"/>
        </w:rPr>
      </w:r>
      <w:r>
        <w:rPr/>
        <w:t>关资产组业务的商誉减值损失，本期不再进行减值测试。</w:t>
      </w:r>
    </w:p>
    <w:p>
      <w:pPr>
        <w:pStyle w:val="BodyText"/>
        <w:spacing w:line="408" w:lineRule="auto"/>
        <w:ind w:right="1130" w:firstLine="423"/>
        <w:jc w:val="both"/>
      </w:pPr>
      <w:r>
        <w:rPr>
          <w:rFonts w:ascii="宋体" w:hAnsi="宋体" w:cs="宋体" w:eastAsia="宋体" w:hint="default"/>
        </w:rPr>
        <w:t>b</w:t>
      </w:r>
      <w:r>
        <w:rPr/>
        <w:t>、索瑞电气相关资产组的商誉测试过程：本公司将索瑞电气所有经营性资产及负债作为一个资产组 </w:t>
      </w:r>
      <w:r>
        <w:rPr>
          <w:spacing w:val="-1"/>
        </w:rPr>
        <w:t>进行减值测试，</w:t>
      </w:r>
      <w:r>
        <w:rPr>
          <w:rFonts w:ascii="宋体" w:hAnsi="宋体" w:cs="宋体" w:eastAsia="宋体" w:hint="default"/>
          <w:spacing w:val="-1"/>
        </w:rPr>
        <w:t>2017</w:t>
      </w:r>
      <w:r>
        <w:rPr>
          <w:spacing w:val="-1"/>
        </w:rPr>
        <w:t>年公司聘请了中瑞世联资产评估</w:t>
      </w:r>
      <w:r>
        <w:rPr>
          <w:rFonts w:ascii="宋体" w:hAnsi="宋体" w:cs="宋体" w:eastAsia="宋体" w:hint="default"/>
          <w:spacing w:val="-1"/>
        </w:rPr>
        <w:t>(</w:t>
      </w:r>
      <w:r>
        <w:rPr>
          <w:spacing w:val="-1"/>
        </w:rPr>
        <w:t>北京</w:t>
      </w:r>
      <w:r>
        <w:rPr>
          <w:rFonts w:ascii="宋体" w:hAnsi="宋体" w:cs="宋体" w:eastAsia="宋体" w:hint="default"/>
          <w:spacing w:val="-1"/>
        </w:rPr>
        <w:t>)</w:t>
      </w:r>
      <w:r>
        <w:rPr>
          <w:spacing w:val="-1"/>
        </w:rPr>
        <w:t>有限公司针对索瑞电气相关业务的资产组组合</w:t>
      </w:r>
      <w:r>
        <w:rPr>
          <w:spacing w:val="-83"/>
        </w:rPr>
        <w:t> </w:t>
      </w:r>
      <w:r>
        <w:rPr>
          <w:spacing w:val="-83"/>
        </w:rPr>
      </w:r>
      <w:r>
        <w:rPr>
          <w:spacing w:val="-1"/>
        </w:rPr>
        <w:t>可收回金额进行了评估，评估师以未来市场行情、行业情况、公司近期在手订单情况为参考依据，以</w:t>
      </w:r>
      <w:r>
        <w:rPr>
          <w:rFonts w:ascii="宋体" w:hAnsi="宋体" w:cs="宋体" w:eastAsia="宋体" w:hint="default"/>
          <w:spacing w:val="-1"/>
        </w:rPr>
        <w:t>2018</w:t>
      </w:r>
      <w:r>
        <w:rPr>
          <w:rFonts w:ascii="宋体" w:hAnsi="宋体" w:cs="宋体" w:eastAsia="宋体" w:hint="default"/>
          <w:spacing w:val="-84"/>
        </w:rPr>
        <w:t> </w:t>
      </w:r>
      <w:r>
        <w:rPr>
          <w:spacing w:val="-1"/>
        </w:rPr>
        <w:t>年至</w:t>
      </w:r>
      <w:r>
        <w:rPr>
          <w:rFonts w:ascii="宋体" w:hAnsi="宋体" w:cs="宋体" w:eastAsia="宋体" w:hint="default"/>
          <w:spacing w:val="-1"/>
        </w:rPr>
        <w:t>2022</w:t>
      </w:r>
      <w:r>
        <w:rPr>
          <w:spacing w:val="-1"/>
        </w:rPr>
        <w:t>年作为预测期，</w:t>
      </w:r>
      <w:r>
        <w:rPr>
          <w:rFonts w:ascii="宋体" w:hAnsi="宋体" w:cs="宋体" w:eastAsia="宋体" w:hint="default"/>
          <w:spacing w:val="-1"/>
        </w:rPr>
        <w:t>2023</w:t>
      </w:r>
      <w:r>
        <w:rPr>
          <w:spacing w:val="-1"/>
        </w:rPr>
        <w:t>年后为永续期，对未来业务运营情况进行了评估；并根据公司近期材料单价</w:t>
      </w:r>
      <w:r>
        <w:rPr>
          <w:spacing w:val="-81"/>
        </w:rPr>
        <w:t> </w:t>
      </w:r>
      <w:r>
        <w:rPr>
          <w:spacing w:val="-81"/>
        </w:rPr>
      </w:r>
      <w:r>
        <w:rPr>
          <w:spacing w:val="-1"/>
        </w:rPr>
        <w:t>走势以及人工薪酬预算，估计了相关产品的毛利率，并根据公司的费用率估计了公司未来的费用情况，以</w:t>
      </w:r>
      <w:r>
        <w:rPr>
          <w:spacing w:val="-83"/>
        </w:rPr>
        <w:t> </w:t>
      </w:r>
      <w:r>
        <w:rPr>
          <w:spacing w:val="-83"/>
        </w:rPr>
      </w:r>
      <w:r>
        <w:rPr>
          <w:spacing w:val="-1"/>
        </w:rPr>
        <w:t>及根据公司的资本预算对未来资本性现金流进行了估计，对公司未来五年的预测期及永续期的现金流情况</w:t>
      </w:r>
      <w:r>
        <w:rPr>
          <w:spacing w:val="-81"/>
        </w:rPr>
        <w:t> </w:t>
      </w:r>
      <w:r>
        <w:rPr>
          <w:spacing w:val="-81"/>
        </w:rPr>
      </w:r>
      <w:r>
        <w:rPr>
          <w:spacing w:val="-1"/>
        </w:rPr>
        <w:t>进行了预估。并根据公司的资本结构确定以</w:t>
      </w:r>
      <w:r>
        <w:rPr>
          <w:rFonts w:ascii="宋体" w:hAnsi="宋体" w:cs="宋体" w:eastAsia="宋体" w:hint="default"/>
          <w:spacing w:val="-1"/>
        </w:rPr>
        <w:t>10.88%</w:t>
      </w:r>
      <w:r>
        <w:rPr>
          <w:spacing w:val="-1"/>
        </w:rPr>
        <w:t>作为折现率，以企业自由现金流量模型对相关资产组可</w:t>
      </w:r>
      <w:r>
        <w:rPr>
          <w:spacing w:val="-82"/>
        </w:rPr>
        <w:t> </w:t>
      </w:r>
      <w:r>
        <w:rPr>
          <w:spacing w:val="-82"/>
        </w:rPr>
      </w:r>
      <w:r>
        <w:rPr>
          <w:spacing w:val="-1"/>
        </w:rPr>
        <w:t>收回金额进行估算，据此计算出的相关资产组可收回金额小于相关资产组在账面按购买日继续计算的公允</w:t>
      </w:r>
      <w:r>
        <w:rPr>
          <w:spacing w:val="-81"/>
        </w:rPr>
        <w:t> </w:t>
      </w:r>
      <w:r>
        <w:rPr>
          <w:spacing w:val="-81"/>
        </w:rPr>
      </w:r>
      <w:r>
        <w:rPr>
          <w:spacing w:val="-1"/>
        </w:rPr>
        <w:t>价值包含商誉的金额，据此计算索瑞电气相关资产组相关商誉需全额计提减值损失，公司于</w:t>
      </w:r>
      <w:r>
        <w:rPr>
          <w:rFonts w:ascii="宋体" w:hAnsi="宋体" w:cs="宋体" w:eastAsia="宋体" w:hint="default"/>
          <w:spacing w:val="-1"/>
        </w:rPr>
        <w:t>2017</w:t>
      </w:r>
      <w:r>
        <w:rPr>
          <w:spacing w:val="-1"/>
        </w:rPr>
        <w:t>年度计提</w:t>
      </w:r>
      <w:r>
        <w:rPr>
          <w:spacing w:val="-78"/>
        </w:rPr>
        <w:t> </w:t>
      </w:r>
      <w:r>
        <w:rPr/>
        <w:t>了相应的商誉减值损失，本期不再对该资产组业务进行商誉减值测试。</w:t>
      </w:r>
    </w:p>
    <w:p>
      <w:pPr>
        <w:pStyle w:val="BodyText"/>
        <w:spacing w:line="408" w:lineRule="auto"/>
        <w:ind w:right="1129" w:firstLine="423"/>
        <w:jc w:val="both"/>
      </w:pPr>
      <w:r>
        <w:rPr>
          <w:rFonts w:ascii="宋体" w:hAnsi="宋体" w:cs="宋体" w:eastAsia="宋体" w:hint="default"/>
        </w:rPr>
        <w:t>c</w:t>
      </w:r>
      <w:r>
        <w:rPr/>
        <w:t>、德能电气相关资产组的商誉测试过程：德能电气全部资产及负债均为经营性资产及负债，本公司 </w:t>
      </w:r>
      <w:r>
        <w:rPr>
          <w:spacing w:val="-1"/>
        </w:rPr>
        <w:t>将德能电气全部资产及负债作为一个资产组进行减值测试，</w:t>
      </w:r>
      <w:r>
        <w:rPr>
          <w:rFonts w:ascii="宋体" w:hAnsi="宋体" w:cs="宋体" w:eastAsia="宋体" w:hint="default"/>
          <w:spacing w:val="-1"/>
        </w:rPr>
        <w:t>2016</w:t>
      </w:r>
      <w:r>
        <w:rPr>
          <w:spacing w:val="-1"/>
        </w:rPr>
        <w:t>年以未来五年的盈利预测为基础，并结合</w:t>
      </w:r>
      <w:r>
        <w:rPr>
          <w:spacing w:val="-79"/>
        </w:rPr>
        <w:t> </w:t>
      </w:r>
      <w:r>
        <w:rPr>
          <w:spacing w:val="-79"/>
        </w:rPr>
      </w:r>
      <w:r>
        <w:rPr>
          <w:spacing w:val="-1"/>
        </w:rPr>
        <w:t>了在手订单、近年度的经营预算，预估了未来五年的经营活动现金流量情况，并预计预测期后将永续保持</w:t>
      </w:r>
      <w:r>
        <w:rPr>
          <w:spacing w:val="-83"/>
        </w:rPr>
        <w:t> </w:t>
      </w:r>
      <w:r>
        <w:rPr>
          <w:spacing w:val="-83"/>
        </w:rPr>
      </w:r>
      <w:r>
        <w:rPr>
          <w:spacing w:val="-1"/>
        </w:rPr>
        <w:t>不变，并根据相应资本成本的税前折现率作为折现率，以企业自由现金流量模型对相关资产组可收回金额</w:t>
      </w:r>
      <w:r>
        <w:rPr>
          <w:spacing w:val="-81"/>
        </w:rPr>
        <w:t> </w:t>
      </w:r>
      <w:r>
        <w:rPr>
          <w:spacing w:val="-81"/>
        </w:rPr>
      </w:r>
      <w:r>
        <w:rPr>
          <w:spacing w:val="-1"/>
        </w:rPr>
        <w:t>进行估算，根据商誉减值测试结果计提了</w:t>
      </w:r>
      <w:r>
        <w:rPr>
          <w:rFonts w:ascii="宋体" w:hAnsi="宋体" w:cs="宋体" w:eastAsia="宋体" w:hint="default"/>
          <w:spacing w:val="-1"/>
        </w:rPr>
        <w:t>4,952,135.98</w:t>
      </w:r>
      <w:r>
        <w:rPr>
          <w:spacing w:val="-1"/>
        </w:rPr>
        <w:t>元商誉减值；</w:t>
      </w:r>
      <w:r>
        <w:rPr>
          <w:rFonts w:ascii="宋体" w:hAnsi="宋体" w:cs="宋体" w:eastAsia="宋体" w:hint="default"/>
          <w:spacing w:val="-1"/>
        </w:rPr>
        <w:t>2018</w:t>
      </w:r>
      <w:r>
        <w:rPr>
          <w:spacing w:val="-1"/>
        </w:rPr>
        <w:t>年度公司以</w:t>
      </w:r>
      <w:r>
        <w:rPr>
          <w:rFonts w:ascii="宋体" w:hAnsi="宋体" w:cs="宋体" w:eastAsia="宋体" w:hint="default"/>
          <w:spacing w:val="-1"/>
        </w:rPr>
        <w:t>2019</w:t>
      </w:r>
      <w:r>
        <w:rPr>
          <w:spacing w:val="-1"/>
        </w:rPr>
        <w:t>年至</w:t>
      </w:r>
      <w:r>
        <w:rPr>
          <w:rFonts w:ascii="宋体" w:hAnsi="宋体" w:cs="宋体" w:eastAsia="宋体" w:hint="default"/>
          <w:spacing w:val="-1"/>
        </w:rPr>
        <w:t>2023</w:t>
      </w:r>
      <w:r>
        <w:rPr>
          <w:spacing w:val="-1"/>
        </w:rPr>
        <w:t>年作为</w:t>
      </w:r>
      <w:r>
        <w:rPr>
          <w:spacing w:val="-70"/>
        </w:rPr>
        <w:t> </w:t>
      </w:r>
      <w:r>
        <w:rPr>
          <w:spacing w:val="-5"/>
        </w:rPr>
        <w:t>预测期，</w:t>
      </w:r>
      <w:r>
        <w:rPr>
          <w:rFonts w:ascii="宋体" w:hAnsi="宋体" w:cs="宋体" w:eastAsia="宋体" w:hint="default"/>
          <w:spacing w:val="-5"/>
        </w:rPr>
        <w:t>2023</w:t>
      </w:r>
      <w:r>
        <w:rPr>
          <w:spacing w:val="-5"/>
        </w:rPr>
        <w:t>年以后作为永续期，基于公司未来销售预算、人工预算、各项费用率的基础上对</w:t>
      </w:r>
      <w:r>
        <w:rPr>
          <w:rFonts w:ascii="宋体" w:hAnsi="宋体" w:cs="宋体" w:eastAsia="宋体" w:hint="default"/>
          <w:spacing w:val="-5"/>
        </w:rPr>
        <w:t>2019</w:t>
      </w:r>
      <w:r>
        <w:rPr>
          <w:spacing w:val="-5"/>
        </w:rPr>
        <w:t>年至</w:t>
      </w:r>
      <w:r>
        <w:rPr>
          <w:rFonts w:ascii="宋体" w:hAnsi="宋体" w:cs="宋体" w:eastAsia="宋体" w:hint="default"/>
          <w:spacing w:val="-5"/>
        </w:rPr>
        <w:t>2023</w:t>
      </w:r>
      <w:r>
        <w:rPr>
          <w:rFonts w:ascii="宋体" w:hAnsi="宋体" w:cs="宋体" w:eastAsia="宋体" w:hint="default"/>
          <w:spacing w:val="-73"/>
        </w:rPr>
        <w:t> </w:t>
      </w:r>
      <w:r>
        <w:rPr>
          <w:spacing w:val="-1"/>
        </w:rPr>
        <w:t>年的现金流量情况进行了预测，并以资本及负债的权重结构设定折现率为</w:t>
      </w:r>
      <w:r>
        <w:rPr>
          <w:rFonts w:ascii="宋体" w:hAnsi="宋体" w:cs="宋体" w:eastAsia="宋体" w:hint="default"/>
          <w:spacing w:val="-1"/>
        </w:rPr>
        <w:t>10.51%</w:t>
      </w:r>
      <w:r>
        <w:rPr>
          <w:spacing w:val="-1"/>
        </w:rPr>
        <w:t>，根据本公司的测试结果</w:t>
      </w:r>
      <w:r>
        <w:rPr>
          <w:spacing w:val="-78"/>
        </w:rPr>
        <w:t> </w:t>
      </w:r>
      <w:r>
        <w:rPr>
          <w:spacing w:val="-78"/>
        </w:rPr>
      </w:r>
      <w:r>
        <w:rPr>
          <w:rFonts w:ascii="宋体" w:hAnsi="宋体" w:cs="宋体" w:eastAsia="宋体" w:hint="default"/>
        </w:rPr>
        <w:t>2018</w:t>
      </w:r>
      <w:r>
        <w:rPr/>
        <w:t>年德能电气相关资产组剩余商誉不存在减值，</w:t>
      </w:r>
      <w:r>
        <w:rPr>
          <w:rFonts w:ascii="宋体" w:hAnsi="宋体" w:cs="宋体" w:eastAsia="宋体" w:hint="default"/>
        </w:rPr>
        <w:t>2016</w:t>
      </w:r>
      <w:r>
        <w:rPr/>
        <w:t>年计提的商誉减值准备不予转回。</w:t>
      </w:r>
    </w:p>
    <w:p>
      <w:pPr>
        <w:spacing w:after="0" w:line="408" w:lineRule="auto"/>
        <w:jc w:val="both"/>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firstLine="423"/>
        <w:jc w:val="both"/>
      </w:pPr>
      <w:r>
        <w:rPr>
          <w:rFonts w:ascii="宋体" w:hAnsi="宋体" w:cs="宋体" w:eastAsia="宋体" w:hint="default"/>
        </w:rPr>
        <w:t>d</w:t>
      </w:r>
      <w:r>
        <w:rPr/>
        <w:t>、德能设计相关资产组的商誉测试过程：德能设计全部资产及负债均为经营性资产及负债，本公司 </w:t>
      </w:r>
      <w:r>
        <w:rPr>
          <w:spacing w:val="3"/>
        </w:rPr>
        <w:t>将德能设计全部资产及负债作为一个资产组进行减值测试，</w:t>
      </w:r>
      <w:r>
        <w:rPr>
          <w:rFonts w:ascii="宋体" w:hAnsi="宋体" w:cs="宋体" w:eastAsia="宋体" w:hint="default"/>
          <w:spacing w:val="3"/>
        </w:rPr>
        <w:t>2017</w:t>
      </w:r>
      <w:r>
        <w:rPr>
          <w:spacing w:val="3"/>
        </w:rPr>
        <w:t>年本公司以</w:t>
      </w:r>
      <w:r>
        <w:rPr>
          <w:rFonts w:ascii="宋体" w:hAnsi="宋体" w:cs="宋体" w:eastAsia="宋体" w:hint="default"/>
          <w:spacing w:val="3"/>
        </w:rPr>
        <w:t>2018</w:t>
      </w:r>
      <w:r>
        <w:rPr>
          <w:spacing w:val="3"/>
        </w:rPr>
        <w:t>年至</w:t>
      </w:r>
      <w:r>
        <w:rPr>
          <w:rFonts w:ascii="宋体" w:hAnsi="宋体" w:cs="宋体" w:eastAsia="宋体" w:hint="default"/>
          <w:spacing w:val="3"/>
        </w:rPr>
        <w:t>2022</w:t>
      </w:r>
      <w:r>
        <w:rPr>
          <w:spacing w:val="3"/>
        </w:rPr>
        <w:t>年为预测期，</w:t>
      </w:r>
      <w:r>
        <w:rPr>
          <w:spacing w:val="-95"/>
        </w:rPr>
        <w:t> </w:t>
      </w:r>
      <w:r>
        <w:rPr>
          <w:spacing w:val="-95"/>
        </w:rPr>
      </w:r>
      <w:r>
        <w:rPr>
          <w:rFonts w:ascii="宋体" w:hAnsi="宋体" w:cs="宋体" w:eastAsia="宋体" w:hint="default"/>
          <w:spacing w:val="-1"/>
        </w:rPr>
        <w:t>2023</w:t>
      </w:r>
      <w:r>
        <w:rPr>
          <w:spacing w:val="-1"/>
        </w:rPr>
        <w:t>及以后作为永续期对德能设计相关包含商誉的资产组进行减值测试，在减值测试工作中，本公司结合</w:t>
      </w:r>
      <w:r>
        <w:rPr>
          <w:spacing w:val="-80"/>
        </w:rPr>
        <w:t> </w:t>
      </w:r>
      <w:r>
        <w:rPr>
          <w:spacing w:val="-80"/>
        </w:rPr>
      </w:r>
      <w:r>
        <w:rPr>
          <w:spacing w:val="-1"/>
        </w:rPr>
        <w:t>了在手订单情况、已中标未执行的订单以及未来的经营预算为基础对销售情况进行了预测，并根据公司的</w:t>
      </w:r>
      <w:r>
        <w:rPr>
          <w:spacing w:val="-81"/>
        </w:rPr>
        <w:t> </w:t>
      </w:r>
      <w:r>
        <w:rPr>
          <w:spacing w:val="-81"/>
        </w:rPr>
      </w:r>
      <w:r>
        <w:rPr>
          <w:spacing w:val="-1"/>
        </w:rPr>
        <w:t>费用、人工预算情况，综合考虑了成本率以及费用率，假定预测期的销售增长率为</w:t>
      </w:r>
      <w:r>
        <w:rPr>
          <w:rFonts w:ascii="宋体" w:hAnsi="宋体" w:cs="宋体" w:eastAsia="宋体" w:hint="default"/>
          <w:spacing w:val="-1"/>
        </w:rPr>
        <w:t>6.5%</w:t>
      </w:r>
      <w:r>
        <w:rPr>
          <w:spacing w:val="-1"/>
        </w:rPr>
        <w:t>，并在永续期内营</w:t>
      </w:r>
      <w:r>
        <w:rPr>
          <w:spacing w:val="-84"/>
        </w:rPr>
        <w:t> </w:t>
      </w:r>
      <w:r>
        <w:rPr>
          <w:spacing w:val="-84"/>
        </w:rPr>
      </w:r>
      <w:r>
        <w:rPr>
          <w:spacing w:val="-1"/>
        </w:rPr>
        <w:t>业收入保持不变，经营效率保持不变，对预测期的企业自由现金流量进行了预测，并根据德能设计的资本</w:t>
      </w:r>
      <w:r>
        <w:rPr>
          <w:spacing w:val="-83"/>
        </w:rPr>
        <w:t> </w:t>
      </w:r>
      <w:r>
        <w:rPr>
          <w:spacing w:val="-83"/>
        </w:rPr>
      </w:r>
      <w:r>
        <w:rPr>
          <w:spacing w:val="-1"/>
        </w:rPr>
        <w:t>结构特点设定了相应的折现率，根据企业自由现金流量模型计算出包含商誉的资产组可收回金额为小于包</w:t>
      </w:r>
      <w:r>
        <w:rPr>
          <w:spacing w:val="-81"/>
        </w:rPr>
        <w:t> </w:t>
      </w:r>
      <w:r>
        <w:rPr>
          <w:spacing w:val="-81"/>
        </w:rPr>
      </w:r>
      <w:r>
        <w:rPr>
          <w:spacing w:val="-1"/>
        </w:rPr>
        <w:t>含商誉的资产组账面金额</w:t>
      </w:r>
      <w:r>
        <w:rPr>
          <w:rFonts w:ascii="宋体" w:hAnsi="宋体" w:cs="宋体" w:eastAsia="宋体" w:hint="default"/>
          <w:spacing w:val="-1"/>
        </w:rPr>
        <w:t>2,451.43</w:t>
      </w:r>
      <w:r>
        <w:rPr>
          <w:spacing w:val="-1"/>
        </w:rPr>
        <w:t>万元，因此基于谨慎性考虑将德能设计商誉全额计提了减值，因减值准</w:t>
      </w:r>
      <w:r>
        <w:rPr>
          <w:spacing w:val="-77"/>
        </w:rPr>
        <w:t> </w:t>
      </w:r>
      <w:r>
        <w:rPr>
          <w:spacing w:val="-77"/>
        </w:rPr>
      </w:r>
      <w:r>
        <w:rPr/>
        <w:t>备计提完毕，本期不再针对该业务资产组进行商誉减值测试。</w:t>
      </w:r>
    </w:p>
    <w:p>
      <w:pPr>
        <w:pStyle w:val="Heading4"/>
        <w:spacing w:line="240" w:lineRule="auto" w:before="46"/>
        <w:ind w:right="1122"/>
        <w:jc w:val="left"/>
        <w:rPr>
          <w:b w:val="0"/>
          <w:bCs w:val="0"/>
        </w:rPr>
      </w:pPr>
      <w:bookmarkStart w:name="23、 长期待摊费用" w:id="287"/>
      <w:bookmarkEnd w:id="287"/>
      <w:r>
        <w:rPr>
          <w:b w:val="0"/>
          <w:bCs w:val="0"/>
        </w:rPr>
      </w:r>
      <w:r>
        <w:rPr>
          <w:rFonts w:ascii="宋体" w:hAnsi="宋体" w:cs="宋体" w:eastAsia="宋体" w:hint="default"/>
        </w:rPr>
        <w:t>23</w:t>
      </w:r>
      <w:r>
        <w:rPr/>
        <w:t>、长期待摊费用</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27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4、递延所得税资产/递延所得税负债" w:id="288"/>
      <w:bookmarkEnd w:id="288"/>
      <w:r>
        <w:rPr>
          <w:rFonts w:ascii="宋体" w:hAnsi="宋体" w:cs="宋体" w:eastAsia="宋体" w:hint="default"/>
          <w:sz w:val="21"/>
          <w:szCs w:val="21"/>
        </w:rPr>
      </w:r>
      <w:r>
        <w:rPr>
          <w:rFonts w:ascii="宋体" w:hAnsi="宋体" w:cs="宋体" w:eastAsia="宋体" w:hint="default"/>
          <w:b/>
          <w:bCs/>
          <w:sz w:val="21"/>
          <w:szCs w:val="21"/>
        </w:rPr>
        <w:t>24</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Heading4"/>
        <w:spacing w:line="240" w:lineRule="auto" w:before="46"/>
        <w:ind w:right="1122"/>
        <w:jc w:val="left"/>
        <w:rPr>
          <w:b w:val="0"/>
          <w:bCs w:val="0"/>
        </w:rPr>
      </w:pPr>
      <w:bookmarkStart w:name="（1）未经抵销的递延所得税资产" w:id="289"/>
      <w:bookmarkEnd w:id="289"/>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215" w:hRule="exact"/>
        </w:trPr>
        <w:tc>
          <w:tcPr>
            <w:tcW w:w="1913"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831"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12" w:space="0" w:color="000000"/>
            </w:tcBorders>
            <w:shd w:val="clear" w:color="auto" w:fill="D2D2D2"/>
          </w:tcPr>
          <w:p>
            <w:pPr/>
          </w:p>
        </w:tc>
      </w:tr>
      <w:tr>
        <w:trPr>
          <w:trHeight w:val="197" w:hRule="exact"/>
        </w:trPr>
        <w:tc>
          <w:tcPr>
            <w:tcW w:w="1913" w:type="dxa"/>
            <w:vMerge/>
            <w:tcBorders>
              <w:left w:val="single" w:sz="12"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3" w:type="dxa"/>
            <w:tcBorders>
              <w:top w:val="nil" w:sz="6" w:space="0" w:color="auto"/>
              <w:left w:val="single" w:sz="12"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12" w:space="0" w:color="000000"/>
            </w:tcBorders>
            <w:shd w:val="clear" w:color="auto" w:fill="D2D2D2"/>
          </w:tcPr>
          <w:p>
            <w:pPr/>
          </w:p>
        </w:tc>
      </w:tr>
      <w:tr>
        <w:trPr>
          <w:trHeight w:val="402" w:hRule="exact"/>
        </w:trPr>
        <w:tc>
          <w:tcPr>
            <w:tcW w:w="19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71,949,957.24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10,958,795.34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55,613,666.66</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8,491,673.77</w:t>
            </w:r>
          </w:p>
        </w:tc>
      </w:tr>
      <w:tr>
        <w:trPr>
          <w:trHeight w:val="402" w:hRule="exact"/>
        </w:trPr>
        <w:tc>
          <w:tcPr>
            <w:tcW w:w="19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3,609,933.82</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545,660.44</w:t>
            </w:r>
          </w:p>
        </w:tc>
      </w:tr>
      <w:tr>
        <w:trPr>
          <w:trHeight w:val="412" w:hRule="exact"/>
        </w:trPr>
        <w:tc>
          <w:tcPr>
            <w:tcW w:w="19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71,949,957.24</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10,958,795.34</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59,223,600.48</w:t>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9,037,334.21</w:t>
            </w:r>
          </w:p>
        </w:tc>
      </w:tr>
    </w:tbl>
    <w:p>
      <w:pPr>
        <w:pStyle w:val="Heading4"/>
        <w:spacing w:line="240" w:lineRule="auto" w:before="63"/>
        <w:ind w:right="1122"/>
        <w:jc w:val="left"/>
        <w:rPr>
          <w:b w:val="0"/>
          <w:bCs w:val="0"/>
        </w:rPr>
      </w:pPr>
      <w:bookmarkStart w:name="（2）未经抵销的递延所得税负债" w:id="290"/>
      <w:bookmarkEnd w:id="290"/>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01"/>
        <w:gridCol w:w="1928"/>
        <w:gridCol w:w="1914"/>
        <w:gridCol w:w="1914"/>
        <w:gridCol w:w="1913"/>
      </w:tblGrid>
      <w:tr>
        <w:trPr>
          <w:trHeight w:val="215" w:hRule="exact"/>
        </w:trPr>
        <w:tc>
          <w:tcPr>
            <w:tcW w:w="1901"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842"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12" w:space="0" w:color="000000"/>
            </w:tcBorders>
            <w:shd w:val="clear" w:color="auto" w:fill="D2D2D2"/>
          </w:tcPr>
          <w:p>
            <w:pPr/>
          </w:p>
        </w:tc>
      </w:tr>
      <w:tr>
        <w:trPr>
          <w:trHeight w:val="200" w:hRule="exact"/>
        </w:trPr>
        <w:tc>
          <w:tcPr>
            <w:tcW w:w="1901" w:type="dxa"/>
            <w:vMerge/>
            <w:tcBorders>
              <w:left w:val="single" w:sz="12"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12"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12" w:space="0" w:color="000000"/>
            </w:tcBorders>
            <w:shd w:val="clear" w:color="auto" w:fill="D2D2D2"/>
          </w:tcPr>
          <w:p>
            <w:pPr/>
          </w:p>
        </w:tc>
      </w:tr>
      <w:tr>
        <w:trPr>
          <w:trHeight w:val="714" w:hRule="exact"/>
        </w:trPr>
        <w:tc>
          <w:tcPr>
            <w:tcW w:w="190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15,876,919.65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3,550,855.33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16,697,010.54</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3,702,565.47</w:t>
            </w:r>
          </w:p>
        </w:tc>
      </w:tr>
      <w:tr>
        <w:trPr>
          <w:trHeight w:val="412" w:hRule="exact"/>
        </w:trPr>
        <w:tc>
          <w:tcPr>
            <w:tcW w:w="190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15,876,919.65</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3,550,855.33</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16,697,010.54</w:t>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3,702,565.47</w:t>
            </w:r>
          </w:p>
        </w:tc>
      </w:tr>
    </w:tbl>
    <w:p>
      <w:pPr>
        <w:pStyle w:val="Heading4"/>
        <w:spacing w:line="240" w:lineRule="auto" w:before="63"/>
        <w:ind w:right="1122"/>
        <w:jc w:val="left"/>
        <w:rPr>
          <w:b w:val="0"/>
          <w:bCs w:val="0"/>
        </w:rPr>
      </w:pPr>
      <w:bookmarkStart w:name="（3）以抵销后净额列示的递延所得税资产或负债" w:id="291"/>
      <w:bookmarkEnd w:id="291"/>
      <w:r>
        <w:rPr>
          <w:b w:val="0"/>
          <w:bCs w:val="0"/>
        </w:rPr>
      </w:r>
      <w:r>
        <w:rPr/>
        <w:t>（</w:t>
      </w:r>
      <w:r>
        <w:rPr>
          <w:rFonts w:ascii="宋体" w:hAnsi="宋体" w:cs="宋体" w:eastAsia="宋体"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01"/>
        <w:gridCol w:w="1928"/>
        <w:gridCol w:w="1914"/>
        <w:gridCol w:w="1914"/>
        <w:gridCol w:w="1913"/>
      </w:tblGrid>
      <w:tr>
        <w:trPr>
          <w:trHeight w:val="171" w:hRule="exact"/>
        </w:trPr>
        <w:tc>
          <w:tcPr>
            <w:tcW w:w="1901"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928" w:type="dxa"/>
            <w:vMerge w:val="restart"/>
            <w:tcBorders>
              <w:top w:val="single" w:sz="12" w:space="0" w:color="000000"/>
              <w:left w:val="single" w:sz="4" w:space="0" w:color="000000"/>
              <w:right w:val="single" w:sz="4" w:space="0" w:color="000000"/>
            </w:tcBorders>
            <w:shd w:val="clear" w:color="auto" w:fill="D2D2D2"/>
          </w:tcPr>
          <w:p>
            <w:pPr>
              <w:pStyle w:val="TableParagraph"/>
              <w:spacing w:line="319"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12"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12"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vMerge w:val="restart"/>
            <w:tcBorders>
              <w:top w:val="single" w:sz="12" w:space="0" w:color="000000"/>
              <w:left w:val="single" w:sz="4" w:space="0" w:color="000000"/>
              <w:right w:val="single" w:sz="12" w:space="0" w:color="000000"/>
            </w:tcBorders>
            <w:shd w:val="clear" w:color="auto" w:fill="D2D2D2"/>
          </w:tcPr>
          <w:p>
            <w:pPr>
              <w:pStyle w:val="TableParagraph"/>
              <w:spacing w:line="319" w:lineRule="auto" w:before="51"/>
              <w:ind w:left="321" w:right="4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3" w:hRule="exact"/>
        </w:trPr>
        <w:tc>
          <w:tcPr>
            <w:tcW w:w="1901"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12" w:space="0" w:color="000000"/>
            </w:tcBorders>
            <w:shd w:val="clear" w:color="auto" w:fill="D2D2D2"/>
          </w:tcPr>
          <w:p>
            <w:pPr/>
          </w:p>
        </w:tc>
      </w:tr>
      <w:tr>
        <w:trPr>
          <w:trHeight w:val="161" w:hRule="exact"/>
        </w:trPr>
        <w:tc>
          <w:tcPr>
            <w:tcW w:w="1901" w:type="dxa"/>
            <w:tcBorders>
              <w:top w:val="nil" w:sz="6" w:space="0" w:color="auto"/>
              <w:left w:val="single" w:sz="12"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12" w:space="0" w:color="000000"/>
            </w:tcBorders>
            <w:shd w:val="clear" w:color="auto" w:fill="D2D2D2"/>
          </w:tcPr>
          <w:p>
            <w:pPr/>
          </w:p>
        </w:tc>
      </w:tr>
      <w:tr>
        <w:trPr>
          <w:trHeight w:val="402" w:hRule="exact"/>
        </w:trPr>
        <w:tc>
          <w:tcPr>
            <w:tcW w:w="190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10,958,795.34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9,037,334.21</w:t>
            </w:r>
          </w:p>
        </w:tc>
      </w:tr>
      <w:tr>
        <w:trPr>
          <w:trHeight w:val="412" w:hRule="exact"/>
        </w:trPr>
        <w:tc>
          <w:tcPr>
            <w:tcW w:w="190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12" w:space="0" w:color="000000"/>
              <w:right w:val="single" w:sz="4" w:space="0" w:color="000000"/>
            </w:tcBorders>
          </w:tcPr>
          <w:p>
            <w:pP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3,550,855.33</w:t>
            </w:r>
          </w:p>
        </w:tc>
        <w:tc>
          <w:tcPr>
            <w:tcW w:w="1914" w:type="dxa"/>
            <w:tcBorders>
              <w:top w:val="single" w:sz="4" w:space="0" w:color="000000"/>
              <w:left w:val="single" w:sz="4" w:space="0" w:color="000000"/>
              <w:bottom w:val="single" w:sz="12" w:space="0" w:color="000000"/>
              <w:right w:val="single" w:sz="4" w:space="0" w:color="000000"/>
            </w:tcBorders>
          </w:tcPr>
          <w:p>
            <w:pP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3,702,565.47</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4）未确认递延所得税资产明细" w:id="292"/>
      <w:bookmarkEnd w:id="292"/>
      <w:r>
        <w:rPr>
          <w:b w:val="0"/>
          <w:bCs w:val="0"/>
        </w:rPr>
      </w:r>
      <w:r>
        <w:rPr/>
        <w:t>（</w:t>
      </w:r>
      <w:r>
        <w:rPr>
          <w:rFonts w:ascii="宋体" w:hAnsi="宋体" w:cs="宋体" w:eastAsia="宋体" w:hint="default"/>
        </w:rPr>
        <w:t>4</w:t>
      </w:r>
      <w:r>
        <w:rPr/>
        <w:t>）未确认递延所得税资产明细</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1"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4,579.17</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1,364.93</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138,611,258.73</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109,351,494.85</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未实现内部交易损益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3,159,027.17</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9,278,650.04</w:t>
            </w:r>
          </w:p>
        </w:tc>
      </w:tr>
      <w:tr>
        <w:trPr>
          <w:trHeight w:val="412"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141,774,865.07</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118,631,509.82</w:t>
            </w:r>
          </w:p>
        </w:tc>
      </w:tr>
    </w:tbl>
    <w:p>
      <w:pPr>
        <w:pStyle w:val="Heading4"/>
        <w:spacing w:line="240" w:lineRule="auto" w:before="63"/>
        <w:ind w:right="1122"/>
        <w:jc w:val="left"/>
        <w:rPr>
          <w:b w:val="0"/>
          <w:bCs w:val="0"/>
        </w:rPr>
      </w:pPr>
      <w:bookmarkStart w:name="（5）未确认递延所得税资产的可抵扣亏损将于以下年度到期" w:id="293"/>
      <w:bookmarkEnd w:id="293"/>
      <w:r>
        <w:rPr>
          <w:b w:val="0"/>
          <w:bCs w:val="0"/>
        </w:rPr>
      </w: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390"/>
        <w:gridCol w:w="2396"/>
        <w:gridCol w:w="2392"/>
        <w:gridCol w:w="2391"/>
      </w:tblGrid>
      <w:tr>
        <w:trPr>
          <w:trHeight w:val="412" w:hRule="exact"/>
        </w:trPr>
        <w:tc>
          <w:tcPr>
            <w:tcW w:w="239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867,206.72</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1,645,101.60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1,645,101.60</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2,510,551.81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36,370,080.54</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4,127,750.58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14,139,793.14</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7,368,071.74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56,329,312.85</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6,309,661.96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1,577,586.43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28,905,163.88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2026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3,961,804.06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2027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46,373,824.48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2028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35,831,742.19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239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138,611,258.73</w:t>
            </w:r>
          </w:p>
        </w:tc>
        <w:tc>
          <w:tcPr>
            <w:tcW w:w="2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109,351,494.85</w:t>
            </w:r>
          </w:p>
        </w:tc>
        <w:tc>
          <w:tcPr>
            <w:tcW w:w="239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3"/>
        <w:ind w:right="1122"/>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130" w:firstLine="423"/>
        <w:jc w:val="both"/>
      </w:pPr>
      <w:r>
        <w:rPr>
          <w:spacing w:val="-1"/>
        </w:rPr>
        <w:t>根据财税（</w:t>
      </w:r>
      <w:r>
        <w:rPr>
          <w:rFonts w:ascii="宋体" w:hAnsi="宋体" w:cs="宋体" w:eastAsia="宋体" w:hint="default"/>
          <w:spacing w:val="-1"/>
        </w:rPr>
        <w:t>2018</w:t>
      </w:r>
      <w:r>
        <w:rPr>
          <w:spacing w:val="-1"/>
        </w:rPr>
        <w:t>）</w:t>
      </w:r>
      <w:r>
        <w:rPr>
          <w:rFonts w:ascii="宋体" w:hAnsi="宋体" w:cs="宋体" w:eastAsia="宋体" w:hint="default"/>
          <w:spacing w:val="-1"/>
        </w:rPr>
        <w:t>76</w:t>
      </w:r>
      <w:r>
        <w:rPr>
          <w:spacing w:val="-1"/>
        </w:rPr>
        <w:t>号的规定，当年具备高新技术企业或科技型中小企业资格（以下统称资格）的企</w:t>
      </w:r>
      <w:r>
        <w:rPr/>
        <w:t> </w:t>
      </w:r>
      <w:r>
        <w:rPr>
          <w:spacing w:val="-1"/>
        </w:rPr>
        <w:t>业，其具备资格年度之前</w:t>
      </w:r>
      <w:r>
        <w:rPr>
          <w:rFonts w:ascii="宋体" w:hAnsi="宋体" w:cs="宋体" w:eastAsia="宋体" w:hint="default"/>
          <w:spacing w:val="-1"/>
        </w:rPr>
        <w:t>5</w:t>
      </w:r>
      <w:r>
        <w:rPr>
          <w:spacing w:val="-1"/>
        </w:rPr>
        <w:t>个年度发生的尚未弥补完的亏损，准予结转以后年度弥补，最长结转年限由</w:t>
      </w:r>
      <w:r>
        <w:rPr>
          <w:rFonts w:ascii="宋体" w:hAnsi="宋体" w:cs="宋体" w:eastAsia="宋体" w:hint="default"/>
          <w:spacing w:val="-1"/>
        </w:rPr>
        <w:t>5</w:t>
      </w:r>
      <w:r>
        <w:rPr>
          <w:spacing w:val="-1"/>
        </w:rPr>
        <w:t>年</w:t>
      </w:r>
      <w:r>
        <w:rPr>
          <w:spacing w:val="-84"/>
        </w:rPr>
        <w:t> </w:t>
      </w:r>
      <w:r>
        <w:rPr/>
        <w:t>延长至</w:t>
      </w:r>
      <w:r>
        <w:rPr>
          <w:rFonts w:ascii="宋体" w:hAnsi="宋体" w:cs="宋体" w:eastAsia="宋体" w:hint="default"/>
        </w:rPr>
        <w:t>10</w:t>
      </w:r>
      <w:r>
        <w:rPr/>
        <w:t>年。</w:t>
      </w:r>
    </w:p>
    <w:p>
      <w:pPr>
        <w:pStyle w:val="Heading4"/>
        <w:spacing w:line="240" w:lineRule="auto" w:before="46"/>
        <w:ind w:right="1122"/>
        <w:jc w:val="left"/>
        <w:rPr>
          <w:b w:val="0"/>
          <w:bCs w:val="0"/>
        </w:rPr>
      </w:pPr>
      <w:bookmarkStart w:name="25、其他非流动资产" w:id="294"/>
      <w:bookmarkEnd w:id="294"/>
      <w:r>
        <w:rPr>
          <w:b w:val="0"/>
          <w:bCs w:val="0"/>
        </w:rPr>
      </w:r>
      <w:r>
        <w:rPr>
          <w:rFonts w:ascii="宋体" w:hAnsi="宋体" w:cs="宋体" w:eastAsia="宋体" w:hint="default"/>
        </w:rPr>
        <w:t>25</w:t>
      </w:r>
      <w:r>
        <w:rPr/>
        <w:t>、其他非流动资产</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2"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11,661,397.02</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16,474,164.24</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5,350,736.60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1,700,000.00</w:t>
            </w:r>
          </w:p>
        </w:tc>
      </w:tr>
      <w:tr>
        <w:trPr>
          <w:trHeight w:val="412"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17,012,133.62</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18,174,164.24</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26、短期借款" w:id="295"/>
      <w:bookmarkEnd w:id="295"/>
      <w:r>
        <w:rPr>
          <w:b w:val="0"/>
          <w:bCs w:val="0"/>
        </w:rPr>
      </w:r>
      <w:r>
        <w:rPr>
          <w:rFonts w:ascii="宋体" w:hAnsi="宋体" w:cs="宋体" w:eastAsia="宋体" w:hint="default"/>
        </w:rPr>
        <w:t>26</w:t>
      </w:r>
      <w:r>
        <w:rPr/>
        <w:t>、短期借款</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2"/>
        <w:jc w:val="left"/>
        <w:rPr>
          <w:b w:val="0"/>
          <w:bCs w:val="0"/>
        </w:rPr>
      </w:pPr>
      <w:bookmarkStart w:name="（1）短期借款分类" w:id="296"/>
      <w:bookmarkEnd w:id="296"/>
      <w:r>
        <w:rPr>
          <w:b w:val="0"/>
          <w:bCs w:val="0"/>
        </w:rPr>
      </w:r>
      <w:r>
        <w:rPr/>
        <w:t>（</w:t>
      </w:r>
      <w:r>
        <w:rPr>
          <w:rFonts w:ascii="宋体" w:hAnsi="宋体" w:cs="宋体" w:eastAsia="宋体" w:hint="default"/>
        </w:rPr>
        <w:t>1</w:t>
      </w:r>
      <w:r>
        <w:rPr/>
        <w:t>）短期借款分类</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1"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3,850.00</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143,000,000.00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115,000,000.00</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承兑汇票贴现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1,875,000.00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5,000,000.00</w:t>
            </w:r>
          </w:p>
        </w:tc>
      </w:tr>
      <w:tr>
        <w:trPr>
          <w:trHeight w:val="412"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144,875,000.00</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120,003,850.00</w:t>
            </w:r>
          </w:p>
        </w:tc>
      </w:tr>
    </w:tbl>
    <w:p>
      <w:pPr>
        <w:pStyle w:val="BodyText"/>
        <w:spacing w:line="240" w:lineRule="auto" w:before="63"/>
        <w:ind w:left="577" w:right="1122"/>
        <w:jc w:val="left"/>
      </w:pPr>
      <w:r>
        <w:rPr/>
        <w:t>短期借款分类的说明：</w:t>
      </w:r>
    </w:p>
    <w:p>
      <w:pPr>
        <w:spacing w:line="240" w:lineRule="auto" w:before="10"/>
        <w:rPr>
          <w:rFonts w:ascii="宋体" w:hAnsi="宋体" w:cs="宋体" w:eastAsia="宋体" w:hint="default"/>
          <w:sz w:val="14"/>
          <w:szCs w:val="14"/>
        </w:rPr>
      </w:pPr>
    </w:p>
    <w:p>
      <w:pPr>
        <w:pStyle w:val="BodyText"/>
        <w:spacing w:line="240" w:lineRule="auto" w:before="0"/>
        <w:ind w:left="577" w:right="1122"/>
        <w:jc w:val="left"/>
      </w:pPr>
      <w:r>
        <w:rPr>
          <w:spacing w:val="12"/>
        </w:rPr>
        <w:t>①</w:t>
      </w:r>
      <w:r>
        <w:rPr>
          <w:rFonts w:ascii="宋体" w:hAnsi="宋体" w:cs="宋体" w:eastAsia="宋体" w:hint="default"/>
          <w:spacing w:val="12"/>
        </w:rPr>
        <w:t>2017</w:t>
      </w:r>
      <w:r>
        <w:rPr>
          <w:spacing w:val="12"/>
        </w:rPr>
        <w:t>年</w:t>
      </w:r>
      <w:r>
        <w:rPr>
          <w:rFonts w:ascii="宋体" w:hAnsi="宋体" w:cs="宋体" w:eastAsia="宋体" w:hint="default"/>
          <w:spacing w:val="12"/>
        </w:rPr>
        <w:t>12</w:t>
      </w:r>
      <w:r>
        <w:rPr>
          <w:spacing w:val="12"/>
        </w:rPr>
        <w:t>月</w:t>
      </w:r>
      <w:r>
        <w:rPr>
          <w:rFonts w:ascii="宋体" w:hAnsi="宋体" w:cs="宋体" w:eastAsia="宋体" w:hint="default"/>
          <w:spacing w:val="12"/>
        </w:rPr>
        <w:t>31</w:t>
      </w:r>
      <w:r>
        <w:rPr>
          <w:spacing w:val="12"/>
        </w:rPr>
        <w:t>日，光一科技股份有限公司与南京银行珠江支行签订最高债权额度内借款合同</w:t>
      </w:r>
    </w:p>
    <w:p>
      <w:pPr>
        <w:spacing w:line="240" w:lineRule="auto" w:before="10"/>
        <w:rPr>
          <w:rFonts w:ascii="宋体" w:hAnsi="宋体" w:cs="宋体" w:eastAsia="宋体" w:hint="default"/>
          <w:sz w:val="14"/>
          <w:szCs w:val="14"/>
        </w:rPr>
      </w:pPr>
    </w:p>
    <w:p>
      <w:pPr>
        <w:pStyle w:val="BodyText"/>
        <w:spacing w:line="408" w:lineRule="auto" w:before="0"/>
        <w:ind w:right="1132"/>
        <w:jc w:val="both"/>
      </w:pPr>
      <w:r>
        <w:rPr>
          <w:spacing w:val="-1"/>
        </w:rPr>
        <w:t>《</w:t>
      </w:r>
      <w:r>
        <w:rPr>
          <w:rFonts w:ascii="宋体" w:hAnsi="宋体" w:cs="宋体" w:eastAsia="宋体" w:hint="default"/>
          <w:spacing w:val="-1"/>
        </w:rPr>
        <w:t>AO4002731707270317</w:t>
      </w:r>
      <w:r>
        <w:rPr>
          <w:spacing w:val="-1"/>
        </w:rPr>
        <w:t>》，借款金额为</w:t>
      </w:r>
      <w:r>
        <w:rPr>
          <w:rFonts w:ascii="宋体" w:hAnsi="宋体" w:cs="宋体" w:eastAsia="宋体" w:hint="default"/>
          <w:spacing w:val="-1"/>
        </w:rPr>
        <w:t>40,000,000.00</w:t>
      </w:r>
      <w:r>
        <w:rPr>
          <w:spacing w:val="-1"/>
        </w:rPr>
        <w:t>元，借款期限</w:t>
      </w:r>
      <w:r>
        <w:rPr>
          <w:rFonts w:ascii="宋体" w:hAnsi="宋体" w:cs="宋体" w:eastAsia="宋体" w:hint="default"/>
          <w:spacing w:val="-1"/>
        </w:rPr>
        <w:t>2018.1.2-2019.1.2</w:t>
      </w:r>
      <w:r>
        <w:rPr>
          <w:spacing w:val="-1"/>
        </w:rPr>
        <w:t>，由江苏光一投资</w:t>
      </w:r>
      <w:r>
        <w:rPr>
          <w:spacing w:val="-63"/>
        </w:rPr>
        <w:t> </w:t>
      </w:r>
      <w:r>
        <w:rPr>
          <w:spacing w:val="-63"/>
        </w:rPr>
      </w:r>
      <w:r>
        <w:rPr>
          <w:spacing w:val="-1"/>
        </w:rPr>
        <w:t>管理有限责任公司作为保证人，提供连带责任保证担保。</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日归还借款</w:t>
      </w:r>
      <w:r>
        <w:rPr>
          <w:rFonts w:ascii="宋体" w:hAnsi="宋体" w:cs="宋体" w:eastAsia="宋体" w:hint="default"/>
          <w:spacing w:val="-1"/>
        </w:rPr>
        <w:t>2600</w:t>
      </w:r>
      <w:r>
        <w:rPr>
          <w:spacing w:val="-1"/>
        </w:rPr>
        <w:t>万元，财务报表截</w:t>
      </w:r>
      <w:r>
        <w:rPr>
          <w:spacing w:val="-80"/>
        </w:rPr>
        <w:t> </w:t>
      </w:r>
      <w:r>
        <w:rPr>
          <w:spacing w:val="-80"/>
        </w:rPr>
      </w:r>
      <w:r>
        <w:rPr/>
        <w:t>止日还有</w:t>
      </w:r>
      <w:r>
        <w:rPr>
          <w:rFonts w:ascii="宋体" w:hAnsi="宋体" w:cs="宋体" w:eastAsia="宋体" w:hint="default"/>
        </w:rPr>
        <w:t>1400</w:t>
      </w:r>
      <w:r>
        <w:rPr/>
        <w:t>万元贷款未偿还。</w:t>
      </w:r>
    </w:p>
    <w:p>
      <w:pPr>
        <w:pStyle w:val="BodyText"/>
        <w:spacing w:line="240" w:lineRule="auto"/>
        <w:ind w:left="577" w:right="1122"/>
        <w:jc w:val="left"/>
      </w:pPr>
      <w:r>
        <w:rPr/>
        <w:t>②</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8"/>
        </w:rPr>
        <w:t> </w:t>
      </w:r>
      <w:r>
        <w:rPr>
          <w:rFonts w:ascii="宋体" w:hAnsi="宋体" w:cs="宋体" w:eastAsia="宋体" w:hint="default"/>
        </w:rPr>
        <w:t>1</w:t>
      </w:r>
      <w:r>
        <w:rPr>
          <w:rFonts w:ascii="宋体" w:hAnsi="宋体" w:cs="宋体" w:eastAsia="宋体" w:hint="default"/>
          <w:spacing w:val="-47"/>
        </w:rPr>
        <w:t> </w:t>
      </w:r>
      <w:r>
        <w:rPr/>
        <w:t>月</w:t>
      </w:r>
      <w:r>
        <w:rPr>
          <w:spacing w:val="-46"/>
        </w:rPr>
        <w:t> </w:t>
      </w:r>
      <w:r>
        <w:rPr>
          <w:rFonts w:ascii="宋体" w:hAnsi="宋体" w:cs="宋体" w:eastAsia="宋体" w:hint="default"/>
        </w:rPr>
        <w:t>25</w:t>
      </w:r>
      <w:r>
        <w:rPr>
          <w:rFonts w:ascii="宋体" w:hAnsi="宋体" w:cs="宋体" w:eastAsia="宋体" w:hint="default"/>
          <w:spacing w:val="-46"/>
        </w:rPr>
        <w:t> </w:t>
      </w:r>
      <w:r>
        <w:rPr/>
        <w:t>日</w:t>
      </w:r>
      <w:r>
        <w:rPr>
          <w:spacing w:val="-47"/>
        </w:rPr>
        <w:t> </w:t>
      </w:r>
      <w:r>
        <w:rPr/>
        <w:t>，</w:t>
      </w:r>
      <w:r>
        <w:rPr>
          <w:spacing w:val="-48"/>
        </w:rPr>
        <w:t> </w:t>
      </w:r>
      <w:r>
        <w:rPr/>
        <w:t>光</w:t>
      </w:r>
      <w:r>
        <w:rPr>
          <w:spacing w:val="-47"/>
        </w:rPr>
        <w:t> </w:t>
      </w:r>
      <w:r>
        <w:rPr/>
        <w:t>一</w:t>
      </w:r>
      <w:r>
        <w:rPr>
          <w:spacing w:val="-46"/>
        </w:rPr>
        <w:t> </w:t>
      </w:r>
      <w:r>
        <w:rPr/>
        <w:t>科</w:t>
      </w:r>
      <w:r>
        <w:rPr>
          <w:spacing w:val="-47"/>
        </w:rPr>
        <w:t> </w:t>
      </w:r>
      <w:r>
        <w:rPr/>
        <w:t>技</w:t>
      </w:r>
      <w:r>
        <w:rPr>
          <w:spacing w:val="-48"/>
        </w:rPr>
        <w:t> </w:t>
      </w:r>
      <w:r>
        <w:rPr/>
        <w:t>股</w:t>
      </w:r>
      <w:r>
        <w:rPr>
          <w:spacing w:val="-47"/>
        </w:rPr>
        <w:t> </w:t>
      </w:r>
      <w:r>
        <w:rPr/>
        <w:t>份</w:t>
      </w:r>
      <w:r>
        <w:rPr>
          <w:spacing w:val="-47"/>
        </w:rPr>
        <w:t> </w:t>
      </w:r>
      <w:r>
        <w:rPr/>
        <w:t>有</w:t>
      </w:r>
      <w:r>
        <w:rPr>
          <w:spacing w:val="-47"/>
        </w:rPr>
        <w:t> </w:t>
      </w:r>
      <w:r>
        <w:rPr/>
        <w:t>限</w:t>
      </w:r>
      <w:r>
        <w:rPr>
          <w:spacing w:val="-48"/>
        </w:rPr>
        <w:t> </w:t>
      </w:r>
      <w:r>
        <w:rPr/>
        <w:t>公</w:t>
      </w:r>
      <w:r>
        <w:rPr>
          <w:spacing w:val="-47"/>
        </w:rPr>
        <w:t> </w:t>
      </w:r>
      <w:r>
        <w:rPr/>
        <w:t>司</w:t>
      </w:r>
      <w:r>
        <w:rPr>
          <w:spacing w:val="-47"/>
        </w:rPr>
        <w:t> </w:t>
      </w:r>
      <w:r>
        <w:rPr/>
        <w:t>与</w:t>
      </w:r>
      <w:r>
        <w:rPr>
          <w:spacing w:val="-47"/>
        </w:rPr>
        <w:t> </w:t>
      </w:r>
      <w:r>
        <w:rPr/>
        <w:t>中</w:t>
      </w:r>
      <w:r>
        <w:rPr>
          <w:spacing w:val="-48"/>
        </w:rPr>
        <w:t> </w:t>
      </w:r>
      <w:r>
        <w:rPr/>
        <w:t>国</w:t>
      </w:r>
      <w:r>
        <w:rPr>
          <w:spacing w:val="-47"/>
        </w:rPr>
        <w:t> </w:t>
      </w:r>
      <w:r>
        <w:rPr/>
        <w:t>银</w:t>
      </w:r>
      <w:r>
        <w:rPr>
          <w:spacing w:val="-47"/>
        </w:rPr>
        <w:t> </w:t>
      </w:r>
      <w:r>
        <w:rPr/>
        <w:t>行</w:t>
      </w:r>
      <w:r>
        <w:rPr>
          <w:spacing w:val="-47"/>
        </w:rPr>
        <w:t> </w:t>
      </w:r>
      <w:r>
        <w:rPr/>
        <w:t>南</w:t>
      </w:r>
      <w:r>
        <w:rPr>
          <w:spacing w:val="-48"/>
        </w:rPr>
        <w:t> </w:t>
      </w:r>
      <w:r>
        <w:rPr/>
        <w:t>京</w:t>
      </w:r>
      <w:r>
        <w:rPr>
          <w:spacing w:val="-47"/>
        </w:rPr>
        <w:t> </w:t>
      </w:r>
      <w:r>
        <w:rPr/>
        <w:t>城</w:t>
      </w:r>
      <w:r>
        <w:rPr>
          <w:spacing w:val="-47"/>
        </w:rPr>
        <w:t> </w:t>
      </w:r>
      <w:r>
        <w:rPr/>
        <w:t>南</w:t>
      </w:r>
      <w:r>
        <w:rPr>
          <w:spacing w:val="-47"/>
        </w:rPr>
        <w:t> </w:t>
      </w:r>
      <w:r>
        <w:rPr/>
        <w:t>支</w:t>
      </w:r>
      <w:r>
        <w:rPr>
          <w:spacing w:val="-48"/>
        </w:rPr>
        <w:t> </w:t>
      </w:r>
      <w:r>
        <w:rPr/>
        <w:t>行</w:t>
      </w:r>
      <w:r>
        <w:rPr>
          <w:spacing w:val="-47"/>
        </w:rPr>
        <w:t> </w:t>
      </w:r>
      <w:r>
        <w:rPr/>
        <w:t>签</w:t>
      </w:r>
      <w:r>
        <w:rPr>
          <w:spacing w:val="-47"/>
        </w:rPr>
        <w:t> </w:t>
      </w:r>
      <w:r>
        <w:rPr/>
        <w:t>订</w:t>
      </w:r>
      <w:r>
        <w:rPr>
          <w:spacing w:val="-47"/>
        </w:rPr>
        <w:t> </w:t>
      </w:r>
      <w:r>
        <w:rPr/>
        <w:t>编</w:t>
      </w:r>
      <w:r>
        <w:rPr>
          <w:spacing w:val="-48"/>
        </w:rPr>
        <w:t> </w:t>
      </w:r>
      <w:r>
        <w:rPr/>
        <w:t>号</w:t>
      </w:r>
      <w:r>
        <w:rPr>
          <w:spacing w:val="-47"/>
        </w:rPr>
        <w:t> </w:t>
      </w:r>
      <w:r>
        <w:rPr/>
        <w:t>为</w:t>
      </w:r>
    </w:p>
    <w:p>
      <w:pPr>
        <w:spacing w:line="240" w:lineRule="auto" w:before="10"/>
        <w:rPr>
          <w:rFonts w:ascii="宋体" w:hAnsi="宋体" w:cs="宋体" w:eastAsia="宋体" w:hint="default"/>
          <w:sz w:val="14"/>
          <w:szCs w:val="14"/>
        </w:rPr>
      </w:pPr>
    </w:p>
    <w:p>
      <w:pPr>
        <w:pStyle w:val="BodyText"/>
        <w:spacing w:line="408" w:lineRule="auto" w:before="0"/>
        <w:ind w:right="1026"/>
        <w:jc w:val="left"/>
      </w:pPr>
      <w:r>
        <w:rPr>
          <w:spacing w:val="-4"/>
        </w:rPr>
        <w:t>《</w:t>
      </w:r>
      <w:r>
        <w:rPr>
          <w:rFonts w:ascii="宋体" w:hAnsi="宋体" w:cs="宋体" w:eastAsia="宋体" w:hint="default"/>
          <w:spacing w:val="-4"/>
        </w:rPr>
        <w:t>150317183E2017071701</w:t>
      </w:r>
      <w:r>
        <w:rPr>
          <w:spacing w:val="-4"/>
        </w:rPr>
        <w:t>》的授信额度协议，借款金额为</w:t>
      </w:r>
      <w:r>
        <w:rPr>
          <w:rFonts w:ascii="宋体" w:hAnsi="宋体" w:cs="宋体" w:eastAsia="宋体" w:hint="default"/>
          <w:spacing w:val="-4"/>
        </w:rPr>
        <w:t>9,000,000.00</w:t>
      </w:r>
      <w:r>
        <w:rPr>
          <w:spacing w:val="-4"/>
        </w:rPr>
        <w:t>元，借款期限</w:t>
      </w:r>
      <w:r>
        <w:rPr>
          <w:rFonts w:ascii="宋体" w:hAnsi="宋体" w:cs="宋体" w:eastAsia="宋体" w:hint="default"/>
          <w:spacing w:val="-4"/>
        </w:rPr>
        <w:t>2018.1.31-2019.1.25</w:t>
      </w:r>
      <w:r>
        <w:rPr>
          <w:spacing w:val="-4"/>
        </w:rPr>
        <w:t>，</w:t>
      </w:r>
      <w:r>
        <w:rPr>
          <w:spacing w:val="-49"/>
        </w:rPr>
        <w:t> </w:t>
      </w:r>
      <w:r>
        <w:rPr>
          <w:spacing w:val="40"/>
        </w:rPr>
        <w:t>由江苏光一投资管理有限责任公司和龙昌明与贷款人签订的编号分别为</w:t>
      </w:r>
      <w:r>
        <w:rPr>
          <w:spacing w:val="-58"/>
        </w:rPr>
        <w:t> </w:t>
      </w:r>
      <w:r>
        <w:rPr>
          <w:rFonts w:ascii="宋体" w:hAnsi="宋体" w:cs="宋体" w:eastAsia="宋体" w:hint="default"/>
        </w:rPr>
        <w:t>BZCN-2017071701</w:t>
      </w:r>
      <w:r>
        <w:rPr>
          <w:rFonts w:ascii="宋体" w:hAnsi="宋体" w:cs="宋体" w:eastAsia="宋体" w:hint="default"/>
          <w:spacing w:val="-61"/>
        </w:rPr>
        <w:t> </w:t>
      </w:r>
      <w:r>
        <w:rPr/>
        <w:t>、</w:t>
      </w:r>
      <w:r>
        <w:rPr>
          <w:spacing w:val="-94"/>
        </w:rPr>
        <w:t> </w:t>
      </w:r>
      <w:r>
        <w:rPr>
          <w:rFonts w:ascii="宋体" w:hAnsi="宋体" w:cs="宋体" w:eastAsia="宋体" w:hint="default"/>
        </w:rPr>
        <w:t>BZCN-2017071702</w:t>
      </w:r>
      <w:r>
        <w:rPr/>
        <w:t>的最高额保证合同项下的主合同，由其提供最高额担保。</w:t>
      </w:r>
    </w:p>
    <w:p>
      <w:pPr>
        <w:pStyle w:val="BodyText"/>
        <w:spacing w:line="408" w:lineRule="auto"/>
        <w:ind w:right="1132" w:firstLine="423"/>
        <w:jc w:val="both"/>
      </w:pPr>
      <w:r>
        <w:rPr>
          <w:spacing w:val="-1"/>
        </w:rPr>
        <w:t>③</w:t>
      </w:r>
      <w:r>
        <w:rPr>
          <w:rFonts w:ascii="宋体" w:hAnsi="宋体" w:cs="宋体" w:eastAsia="宋体" w:hint="default"/>
          <w:spacing w:val="-1"/>
        </w:rPr>
        <w:t>2018</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w:t>
      </w:r>
      <w:r>
        <w:rPr>
          <w:spacing w:val="-1"/>
        </w:rPr>
        <w:t>日，光一科技股份有限公司与上海浦东发展银行南京分行签订的流动资金借款合同，借</w:t>
      </w:r>
      <w:r>
        <w:rPr/>
        <w:t> </w:t>
      </w:r>
      <w:r>
        <w:rPr>
          <w:spacing w:val="-1"/>
        </w:rPr>
        <w:t>款金额为</w:t>
      </w:r>
      <w:r>
        <w:rPr>
          <w:rFonts w:ascii="宋体" w:hAnsi="宋体" w:cs="宋体" w:eastAsia="宋体" w:hint="default"/>
          <w:spacing w:val="-1"/>
        </w:rPr>
        <w:t>20,000,000.00</w:t>
      </w:r>
      <w:r>
        <w:rPr>
          <w:spacing w:val="-1"/>
        </w:rPr>
        <w:t>元，借款期限</w:t>
      </w:r>
      <w:r>
        <w:rPr>
          <w:rFonts w:ascii="宋体" w:hAnsi="宋体" w:cs="宋体" w:eastAsia="宋体" w:hint="default"/>
          <w:spacing w:val="-1"/>
        </w:rPr>
        <w:t>2018.2.1-2019.2.1</w:t>
      </w:r>
      <w:r>
        <w:rPr>
          <w:spacing w:val="-1"/>
        </w:rPr>
        <w:t>，由江苏光一投资管理有限责任公司和龙昌明作</w:t>
      </w:r>
      <w:r>
        <w:rPr>
          <w:spacing w:val="-70"/>
        </w:rPr>
        <w:t> </w:t>
      </w:r>
      <w:r>
        <w:rPr>
          <w:spacing w:val="-70"/>
        </w:rPr>
      </w:r>
      <w:r>
        <w:rPr/>
        <w:t>为担保人，签订编号为【</w:t>
      </w:r>
      <w:r>
        <w:rPr>
          <w:rFonts w:ascii="宋体" w:hAnsi="宋体" w:cs="宋体" w:eastAsia="宋体" w:hint="default"/>
        </w:rPr>
        <w:t>ZB930120170000018</w:t>
      </w:r>
      <w:r>
        <w:rPr/>
        <w:t>】和【</w:t>
      </w:r>
      <w:r>
        <w:rPr>
          <w:rFonts w:ascii="宋体" w:hAnsi="宋体" w:cs="宋体" w:eastAsia="宋体" w:hint="default"/>
        </w:rPr>
        <w:t>ZB930120170000019</w:t>
      </w:r>
      <w:r>
        <w:rPr/>
        <w:t>】的《保证合同》。</w:t>
      </w:r>
    </w:p>
    <w:p>
      <w:pPr>
        <w:pStyle w:val="BodyText"/>
        <w:spacing w:line="240" w:lineRule="auto"/>
        <w:ind w:left="577" w:right="1122"/>
        <w:jc w:val="left"/>
      </w:pPr>
      <w:r>
        <w:rPr/>
        <w:t>④</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8"/>
        </w:rPr>
        <w:t> </w:t>
      </w:r>
      <w:r>
        <w:rPr>
          <w:rFonts w:ascii="宋体" w:hAnsi="宋体" w:cs="宋体" w:eastAsia="宋体" w:hint="default"/>
        </w:rPr>
        <w:t>3</w:t>
      </w:r>
      <w:r>
        <w:rPr>
          <w:rFonts w:ascii="宋体" w:hAnsi="宋体" w:cs="宋体" w:eastAsia="宋体" w:hint="default"/>
          <w:spacing w:val="-47"/>
        </w:rPr>
        <w:t> </w:t>
      </w:r>
      <w:r>
        <w:rPr/>
        <w:t>月</w:t>
      </w:r>
      <w:r>
        <w:rPr>
          <w:spacing w:val="-46"/>
        </w:rPr>
        <w:t> </w:t>
      </w:r>
      <w:r>
        <w:rPr>
          <w:rFonts w:ascii="宋体" w:hAnsi="宋体" w:cs="宋体" w:eastAsia="宋体" w:hint="default"/>
        </w:rPr>
        <w:t>21</w:t>
      </w:r>
      <w:r>
        <w:rPr>
          <w:rFonts w:ascii="宋体" w:hAnsi="宋体" w:cs="宋体" w:eastAsia="宋体" w:hint="default"/>
          <w:spacing w:val="-46"/>
        </w:rPr>
        <w:t> </w:t>
      </w:r>
      <w:r>
        <w:rPr/>
        <w:t>日</w:t>
      </w:r>
      <w:r>
        <w:rPr>
          <w:spacing w:val="-47"/>
        </w:rPr>
        <w:t> </w:t>
      </w:r>
      <w:r>
        <w:rPr/>
        <w:t>，</w:t>
      </w:r>
      <w:r>
        <w:rPr>
          <w:spacing w:val="-48"/>
        </w:rPr>
        <w:t> </w:t>
      </w:r>
      <w:r>
        <w:rPr/>
        <w:t>光</w:t>
      </w:r>
      <w:r>
        <w:rPr>
          <w:spacing w:val="-47"/>
        </w:rPr>
        <w:t> </w:t>
      </w:r>
      <w:r>
        <w:rPr/>
        <w:t>一</w:t>
      </w:r>
      <w:r>
        <w:rPr>
          <w:spacing w:val="-47"/>
        </w:rPr>
        <w:t> </w:t>
      </w:r>
      <w:r>
        <w:rPr/>
        <w:t>科</w:t>
      </w:r>
      <w:r>
        <w:rPr>
          <w:spacing w:val="-47"/>
        </w:rPr>
        <w:t> </w:t>
      </w:r>
      <w:r>
        <w:rPr/>
        <w:t>技</w:t>
      </w:r>
      <w:r>
        <w:rPr>
          <w:spacing w:val="-48"/>
        </w:rPr>
        <w:t> </w:t>
      </w:r>
      <w:r>
        <w:rPr/>
        <w:t>股</w:t>
      </w:r>
      <w:r>
        <w:rPr>
          <w:spacing w:val="-47"/>
        </w:rPr>
        <w:t> </w:t>
      </w:r>
      <w:r>
        <w:rPr/>
        <w:t>份</w:t>
      </w:r>
      <w:r>
        <w:rPr>
          <w:spacing w:val="-47"/>
        </w:rPr>
        <w:t> </w:t>
      </w:r>
      <w:r>
        <w:rPr/>
        <w:t>有</w:t>
      </w:r>
      <w:r>
        <w:rPr>
          <w:spacing w:val="-47"/>
        </w:rPr>
        <w:t> </w:t>
      </w:r>
      <w:r>
        <w:rPr/>
        <w:t>限</w:t>
      </w:r>
      <w:r>
        <w:rPr>
          <w:spacing w:val="-48"/>
        </w:rPr>
        <w:t> </w:t>
      </w:r>
      <w:r>
        <w:rPr/>
        <w:t>公</w:t>
      </w:r>
      <w:r>
        <w:rPr>
          <w:spacing w:val="-47"/>
        </w:rPr>
        <w:t> </w:t>
      </w:r>
      <w:r>
        <w:rPr/>
        <w:t>司</w:t>
      </w:r>
      <w:r>
        <w:rPr>
          <w:spacing w:val="-47"/>
        </w:rPr>
        <w:t> </w:t>
      </w:r>
      <w:r>
        <w:rPr/>
        <w:t>与</w:t>
      </w:r>
      <w:r>
        <w:rPr>
          <w:spacing w:val="-47"/>
        </w:rPr>
        <w:t> </w:t>
      </w:r>
      <w:r>
        <w:rPr/>
        <w:t>中</w:t>
      </w:r>
      <w:r>
        <w:rPr>
          <w:spacing w:val="-48"/>
        </w:rPr>
        <w:t> </w:t>
      </w:r>
      <w:r>
        <w:rPr/>
        <w:t>国</w:t>
      </w:r>
      <w:r>
        <w:rPr>
          <w:spacing w:val="-47"/>
        </w:rPr>
        <w:t> </w:t>
      </w:r>
      <w:r>
        <w:rPr/>
        <w:t>银</w:t>
      </w:r>
      <w:r>
        <w:rPr>
          <w:spacing w:val="-47"/>
        </w:rPr>
        <w:t> </w:t>
      </w:r>
      <w:r>
        <w:rPr/>
        <w:t>行</w:t>
      </w:r>
      <w:r>
        <w:rPr>
          <w:spacing w:val="-47"/>
        </w:rPr>
        <w:t> </w:t>
      </w:r>
      <w:r>
        <w:rPr/>
        <w:t>南</w:t>
      </w:r>
      <w:r>
        <w:rPr>
          <w:spacing w:val="-48"/>
        </w:rPr>
        <w:t> </w:t>
      </w:r>
      <w:r>
        <w:rPr/>
        <w:t>京</w:t>
      </w:r>
      <w:r>
        <w:rPr>
          <w:spacing w:val="-47"/>
        </w:rPr>
        <w:t> </w:t>
      </w:r>
      <w:r>
        <w:rPr/>
        <w:t>城</w:t>
      </w:r>
      <w:r>
        <w:rPr>
          <w:spacing w:val="-47"/>
        </w:rPr>
        <w:t> </w:t>
      </w:r>
      <w:r>
        <w:rPr/>
        <w:t>南</w:t>
      </w:r>
      <w:r>
        <w:rPr>
          <w:spacing w:val="-47"/>
        </w:rPr>
        <w:t> </w:t>
      </w:r>
      <w:r>
        <w:rPr/>
        <w:t>支</w:t>
      </w:r>
      <w:r>
        <w:rPr>
          <w:spacing w:val="-48"/>
        </w:rPr>
        <w:t> </w:t>
      </w:r>
      <w:r>
        <w:rPr/>
        <w:t>行</w:t>
      </w:r>
      <w:r>
        <w:rPr>
          <w:spacing w:val="-47"/>
        </w:rPr>
        <w:t> </w:t>
      </w:r>
      <w:r>
        <w:rPr/>
        <w:t>签</w:t>
      </w:r>
      <w:r>
        <w:rPr>
          <w:spacing w:val="-47"/>
        </w:rPr>
        <w:t> </w:t>
      </w:r>
      <w:r>
        <w:rPr/>
        <w:t>订</w:t>
      </w:r>
      <w:r>
        <w:rPr>
          <w:spacing w:val="-47"/>
        </w:rPr>
        <w:t> </w:t>
      </w:r>
      <w:r>
        <w:rPr/>
        <w:t>编</w:t>
      </w:r>
      <w:r>
        <w:rPr>
          <w:spacing w:val="-48"/>
        </w:rPr>
        <w:t> </w:t>
      </w:r>
      <w:r>
        <w:rPr/>
        <w:t>号</w:t>
      </w:r>
      <w:r>
        <w:rPr>
          <w:spacing w:val="-47"/>
        </w:rPr>
        <w:t> </w:t>
      </w:r>
      <w:r>
        <w:rPr/>
        <w:t>为</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spacing w:val="-4"/>
        </w:rPr>
        <w:t>《</w:t>
      </w:r>
      <w:r>
        <w:rPr>
          <w:rFonts w:ascii="宋体" w:hAnsi="宋体" w:cs="宋体" w:eastAsia="宋体" w:hint="default"/>
          <w:spacing w:val="-4"/>
        </w:rPr>
        <w:t>150317183E2017071701</w:t>
      </w:r>
      <w:r>
        <w:rPr>
          <w:spacing w:val="-4"/>
        </w:rPr>
        <w:t>》的授信额度协议，借款金额为</w:t>
      </w:r>
      <w:r>
        <w:rPr>
          <w:rFonts w:ascii="宋体" w:hAnsi="宋体" w:cs="宋体" w:eastAsia="宋体" w:hint="default"/>
          <w:spacing w:val="-4"/>
        </w:rPr>
        <w:t>10,000,000.00</w:t>
      </w:r>
      <w:r>
        <w:rPr>
          <w:spacing w:val="-4"/>
        </w:rPr>
        <w:t>元，借款期限</w:t>
      </w:r>
      <w:r>
        <w:rPr>
          <w:rFonts w:ascii="宋体" w:hAnsi="宋体" w:cs="宋体" w:eastAsia="宋体" w:hint="default"/>
          <w:spacing w:val="-4"/>
        </w:rPr>
        <w:t>2018.3.21-2019.3.20</w:t>
      </w:r>
      <w:r>
        <w:rPr>
          <w:spacing w:val="-4"/>
        </w:rPr>
        <w:t>，</w:t>
      </w:r>
    </w:p>
    <w:p>
      <w:pPr>
        <w:spacing w:line="240" w:lineRule="auto" w:before="10"/>
        <w:rPr>
          <w:rFonts w:ascii="宋体" w:hAnsi="宋体" w:cs="宋体" w:eastAsia="宋体" w:hint="default"/>
          <w:sz w:val="14"/>
          <w:szCs w:val="14"/>
        </w:rPr>
      </w:pPr>
    </w:p>
    <w:p>
      <w:pPr>
        <w:pStyle w:val="BodyText"/>
        <w:spacing w:line="408" w:lineRule="auto" w:before="0"/>
        <w:ind w:right="1130"/>
        <w:jc w:val="left"/>
      </w:pPr>
      <w:r>
        <w:rPr>
          <w:spacing w:val="40"/>
        </w:rPr>
        <w:t>由江苏光一投资管理有限责任公司和龙昌明与贷款人签订的编号分别为</w:t>
      </w:r>
      <w:r>
        <w:rPr>
          <w:spacing w:val="-53"/>
        </w:rPr>
        <w:t> </w:t>
      </w:r>
      <w:r>
        <w:rPr>
          <w:rFonts w:ascii="宋体" w:hAnsi="宋体" w:cs="宋体" w:eastAsia="宋体" w:hint="default"/>
        </w:rPr>
        <w:t>BZCN-2017071701</w:t>
      </w:r>
      <w:r>
        <w:rPr>
          <w:rFonts w:ascii="宋体" w:hAnsi="宋体" w:cs="宋体" w:eastAsia="宋体" w:hint="default"/>
          <w:spacing w:val="-57"/>
        </w:rPr>
        <w:t> </w:t>
      </w:r>
      <w:r>
        <w:rPr/>
        <w:t>、 </w:t>
      </w:r>
      <w:r>
        <w:rPr>
          <w:rFonts w:ascii="宋体" w:hAnsi="宋体" w:cs="宋体" w:eastAsia="宋体" w:hint="default"/>
        </w:rPr>
        <w:t>BZCN-2017071702</w:t>
      </w:r>
      <w:r>
        <w:rPr/>
        <w:t>的最高额保证合同项下的主合同，由其提供最高额担保。</w:t>
      </w:r>
    </w:p>
    <w:p>
      <w:pPr>
        <w:pStyle w:val="BodyText"/>
        <w:spacing w:line="408" w:lineRule="auto"/>
        <w:ind w:right="1132" w:firstLine="423"/>
        <w:jc w:val="both"/>
      </w:pPr>
      <w:r>
        <w:rPr/>
        <w:t>⑤</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20</w:t>
      </w:r>
      <w:r>
        <w:rPr/>
        <w:t>日，光一科技股份有限公司与中国光大银行南京分行签订的短期流动资金贷款合同， </w:t>
      </w:r>
      <w:r>
        <w:rPr>
          <w:spacing w:val="-1"/>
        </w:rPr>
        <w:t>借款金额为</w:t>
      </w:r>
      <w:r>
        <w:rPr>
          <w:rFonts w:ascii="宋体" w:hAnsi="宋体" w:cs="宋体" w:eastAsia="宋体" w:hint="default"/>
          <w:spacing w:val="-1"/>
        </w:rPr>
        <w:t>15,000,000.00</w:t>
      </w:r>
      <w:r>
        <w:rPr>
          <w:spacing w:val="-1"/>
        </w:rPr>
        <w:t>元，借款期限</w:t>
      </w:r>
      <w:r>
        <w:rPr>
          <w:rFonts w:ascii="宋体" w:hAnsi="宋体" w:cs="宋体" w:eastAsia="宋体" w:hint="default"/>
          <w:spacing w:val="-1"/>
        </w:rPr>
        <w:t>2018.8.20-2019.8.19</w:t>
      </w:r>
      <w:r>
        <w:rPr>
          <w:spacing w:val="-1"/>
        </w:rPr>
        <w:t>。由江苏光一投资管理有限责任公司和龙昌</w:t>
      </w:r>
      <w:r>
        <w:rPr>
          <w:spacing w:val="-71"/>
        </w:rPr>
        <w:t> </w:t>
      </w:r>
      <w:r>
        <w:rPr>
          <w:spacing w:val="-71"/>
        </w:rPr>
      </w:r>
      <w:r>
        <w:rPr/>
        <w:t>明提供连带责任保证担保，签订《保证合同》编号为【</w:t>
      </w:r>
      <w:r>
        <w:rPr>
          <w:rFonts w:ascii="宋体" w:hAnsi="宋体" w:cs="宋体" w:eastAsia="宋体" w:hint="default"/>
        </w:rPr>
        <w:t>201801011110021</w:t>
      </w:r>
      <w:r>
        <w:rPr/>
        <w:t>】。</w:t>
      </w:r>
    </w:p>
    <w:p>
      <w:pPr>
        <w:pStyle w:val="BodyText"/>
        <w:spacing w:line="240" w:lineRule="auto"/>
        <w:ind w:left="577" w:right="0"/>
        <w:jc w:val="left"/>
      </w:pPr>
      <w:r>
        <w:rPr>
          <w:spacing w:val="13"/>
        </w:rPr>
        <w:t>⑥</w:t>
      </w:r>
      <w:r>
        <w:rPr>
          <w:rFonts w:ascii="宋体" w:hAnsi="宋体" w:cs="宋体" w:eastAsia="宋体" w:hint="default"/>
          <w:spacing w:val="13"/>
        </w:rPr>
        <w:t>2018</w:t>
      </w:r>
      <w:r>
        <w:rPr>
          <w:spacing w:val="13"/>
        </w:rPr>
        <w:t>年</w:t>
      </w:r>
      <w:r>
        <w:rPr>
          <w:rFonts w:ascii="宋体" w:hAnsi="宋体" w:cs="宋体" w:eastAsia="宋体" w:hint="default"/>
          <w:spacing w:val="13"/>
        </w:rPr>
        <w:t>9</w:t>
      </w:r>
      <w:r>
        <w:rPr>
          <w:spacing w:val="13"/>
        </w:rPr>
        <w:t>月</w:t>
      </w:r>
      <w:r>
        <w:rPr>
          <w:rFonts w:ascii="宋体" w:hAnsi="宋体" w:cs="宋体" w:eastAsia="宋体" w:hint="default"/>
          <w:spacing w:val="13"/>
        </w:rPr>
        <w:t>30</w:t>
      </w:r>
      <w:r>
        <w:rPr>
          <w:spacing w:val="13"/>
        </w:rPr>
        <w:t>日，光一科技股份</w:t>
      </w:r>
      <w:r>
        <w:rPr>
          <w:spacing w:val="-74"/>
        </w:rPr>
        <w:t> </w:t>
      </w:r>
      <w:r>
        <w:rPr>
          <w:spacing w:val="17"/>
        </w:rPr>
        <w:t>有限公司与南京银行城南支行签订最高债权额度内借款合同</w:t>
      </w:r>
    </w:p>
    <w:p>
      <w:pPr>
        <w:spacing w:line="240" w:lineRule="auto" w:before="10"/>
        <w:rPr>
          <w:rFonts w:ascii="宋体" w:hAnsi="宋体" w:cs="宋体" w:eastAsia="宋体" w:hint="default"/>
          <w:sz w:val="14"/>
          <w:szCs w:val="14"/>
        </w:rPr>
      </w:pPr>
    </w:p>
    <w:p>
      <w:pPr>
        <w:pStyle w:val="BodyText"/>
        <w:spacing w:line="408" w:lineRule="auto" w:before="0"/>
        <w:ind w:right="1122"/>
        <w:jc w:val="left"/>
      </w:pPr>
      <w:r>
        <w:rPr/>
        <w:t>《</w:t>
      </w:r>
      <w:r>
        <w:rPr>
          <w:rFonts w:ascii="宋体" w:hAnsi="宋体" w:cs="宋体" w:eastAsia="宋体" w:hint="default"/>
        </w:rPr>
        <w:t>AO470091809290039</w:t>
      </w:r>
      <w:r>
        <w:rPr/>
        <w:t>》，借款金额为</w:t>
      </w:r>
      <w:r>
        <w:rPr>
          <w:rFonts w:ascii="宋体" w:hAnsi="宋体" w:cs="宋体" w:eastAsia="宋体" w:hint="default"/>
        </w:rPr>
        <w:t>15,000,000.00</w:t>
      </w:r>
      <w:r>
        <w:rPr/>
        <w:t>元，借款期限</w:t>
      </w:r>
      <w:r>
        <w:rPr>
          <w:rFonts w:ascii="宋体" w:hAnsi="宋体" w:cs="宋体" w:eastAsia="宋体" w:hint="default"/>
        </w:rPr>
        <w:t>2018.9.29-2019.9.29</w:t>
      </w:r>
      <w:r>
        <w:rPr/>
        <w:t>。由江苏光一投</w:t>
      </w:r>
      <w:r>
        <w:rPr>
          <w:spacing w:val="-36"/>
        </w:rPr>
        <w:t> </w:t>
      </w:r>
      <w:r>
        <w:rPr>
          <w:spacing w:val="-36"/>
        </w:rPr>
      </w:r>
      <w:r>
        <w:rPr/>
        <w:t>资管理有限责任公司、湖北索瑞电器有限公司、龙昌明、熊珂作为保证人，提供连带责任保证担保。</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082" w:firstLine="423"/>
        <w:jc w:val="both"/>
      </w:pPr>
      <w:r>
        <w:rPr/>
        <w:t>⑦</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7</w:t>
      </w:r>
      <w:r>
        <w:rPr/>
        <w:t>日，光一科技股份有限公司与上海浦东发展银行南京分行签订的短期流动资金贷款合 同，借款金额为</w:t>
      </w:r>
      <w:r>
        <w:rPr>
          <w:rFonts w:ascii="宋体" w:hAnsi="宋体" w:cs="宋体" w:eastAsia="宋体" w:hint="default"/>
        </w:rPr>
        <w:t>20,000,000.00</w:t>
      </w:r>
      <w:r>
        <w:rPr/>
        <w:t>元，借款期限</w:t>
      </w:r>
      <w:r>
        <w:rPr>
          <w:rFonts w:ascii="宋体" w:hAnsi="宋体" w:cs="宋体" w:eastAsia="宋体" w:hint="default"/>
        </w:rPr>
        <w:t>2018.12.7-2019.12.7</w:t>
      </w:r>
      <w:r>
        <w:rPr/>
        <w:t>。由湖北索瑞电器有限公司、江苏光一 投</w:t>
      </w:r>
      <w:r>
        <w:rPr>
          <w:spacing w:val="-59"/>
        </w:rPr>
        <w:t> </w:t>
      </w:r>
      <w:r>
        <w:rPr/>
        <w:t>资</w:t>
      </w:r>
      <w:r>
        <w:rPr>
          <w:spacing w:val="-59"/>
        </w:rPr>
        <w:t> </w:t>
      </w:r>
      <w:r>
        <w:rPr/>
        <w:t>管</w:t>
      </w:r>
      <w:r>
        <w:rPr>
          <w:spacing w:val="-59"/>
        </w:rPr>
        <w:t> </w:t>
      </w:r>
      <w:r>
        <w:rPr/>
        <w:t>理</w:t>
      </w:r>
      <w:r>
        <w:rPr>
          <w:spacing w:val="-58"/>
        </w:rPr>
        <w:t> </w:t>
      </w:r>
      <w:r>
        <w:rPr/>
        <w:t>有</w:t>
      </w:r>
      <w:r>
        <w:rPr>
          <w:spacing w:val="-59"/>
        </w:rPr>
        <w:t> </w:t>
      </w:r>
      <w:r>
        <w:rPr/>
        <w:t>限</w:t>
      </w:r>
      <w:r>
        <w:rPr>
          <w:spacing w:val="-59"/>
        </w:rPr>
        <w:t> </w:t>
      </w:r>
      <w:r>
        <w:rPr/>
        <w:t>责</w:t>
      </w:r>
      <w:r>
        <w:rPr>
          <w:spacing w:val="-59"/>
        </w:rPr>
        <w:t> </w:t>
      </w:r>
      <w:r>
        <w:rPr/>
        <w:t>任</w:t>
      </w:r>
      <w:r>
        <w:rPr>
          <w:spacing w:val="-58"/>
        </w:rPr>
        <w:t> </w:t>
      </w:r>
      <w:r>
        <w:rPr/>
        <w:t>公</w:t>
      </w:r>
      <w:r>
        <w:rPr>
          <w:spacing w:val="-59"/>
        </w:rPr>
        <w:t> </w:t>
      </w:r>
      <w:r>
        <w:rPr/>
        <w:t>司</w:t>
      </w:r>
      <w:r>
        <w:rPr>
          <w:spacing w:val="-59"/>
        </w:rPr>
        <w:t> </w:t>
      </w:r>
      <w:r>
        <w:rPr/>
        <w:t>、</w:t>
      </w:r>
      <w:r>
        <w:rPr>
          <w:spacing w:val="-59"/>
        </w:rPr>
        <w:t> </w:t>
      </w:r>
      <w:r>
        <w:rPr/>
        <w:t>龙</w:t>
      </w:r>
      <w:r>
        <w:rPr>
          <w:spacing w:val="-58"/>
        </w:rPr>
        <w:t> </w:t>
      </w:r>
      <w:r>
        <w:rPr/>
        <w:t>昌</w:t>
      </w:r>
      <w:r>
        <w:rPr>
          <w:spacing w:val="-59"/>
        </w:rPr>
        <w:t> </w:t>
      </w:r>
      <w:r>
        <w:rPr/>
        <w:t>明</w:t>
      </w:r>
      <w:r>
        <w:rPr>
          <w:spacing w:val="-59"/>
        </w:rPr>
        <w:t> </w:t>
      </w:r>
      <w:r>
        <w:rPr/>
        <w:t>作</w:t>
      </w:r>
      <w:r>
        <w:rPr>
          <w:spacing w:val="-59"/>
        </w:rPr>
        <w:t> </w:t>
      </w:r>
      <w:r>
        <w:rPr/>
        <w:t>为</w:t>
      </w:r>
      <w:r>
        <w:rPr>
          <w:spacing w:val="-58"/>
        </w:rPr>
        <w:t> </w:t>
      </w:r>
      <w:r>
        <w:rPr/>
        <w:t>保</w:t>
      </w:r>
      <w:r>
        <w:rPr>
          <w:spacing w:val="-59"/>
        </w:rPr>
        <w:t> </w:t>
      </w:r>
      <w:r>
        <w:rPr/>
        <w:t>证</w:t>
      </w:r>
      <w:r>
        <w:rPr>
          <w:spacing w:val="-59"/>
        </w:rPr>
        <w:t> </w:t>
      </w:r>
      <w:r>
        <w:rPr/>
        <w:t>人</w:t>
      </w:r>
      <w:r>
        <w:rPr>
          <w:spacing w:val="-59"/>
        </w:rPr>
        <w:t> </w:t>
      </w:r>
      <w:r>
        <w:rPr/>
        <w:t>，</w:t>
      </w:r>
      <w:r>
        <w:rPr>
          <w:spacing w:val="-58"/>
        </w:rPr>
        <w:t> </w:t>
      </w:r>
      <w:r>
        <w:rPr/>
        <w:t>分</w:t>
      </w:r>
      <w:r>
        <w:rPr>
          <w:spacing w:val="-59"/>
        </w:rPr>
        <w:t> </w:t>
      </w:r>
      <w:r>
        <w:rPr/>
        <w:t>别</w:t>
      </w:r>
      <w:r>
        <w:rPr>
          <w:spacing w:val="-59"/>
        </w:rPr>
        <w:t> </w:t>
      </w:r>
      <w:r>
        <w:rPr/>
        <w:t>签</w:t>
      </w:r>
      <w:r>
        <w:rPr>
          <w:spacing w:val="-59"/>
        </w:rPr>
        <w:t> </w:t>
      </w:r>
      <w:r>
        <w:rPr/>
        <w:t>订</w:t>
      </w:r>
      <w:r>
        <w:rPr>
          <w:spacing w:val="-58"/>
        </w:rPr>
        <w:t> </w:t>
      </w:r>
      <w:r>
        <w:rPr/>
        <w:t>编</w:t>
      </w:r>
      <w:r>
        <w:rPr>
          <w:spacing w:val="-59"/>
        </w:rPr>
        <w:t> </w:t>
      </w:r>
      <w:r>
        <w:rPr/>
        <w:t>号</w:t>
      </w:r>
      <w:r>
        <w:rPr>
          <w:spacing w:val="-59"/>
        </w:rPr>
        <w:t> </w:t>
      </w:r>
      <w:r>
        <w:rPr/>
        <w:t>为</w:t>
      </w:r>
      <w:r>
        <w:rPr>
          <w:spacing w:val="-59"/>
        </w:rPr>
        <w:t> </w:t>
      </w:r>
      <w:r>
        <w:rPr/>
        <w:t>【</w:t>
      </w:r>
      <w:r>
        <w:rPr>
          <w:spacing w:val="-53"/>
        </w:rPr>
        <w:t> </w:t>
      </w:r>
      <w:r>
        <w:rPr>
          <w:rFonts w:ascii="宋体" w:hAnsi="宋体" w:cs="宋体" w:eastAsia="宋体" w:hint="default"/>
        </w:rPr>
        <w:t>ZB9301201800000014</w:t>
      </w:r>
      <w:r>
        <w:rPr>
          <w:rFonts w:ascii="宋体" w:hAnsi="宋体" w:cs="宋体" w:eastAsia="宋体" w:hint="default"/>
          <w:spacing w:val="-57"/>
        </w:rPr>
        <w:t> </w:t>
      </w:r>
      <w:r>
        <w:rPr>
          <w:spacing w:val="24"/>
        </w:rPr>
        <w:t>】、</w:t>
      </w:r>
      <w:r>
        <w:rPr>
          <w:spacing w:val="-57"/>
        </w:rPr>
        <w:t> </w:t>
      </w:r>
      <w:r>
        <w:rPr/>
      </w:r>
    </w:p>
    <w:p>
      <w:pPr>
        <w:pStyle w:val="BodyText"/>
        <w:spacing w:line="240" w:lineRule="auto"/>
        <w:ind w:right="1122"/>
        <w:jc w:val="left"/>
      </w:pPr>
      <w:r>
        <w:rPr/>
        <w:t>【</w:t>
      </w:r>
      <w:r>
        <w:rPr>
          <w:rFonts w:ascii="宋体" w:hAnsi="宋体" w:cs="宋体" w:eastAsia="宋体" w:hint="default"/>
        </w:rPr>
        <w:t>ZB9301201800000015</w:t>
      </w:r>
      <w:r>
        <w:rPr/>
        <w:t>】、【</w:t>
      </w:r>
      <w:r>
        <w:rPr>
          <w:rFonts w:ascii="宋体" w:hAnsi="宋体" w:cs="宋体" w:eastAsia="宋体" w:hint="default"/>
        </w:rPr>
        <w:t>ZB9301201800000016</w:t>
      </w:r>
      <w:r>
        <w:rPr/>
        <w:t>】的《保证合同》。</w:t>
      </w:r>
    </w:p>
    <w:p>
      <w:pPr>
        <w:spacing w:line="240" w:lineRule="auto" w:before="10"/>
        <w:rPr>
          <w:rFonts w:ascii="宋体" w:hAnsi="宋体" w:cs="宋体" w:eastAsia="宋体" w:hint="default"/>
          <w:sz w:val="14"/>
          <w:szCs w:val="14"/>
        </w:rPr>
      </w:pPr>
    </w:p>
    <w:p>
      <w:pPr>
        <w:pStyle w:val="BodyText"/>
        <w:spacing w:line="408" w:lineRule="auto" w:before="0"/>
        <w:ind w:right="1139" w:firstLine="423"/>
        <w:jc w:val="both"/>
      </w:pPr>
      <w:r>
        <w:rPr/>
        <w:t>⑧</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6</w:t>
      </w:r>
      <w:r>
        <w:rPr/>
        <w:t>日，光一科技应收湖南威科电力仪表有限公司的银行承兑汇票向银行提前贴现，该票 据在</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30</w:t>
      </w:r>
      <w:r>
        <w:rPr/>
        <w:t>日到期，则资产负债表日前确认为短期借</w:t>
      </w:r>
      <w:r>
        <w:rPr>
          <w:rFonts w:ascii="宋体" w:hAnsi="宋体" w:cs="宋体" w:eastAsia="宋体" w:hint="default"/>
        </w:rPr>
        <w:t>1,200,000</w:t>
      </w:r>
      <w:r>
        <w:rPr/>
        <w:t>元。</w:t>
      </w:r>
    </w:p>
    <w:p>
      <w:pPr>
        <w:pStyle w:val="BodyText"/>
        <w:spacing w:line="408" w:lineRule="auto"/>
        <w:ind w:right="1132" w:firstLine="423"/>
        <w:jc w:val="both"/>
      </w:pPr>
      <w:r>
        <w:rPr>
          <w:spacing w:val="-1"/>
        </w:rPr>
        <w:t>⑨</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18</w:t>
      </w:r>
      <w:r>
        <w:rPr>
          <w:spacing w:val="-1"/>
        </w:rPr>
        <w:t>日，光一科技应收江苏苏源光一科技有限公司的银行承兑汇票向银行提前贴现，该票</w:t>
      </w:r>
      <w:r>
        <w:rPr/>
        <w:t> 据在</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17</w:t>
      </w:r>
      <w:r>
        <w:rPr/>
        <w:t>日到期，则资产负债表日前确认为短期借款</w:t>
      </w:r>
      <w:r>
        <w:rPr>
          <w:rFonts w:ascii="宋体" w:hAnsi="宋体" w:cs="宋体" w:eastAsia="宋体" w:hint="default"/>
        </w:rPr>
        <w:t>675,000</w:t>
      </w:r>
      <w:r>
        <w:rPr/>
        <w:t>元。</w:t>
      </w:r>
    </w:p>
    <w:p>
      <w:pPr>
        <w:pStyle w:val="BodyText"/>
        <w:spacing w:line="408" w:lineRule="auto"/>
        <w:ind w:right="1132" w:firstLine="423"/>
        <w:jc w:val="both"/>
      </w:pPr>
      <w:r>
        <w:rPr/>
        <w:t>⑩</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29</w:t>
      </w:r>
      <w:r>
        <w:rPr/>
        <w:t>日，江苏苏源光一科技股份有限公司与南京银行珠江支行签订非授信额度及最高债权 </w:t>
      </w:r>
      <w:r>
        <w:rPr>
          <w:spacing w:val="-1"/>
        </w:rPr>
        <w:t>额度内借款，借款金额为</w:t>
      </w:r>
      <w:r>
        <w:rPr>
          <w:rFonts w:ascii="宋体" w:hAnsi="宋体" w:cs="宋体" w:eastAsia="宋体" w:hint="default"/>
          <w:spacing w:val="-1"/>
        </w:rPr>
        <w:t>5,000,000.00</w:t>
      </w:r>
      <w:r>
        <w:rPr>
          <w:spacing w:val="-1"/>
        </w:rPr>
        <w:t>元，借款期限</w:t>
      </w:r>
      <w:r>
        <w:rPr>
          <w:rFonts w:ascii="宋体" w:hAnsi="宋体" w:cs="宋体" w:eastAsia="宋体" w:hint="default"/>
          <w:spacing w:val="-1"/>
        </w:rPr>
        <w:t>2018.3.7-2019.3.27</w:t>
      </w:r>
      <w:r>
        <w:rPr>
          <w:spacing w:val="-1"/>
        </w:rPr>
        <w:t>，由江苏光一投资管理有限责任</w:t>
      </w:r>
      <w:r>
        <w:rPr>
          <w:spacing w:val="-71"/>
        </w:rPr>
        <w:t> </w:t>
      </w:r>
      <w:r>
        <w:rPr>
          <w:spacing w:val="-71"/>
        </w:rPr>
      </w:r>
      <w:r>
        <w:rPr/>
        <w:t>公司和龙昌明作为担保人，提供连带责任保证担保，并签订相应的保证合同。</w:t>
      </w:r>
    </w:p>
    <w:p>
      <w:pPr>
        <w:pStyle w:val="BodyText"/>
        <w:spacing w:line="652" w:lineRule="exact" w:before="0"/>
        <w:ind w:right="0" w:firstLine="423"/>
        <w:jc w:val="both"/>
      </w:pPr>
      <w:r>
        <w:rPr>
          <w:rFonts w:ascii="Cambria Math" w:hAnsi="Cambria Math" w:cs="Cambria Math" w:eastAsia="Cambria Math" w:hint="default"/>
        </w:rPr>
        <w:t>⑪</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29</w:t>
      </w:r>
      <w:r>
        <w:rPr/>
        <w:t>日，南京智友尚云信息技术有限公司与南京银行股份有限公司南京分行签订的非授信</w:t>
      </w:r>
    </w:p>
    <w:p>
      <w:pPr>
        <w:pStyle w:val="BodyText"/>
        <w:spacing w:line="137" w:lineRule="exact" w:before="0"/>
        <w:ind w:right="1122"/>
        <w:jc w:val="left"/>
      </w:pPr>
      <w:r>
        <w:rPr/>
        <w:t>额度及最高债权额度借款合同，借款金额为</w:t>
      </w:r>
      <w:r>
        <w:rPr>
          <w:rFonts w:ascii="宋体" w:hAnsi="宋体" w:cs="宋体" w:eastAsia="宋体" w:hint="default"/>
        </w:rPr>
        <w:t>2,000,000.00</w:t>
      </w:r>
      <w:r>
        <w:rPr/>
        <w:t>元，借款期限</w:t>
      </w:r>
      <w:r>
        <w:rPr>
          <w:rFonts w:ascii="宋体" w:hAnsi="宋体" w:cs="宋体" w:eastAsia="宋体" w:hint="default"/>
        </w:rPr>
        <w:t>2018.9.29-2019.9.29</w:t>
      </w:r>
      <w:r>
        <w:rPr/>
        <w:t>，由沈燕芳</w:t>
      </w:r>
    </w:p>
    <w:p>
      <w:pPr>
        <w:spacing w:line="240" w:lineRule="auto" w:before="10"/>
        <w:rPr>
          <w:rFonts w:ascii="宋体" w:hAnsi="宋体" w:cs="宋体" w:eastAsia="宋体" w:hint="default"/>
          <w:sz w:val="14"/>
          <w:szCs w:val="14"/>
        </w:rPr>
      </w:pPr>
    </w:p>
    <w:p>
      <w:pPr>
        <w:pStyle w:val="BodyText"/>
        <w:spacing w:line="167" w:lineRule="exact" w:before="0"/>
        <w:ind w:right="1122"/>
        <w:jc w:val="left"/>
      </w:pPr>
      <w:r>
        <w:rPr/>
        <w:t>和唐明群作为保证人，并且承担连带责任保证担保。</w:t>
      </w:r>
    </w:p>
    <w:p>
      <w:pPr>
        <w:pStyle w:val="BodyText"/>
        <w:spacing w:line="180" w:lineRule="auto" w:before="55"/>
        <w:ind w:right="1135" w:firstLine="423"/>
        <w:jc w:val="both"/>
      </w:pPr>
      <w:r>
        <w:rPr>
          <w:rFonts w:ascii="Cambria Math" w:hAnsi="Cambria Math" w:cs="Cambria Math" w:eastAsia="Cambria Math" w:hint="default"/>
        </w:rPr>
        <w:t>⑫</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8</w:t>
      </w:r>
      <w:r>
        <w:rPr/>
        <w:t>日，德能设计公司与南京银行股份有限公司南京分行签订的非授信额度及最高债权额 度借款合同，借款金额为</w:t>
      </w:r>
      <w:r>
        <w:rPr>
          <w:rFonts w:ascii="宋体" w:hAnsi="宋体" w:cs="宋体" w:eastAsia="宋体" w:hint="default"/>
        </w:rPr>
        <w:t>3,000,000.00</w:t>
      </w:r>
      <w:r>
        <w:rPr/>
        <w:t>元，借款期限</w:t>
      </w:r>
      <w:r>
        <w:rPr>
          <w:rFonts w:ascii="宋体" w:hAnsi="宋体" w:cs="宋体" w:eastAsia="宋体" w:hint="default"/>
        </w:rPr>
        <w:t>2018.9.29-2019.9.29</w:t>
      </w:r>
      <w:r>
        <w:rPr/>
        <w:t>，由沈燕芳和唐明群作为保证</w:t>
      </w:r>
    </w:p>
    <w:p>
      <w:pPr>
        <w:spacing w:line="240" w:lineRule="auto" w:before="4"/>
        <w:rPr>
          <w:rFonts w:ascii="宋体" w:hAnsi="宋体" w:cs="宋体" w:eastAsia="宋体" w:hint="default"/>
          <w:sz w:val="15"/>
          <w:szCs w:val="15"/>
        </w:rPr>
      </w:pPr>
    </w:p>
    <w:p>
      <w:pPr>
        <w:pStyle w:val="BodyText"/>
        <w:spacing w:line="167" w:lineRule="exact" w:before="0"/>
        <w:ind w:right="1122"/>
        <w:jc w:val="left"/>
      </w:pPr>
      <w:r>
        <w:rPr/>
        <w:t>人，并且承担连带责任保证担保。</w:t>
      </w:r>
    </w:p>
    <w:p>
      <w:pPr>
        <w:pStyle w:val="BodyText"/>
        <w:spacing w:line="180" w:lineRule="auto" w:before="55"/>
        <w:ind w:right="1130" w:firstLine="423"/>
        <w:jc w:val="both"/>
      </w:pPr>
      <w:r>
        <w:rPr>
          <w:rFonts w:ascii="Cambria Math" w:hAnsi="Cambria Math" w:cs="Cambria Math" w:eastAsia="Cambria Math" w:hint="default"/>
        </w:rPr>
        <w:t>⑬</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25</w:t>
      </w:r>
      <w:r>
        <w:rPr/>
        <w:t>日，湖北索瑞电气有限公司与湖北银行公安支行签订借款合同用于采购生产材料。借 </w:t>
      </w:r>
      <w:r>
        <w:rPr>
          <w:spacing w:val="-5"/>
        </w:rPr>
        <w:t>款本金借款</w:t>
      </w:r>
      <w:r>
        <w:rPr>
          <w:rFonts w:ascii="宋体" w:hAnsi="宋体" w:cs="宋体" w:eastAsia="宋体" w:hint="default"/>
          <w:spacing w:val="-5"/>
        </w:rPr>
        <w:t>30,000,000</w:t>
      </w:r>
      <w:r>
        <w:rPr>
          <w:spacing w:val="-5"/>
        </w:rPr>
        <w:t>元，期限：</w:t>
      </w:r>
      <w:r>
        <w:rPr>
          <w:rFonts w:ascii="宋体" w:hAnsi="宋体" w:cs="宋体" w:eastAsia="宋体" w:hint="default"/>
          <w:spacing w:val="-5"/>
        </w:rPr>
        <w:t>2018</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25</w:t>
      </w:r>
      <w:r>
        <w:rPr>
          <w:spacing w:val="-5"/>
        </w:rPr>
        <w:t>日</w:t>
      </w:r>
      <w:r>
        <w:rPr>
          <w:rFonts w:ascii="宋体" w:hAnsi="宋体" w:cs="宋体" w:eastAsia="宋体" w:hint="default"/>
          <w:spacing w:val="-5"/>
        </w:rPr>
        <w:t>-2019</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25</w:t>
      </w:r>
      <w:r>
        <w:rPr>
          <w:spacing w:val="-5"/>
        </w:rPr>
        <w:t>日，利率</w:t>
      </w:r>
      <w:r>
        <w:rPr>
          <w:rFonts w:ascii="宋体" w:hAnsi="宋体" w:cs="宋体" w:eastAsia="宋体" w:hint="default"/>
          <w:spacing w:val="-5"/>
        </w:rPr>
        <w:t>7.5%</w:t>
      </w:r>
      <w:r>
        <w:rPr>
          <w:spacing w:val="-5"/>
        </w:rPr>
        <w:t>，以《</w:t>
      </w:r>
      <w:r>
        <w:rPr>
          <w:rFonts w:ascii="宋体" w:hAnsi="宋体" w:cs="宋体" w:eastAsia="宋体" w:hint="default"/>
          <w:spacing w:val="-5"/>
        </w:rPr>
        <w:t>C2017Z</w:t>
      </w:r>
      <w:r>
        <w:rPr>
          <w:spacing w:val="-5"/>
        </w:rPr>
        <w:t>保</w:t>
      </w:r>
      <w:r>
        <w:rPr>
          <w:rFonts w:ascii="宋体" w:hAnsi="宋体" w:cs="宋体" w:eastAsia="宋体" w:hint="default"/>
          <w:spacing w:val="-5"/>
        </w:rPr>
        <w:t>200605090001</w:t>
      </w:r>
      <w:r>
        <w:rPr>
          <w:spacing w:val="-5"/>
        </w:rPr>
        <w:t>》</w:t>
      </w:r>
    </w:p>
    <w:p>
      <w:pPr>
        <w:spacing w:line="240" w:lineRule="auto" w:before="4"/>
        <w:rPr>
          <w:rFonts w:ascii="宋体" w:hAnsi="宋体" w:cs="宋体" w:eastAsia="宋体" w:hint="default"/>
          <w:sz w:val="15"/>
          <w:szCs w:val="15"/>
        </w:rPr>
      </w:pPr>
    </w:p>
    <w:p>
      <w:pPr>
        <w:pStyle w:val="BodyText"/>
        <w:spacing w:line="408" w:lineRule="auto" w:before="0"/>
        <w:ind w:right="1122"/>
        <w:jc w:val="left"/>
      </w:pPr>
      <w:r>
        <w:rPr>
          <w:spacing w:val="-1"/>
        </w:rPr>
        <w:t>号个人最高额保证合同和以《</w:t>
      </w:r>
      <w:r>
        <w:rPr>
          <w:rFonts w:ascii="宋体" w:hAnsi="宋体" w:cs="宋体" w:eastAsia="宋体" w:hint="default"/>
          <w:spacing w:val="-1"/>
        </w:rPr>
        <w:t>C2017Z</w:t>
      </w:r>
      <w:r>
        <w:rPr>
          <w:spacing w:val="-1"/>
        </w:rPr>
        <w:t>抵</w:t>
      </w:r>
      <w:r>
        <w:rPr>
          <w:rFonts w:ascii="宋体" w:hAnsi="宋体" w:cs="宋体" w:eastAsia="宋体" w:hint="default"/>
          <w:spacing w:val="-1"/>
        </w:rPr>
        <w:t>200605090001</w:t>
      </w:r>
      <w:r>
        <w:rPr>
          <w:spacing w:val="-1"/>
        </w:rPr>
        <w:t>》号最高额抵押合同为主债权担保，任昌兆承担连带</w:t>
      </w:r>
      <w:r>
        <w:rPr>
          <w:spacing w:val="-78"/>
        </w:rPr>
        <w:t> </w:t>
      </w:r>
      <w:r>
        <w:rPr>
          <w:spacing w:val="-78"/>
        </w:rPr>
      </w:r>
      <w:r>
        <w:rPr/>
        <w:t>保证责任，抵押物为山源科技的房产和土地。</w:t>
      </w:r>
    </w:p>
    <w:p>
      <w:pPr>
        <w:pStyle w:val="Heading4"/>
        <w:spacing w:line="240" w:lineRule="auto" w:before="46"/>
        <w:ind w:right="1122"/>
        <w:jc w:val="left"/>
        <w:rPr>
          <w:b w:val="0"/>
          <w:bCs w:val="0"/>
        </w:rPr>
      </w:pPr>
      <w:bookmarkStart w:name="（3） 已逾期未偿还的短期借款情况" w:id="297"/>
      <w:bookmarkEnd w:id="297"/>
      <w:r>
        <w:rPr>
          <w:b w:val="0"/>
          <w:bCs w:val="0"/>
        </w:rPr>
      </w:r>
      <w:r>
        <w:rPr/>
        <w:t>（</w:t>
      </w:r>
      <w:r>
        <w:rPr>
          <w:rFonts w:ascii="宋体" w:hAnsi="宋体" w:cs="宋体" w:eastAsia="宋体" w:hint="default"/>
        </w:rPr>
        <w:t>3</w:t>
      </w:r>
      <w:r>
        <w:rPr/>
        <w:t>）已逾期未偿还的短期借款情况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571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7、以公允价值计量且其变动计入当期损益的金融负债" w:id="298"/>
      <w:bookmarkEnd w:id="298"/>
      <w:r>
        <w:rPr>
          <w:rFonts w:ascii="宋体" w:hAnsi="宋体" w:cs="宋体" w:eastAsia="宋体" w:hint="default"/>
          <w:sz w:val="21"/>
          <w:szCs w:val="21"/>
        </w:rPr>
      </w:r>
      <w:r>
        <w:rPr>
          <w:rFonts w:ascii="宋体" w:hAnsi="宋体" w:cs="宋体" w:eastAsia="宋体" w:hint="default"/>
          <w:b/>
          <w:bCs/>
          <w:w w:val="95"/>
          <w:sz w:val="21"/>
          <w:szCs w:val="21"/>
        </w:rPr>
        <w:t>27</w:t>
      </w:r>
      <w:r>
        <w:rPr>
          <w:rFonts w:ascii="宋体" w:hAnsi="宋体" w:cs="宋体" w:eastAsia="宋体" w:hint="default"/>
          <w:b/>
          <w:bCs/>
          <w:w w:val="95"/>
          <w:sz w:val="21"/>
          <w:szCs w:val="21"/>
        </w:rPr>
        <w:t>、以公允价值计量且其变动计入当期损益的金融负债</w:t>
      </w:r>
      <w:r>
        <w:rPr>
          <w:rFonts w:ascii="宋体" w:hAnsi="宋体" w:cs="宋体" w:eastAsia="宋体" w:hint="default"/>
          <w:sz w:val="21"/>
          <w:szCs w:val="21"/>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8、衍生金融负债" w:id="299"/>
      <w:bookmarkEnd w:id="299"/>
      <w:r>
        <w:rPr>
          <w:rFonts w:ascii="宋体" w:hAnsi="宋体" w:cs="宋体" w:eastAsia="宋体" w:hint="default"/>
          <w:sz w:val="21"/>
          <w:szCs w:val="21"/>
        </w:rPr>
      </w:r>
      <w:r>
        <w:rPr>
          <w:rFonts w:ascii="宋体" w:hAnsi="宋体" w:cs="宋体" w:eastAsia="宋体" w:hint="default"/>
          <w:b/>
          <w:bCs/>
          <w:sz w:val="21"/>
          <w:szCs w:val="21"/>
        </w:rPr>
        <w:t>28</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408" w:lineRule="auto" w:before="46"/>
        <w:ind w:left="154" w:right="843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9、应付票据及应付账款" w:id="300"/>
      <w:bookmarkEnd w:id="300"/>
      <w:r>
        <w:rPr>
          <w:rFonts w:ascii="宋体" w:hAnsi="宋体" w:cs="宋体" w:eastAsia="宋体" w:hint="default"/>
          <w:sz w:val="21"/>
          <w:szCs w:val="21"/>
        </w:rPr>
      </w:r>
      <w:r>
        <w:rPr>
          <w:rFonts w:ascii="宋体" w:hAnsi="宋体" w:cs="宋体" w:eastAsia="宋体" w:hint="default"/>
          <w:b/>
          <w:bCs/>
          <w:sz w:val="21"/>
          <w:szCs w:val="21"/>
        </w:rPr>
        <w:t>29</w:t>
      </w:r>
      <w:r>
        <w:rPr>
          <w:rFonts w:ascii="宋体" w:hAnsi="宋体" w:cs="宋体" w:eastAsia="宋体" w:hint="default"/>
          <w:b/>
          <w:bCs/>
          <w:sz w:val="21"/>
          <w:szCs w:val="21"/>
        </w:rPr>
        <w:t>、应付票据及应付账款</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172"/>
        <w:gridCol w:w="3202"/>
        <w:gridCol w:w="3189"/>
      </w:tblGrid>
      <w:tr>
        <w:trPr>
          <w:trHeight w:val="412" w:hRule="exact"/>
        </w:trPr>
        <w:tc>
          <w:tcPr>
            <w:tcW w:w="317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4,957,831.68</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136,470,754.72</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204,817,574.35</w:t>
            </w:r>
          </w:p>
        </w:tc>
      </w:tr>
      <w:tr>
        <w:trPr>
          <w:trHeight w:val="413" w:hRule="exact"/>
        </w:trPr>
        <w:tc>
          <w:tcPr>
            <w:tcW w:w="317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136,470,754.72</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209,775,406.03</w:t>
            </w:r>
          </w:p>
        </w:tc>
      </w:tr>
    </w:tbl>
    <w:p>
      <w:pPr>
        <w:pStyle w:val="Heading4"/>
        <w:spacing w:line="240" w:lineRule="auto" w:before="63"/>
        <w:ind w:right="1122"/>
        <w:jc w:val="left"/>
        <w:rPr>
          <w:b w:val="0"/>
          <w:bCs w:val="0"/>
        </w:rPr>
      </w:pPr>
      <w:bookmarkStart w:name="（1）应付票据分类列示" w:id="301"/>
      <w:bookmarkEnd w:id="301"/>
      <w:r>
        <w:rPr>
          <w:b w:val="0"/>
          <w:bCs w:val="0"/>
        </w:rPr>
      </w:r>
      <w:r>
        <w:rPr/>
        <w:t>（</w:t>
      </w:r>
      <w:r>
        <w:rPr>
          <w:rFonts w:ascii="宋体" w:hAnsi="宋体" w:cs="宋体" w:eastAsia="宋体" w:hint="default"/>
        </w:rPr>
        <w:t>1</w:t>
      </w:r>
      <w:r>
        <w:rPr/>
        <w:t>）应付票据分类列示</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70"/>
        <w:gridCol w:w="3206"/>
        <w:gridCol w:w="3188"/>
      </w:tblGrid>
      <w:tr>
        <w:trPr>
          <w:trHeight w:val="411" w:hRule="exact"/>
        </w:trPr>
        <w:tc>
          <w:tcPr>
            <w:tcW w:w="317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4,957,831.68</w:t>
            </w:r>
          </w:p>
        </w:tc>
      </w:tr>
      <w:tr>
        <w:trPr>
          <w:trHeight w:val="412" w:hRule="exact"/>
        </w:trPr>
        <w:tc>
          <w:tcPr>
            <w:tcW w:w="317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12" w:space="0" w:color="000000"/>
              <w:right w:val="single" w:sz="4" w:space="0" w:color="000000"/>
            </w:tcBorders>
          </w:tcPr>
          <w:p>
            <w:pP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4,957,831.68</w:t>
            </w:r>
          </w:p>
        </w:tc>
      </w:tr>
    </w:tbl>
    <w:p>
      <w:pPr>
        <w:pStyle w:val="Heading4"/>
        <w:spacing w:line="240" w:lineRule="auto" w:before="63"/>
        <w:ind w:right="1122"/>
        <w:jc w:val="left"/>
        <w:rPr>
          <w:b w:val="0"/>
          <w:bCs w:val="0"/>
        </w:rPr>
      </w:pPr>
      <w:bookmarkStart w:name="（2）应付账款列示" w:id="302"/>
      <w:bookmarkEnd w:id="302"/>
      <w:r>
        <w:rPr>
          <w:b w:val="0"/>
          <w:bCs w:val="0"/>
        </w:rPr>
      </w:r>
      <w:r>
        <w:rPr/>
        <w:t>（</w:t>
      </w:r>
      <w:r>
        <w:rPr>
          <w:rFonts w:ascii="宋体" w:hAnsi="宋体" w:cs="宋体" w:eastAsia="宋体" w:hint="default"/>
        </w:rPr>
        <w:t>2</w:t>
      </w:r>
      <w:r>
        <w:rPr/>
        <w:t>）应付账款列示</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2"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101,705,948.42</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181,842,082.24</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28,787,703.57</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15,552,953.98</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3,394,886.61</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3,723,721.67</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2,582,216.12</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3,698,816.46</w:t>
            </w:r>
          </w:p>
        </w:tc>
      </w:tr>
      <w:tr>
        <w:trPr>
          <w:trHeight w:val="412"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136,470,754.72</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204,817,574.35</w:t>
            </w:r>
          </w:p>
        </w:tc>
      </w:tr>
    </w:tbl>
    <w:p>
      <w:pPr>
        <w:pStyle w:val="Heading4"/>
        <w:spacing w:line="240" w:lineRule="auto" w:before="63"/>
        <w:ind w:right="1122"/>
        <w:jc w:val="left"/>
        <w:rPr>
          <w:b w:val="0"/>
          <w:bCs w:val="0"/>
        </w:rPr>
      </w:pPr>
      <w:bookmarkStart w:name="（3）账龄超过1年的重要应付账款" w:id="303"/>
      <w:bookmarkEnd w:id="303"/>
      <w:r>
        <w:rPr>
          <w:b w:val="0"/>
          <w:bCs w:val="0"/>
        </w:rPr>
      </w:r>
      <w:r>
        <w:rPr/>
        <w:t>（</w:t>
      </w:r>
      <w:r>
        <w:rPr>
          <w:rFonts w:ascii="宋体" w:hAnsi="宋体" w:cs="宋体" w:eastAsia="宋体" w:hint="default"/>
        </w:rPr>
        <w:t>3</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年的重要应付账款</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北京联泰时代科技发展有限公司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8,588,590.60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63"/>
              <w:jc w:val="center"/>
              <w:rPr>
                <w:rFonts w:ascii="宋体" w:hAnsi="宋体" w:cs="宋体" w:eastAsia="宋体" w:hint="default"/>
                <w:sz w:val="18"/>
                <w:szCs w:val="18"/>
              </w:rPr>
            </w:pPr>
            <w:r>
              <w:rPr>
                <w:rFonts w:ascii="宋体" w:hAnsi="宋体" w:cs="宋体" w:eastAsia="宋体" w:hint="default"/>
                <w:sz w:val="18"/>
                <w:szCs w:val="18"/>
              </w:rPr>
              <w:t>双方对于实际应当支付的金额存有异议</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8,588,590.60</w:t>
            </w:r>
          </w:p>
        </w:tc>
        <w:tc>
          <w:tcPr>
            <w:tcW w:w="318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6"/>
        <w:ind w:right="1122"/>
        <w:jc w:val="left"/>
      </w:pPr>
      <w:r>
        <w:rPr/>
        <w:t>其他说明：</w:t>
      </w:r>
    </w:p>
    <w:p>
      <w:pPr>
        <w:pStyle w:val="BodyText"/>
        <w:spacing w:line="408" w:lineRule="auto" w:before="154"/>
        <w:ind w:right="1122" w:firstLine="420"/>
        <w:jc w:val="left"/>
      </w:pPr>
      <w:r>
        <w:rPr/>
        <w:t>期末应付票据及应付账款余额较期初减少</w:t>
      </w:r>
      <w:r>
        <w:rPr>
          <w:rFonts w:ascii="宋体" w:hAnsi="宋体" w:cs="宋体" w:eastAsia="宋体" w:hint="default"/>
        </w:rPr>
        <w:t>73,304,651.31</w:t>
      </w:r>
      <w:r>
        <w:rPr/>
        <w:t>元，减少比例为</w:t>
      </w:r>
      <w:r>
        <w:rPr>
          <w:rFonts w:ascii="宋体" w:hAnsi="宋体" w:cs="宋体" w:eastAsia="宋体" w:hint="default"/>
        </w:rPr>
        <w:t>34.94%</w:t>
      </w:r>
      <w:r>
        <w:rPr/>
        <w:t>，主要原因为索瑞电 气业务规模减少所致。</w:t>
      </w:r>
    </w:p>
    <w:p>
      <w:pPr>
        <w:spacing w:after="0" w:line="408" w:lineRule="auto"/>
        <w:jc w:val="left"/>
        <w:sectPr>
          <w:pgSz w:w="11910" w:h="16840"/>
          <w:pgMar w:header="877" w:footer="1000" w:top="1100" w:bottom="1180" w:left="980" w:right="0"/>
        </w:sectPr>
      </w:pPr>
    </w:p>
    <w:p>
      <w:pPr>
        <w:pStyle w:val="Heading4"/>
        <w:spacing w:line="240" w:lineRule="auto" w:before="46"/>
        <w:ind w:right="0"/>
        <w:jc w:val="left"/>
        <w:rPr>
          <w:b w:val="0"/>
          <w:bCs w:val="0"/>
        </w:rPr>
      </w:pPr>
      <w:bookmarkStart w:name="30、预收款项" w:id="304"/>
      <w:bookmarkEnd w:id="304"/>
      <w:r>
        <w:rPr>
          <w:b w:val="0"/>
          <w:bCs w:val="0"/>
        </w:rPr>
      </w:r>
      <w:r>
        <w:rPr>
          <w:rFonts w:ascii="宋体" w:hAnsi="宋体" w:cs="宋体" w:eastAsia="宋体" w:hint="default"/>
        </w:rPr>
        <w:t>30</w:t>
      </w:r>
      <w:r>
        <w:rPr/>
        <w:t>、预收款项</w:t>
      </w:r>
      <w:r>
        <w:rPr>
          <w:b w:val="0"/>
          <w:bCs w:val="0"/>
        </w:rPr>
      </w:r>
    </w:p>
    <w:p>
      <w:pPr>
        <w:pStyle w:val="Heading4"/>
        <w:spacing w:line="240" w:lineRule="auto" w:before="115"/>
        <w:ind w:right="0"/>
        <w:jc w:val="left"/>
        <w:rPr>
          <w:b w:val="0"/>
          <w:bCs w:val="0"/>
        </w:rPr>
      </w:pPr>
      <w:bookmarkStart w:name="（1）预收款项列示" w:id="305"/>
      <w:bookmarkEnd w:id="305"/>
      <w:r>
        <w:rPr>
          <w:b w:val="0"/>
          <w:bCs w:val="0"/>
        </w:rPr>
      </w:r>
      <w:r>
        <w:rPr>
          <w:w w:val="95"/>
        </w:rPr>
        <w:t>（</w:t>
      </w:r>
      <w:r>
        <w:rPr>
          <w:rFonts w:ascii="宋体" w:hAnsi="宋体" w:cs="宋体" w:eastAsia="宋体" w:hint="default"/>
          <w:w w:val="95"/>
        </w:rPr>
        <w:t>1</w:t>
      </w:r>
      <w:r>
        <w:rPr>
          <w:w w:val="95"/>
        </w:rPr>
        <w:t>）预收款项列示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947" w:space="6973"/>
            <w:col w:w="2010"/>
          </w:cols>
        </w:sectPr>
      </w:pP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1"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9,299,087.15</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87,005,734.09</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522,703.55</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283,709.92</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145,972.96</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150,000.00</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170,000.00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20,000.00</w:t>
            </w:r>
          </w:p>
        </w:tc>
      </w:tr>
      <w:tr>
        <w:trPr>
          <w:trHeight w:val="412"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10,137,763.66</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87,459,444.01</w:t>
            </w:r>
          </w:p>
        </w:tc>
      </w:tr>
    </w:tbl>
    <w:p>
      <w:pPr>
        <w:spacing w:after="0" w:line="240" w:lineRule="auto"/>
        <w:jc w:val="right"/>
        <w:rPr>
          <w:rFonts w:ascii="宋体" w:hAnsi="宋体" w:cs="宋体" w:eastAsia="宋体"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2） 账龄超过1年的重要预收款项" w:id="306"/>
      <w:bookmarkEnd w:id="306"/>
      <w:r>
        <w:rPr>
          <w:b w:val="0"/>
          <w:bCs w:val="0"/>
        </w:rPr>
      </w:r>
      <w:r>
        <w:rPr/>
        <w:t>（</w:t>
      </w:r>
      <w:r>
        <w:rPr>
          <w:rFonts w:ascii="宋体" w:hAnsi="宋体" w:cs="宋体" w:eastAsia="宋体" w:hint="default"/>
        </w:rPr>
        <w:t>2</w:t>
      </w:r>
      <w:r>
        <w:rPr/>
        <w:t>）账龄超过</w:t>
      </w:r>
      <w:r>
        <w:rPr>
          <w:spacing w:val="-56"/>
        </w:rPr>
        <w:t> </w:t>
      </w:r>
      <w:r>
        <w:rPr>
          <w:rFonts w:ascii="宋体" w:hAnsi="宋体" w:cs="宋体" w:eastAsia="宋体" w:hint="default"/>
        </w:rPr>
        <w:t>1</w:t>
      </w:r>
      <w:r>
        <w:rPr>
          <w:rFonts w:ascii="宋体" w:hAnsi="宋体" w:cs="宋体" w:eastAsia="宋体" w:hint="default"/>
          <w:spacing w:val="-55"/>
        </w:rPr>
        <w:t> </w:t>
      </w:r>
      <w:r>
        <w:rPr/>
        <w:t>年的重要预收款项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3） 期末建造合同形成的已结算未完工项目情况" w:id="307"/>
      <w:bookmarkEnd w:id="307"/>
      <w:r>
        <w:rPr>
          <w:b w:val="0"/>
          <w:bCs w:val="0"/>
        </w:rPr>
      </w:r>
      <w:r>
        <w:rPr/>
        <w:t>（</w:t>
      </w:r>
      <w:r>
        <w:rPr>
          <w:rFonts w:ascii="宋体" w:hAnsi="宋体" w:cs="宋体" w:eastAsia="宋体"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1、应付职工薪酬" w:id="308"/>
      <w:bookmarkEnd w:id="308"/>
      <w:r>
        <w:rPr>
          <w:rFonts w:ascii="宋体" w:hAnsi="宋体" w:cs="宋体" w:eastAsia="宋体" w:hint="default"/>
          <w:sz w:val="21"/>
          <w:szCs w:val="21"/>
        </w:rPr>
      </w:r>
      <w:r>
        <w:rPr>
          <w:rFonts w:ascii="宋体" w:hAnsi="宋体" w:cs="宋体" w:eastAsia="宋体" w:hint="default"/>
          <w:b/>
          <w:bCs/>
          <w:sz w:val="21"/>
          <w:szCs w:val="21"/>
        </w:rPr>
        <w:t>31</w:t>
      </w:r>
      <w:r>
        <w:rPr>
          <w:rFonts w:ascii="宋体" w:hAnsi="宋体" w:cs="宋体" w:eastAsia="宋体" w:hint="default"/>
          <w:b/>
          <w:bCs/>
          <w:sz w:val="21"/>
          <w:szCs w:val="21"/>
        </w:rPr>
        <w:t>、应付职工薪酬</w:t>
      </w:r>
      <w:r>
        <w:rPr>
          <w:rFonts w:ascii="宋体" w:hAnsi="宋体" w:cs="宋体" w:eastAsia="宋体" w:hint="default"/>
          <w:sz w:val="21"/>
          <w:szCs w:val="21"/>
        </w:rPr>
      </w:r>
    </w:p>
    <w:p>
      <w:pPr>
        <w:pStyle w:val="Heading4"/>
        <w:spacing w:line="240" w:lineRule="auto" w:before="46"/>
        <w:ind w:right="1122"/>
        <w:jc w:val="left"/>
        <w:rPr>
          <w:b w:val="0"/>
          <w:bCs w:val="0"/>
        </w:rPr>
      </w:pPr>
      <w:bookmarkStart w:name="（1）应付职工薪酬列示" w:id="309"/>
      <w:bookmarkEnd w:id="309"/>
      <w:r>
        <w:rPr>
          <w:b w:val="0"/>
          <w:bCs w:val="0"/>
        </w:rPr>
      </w:r>
      <w:r>
        <w:rPr/>
        <w:t>（</w:t>
      </w:r>
      <w:r>
        <w:rPr>
          <w:rFonts w:ascii="宋体" w:hAnsi="宋体" w:cs="宋体" w:eastAsia="宋体" w:hint="default"/>
        </w:rPr>
        <w:t>1</w:t>
      </w:r>
      <w:r>
        <w:rPr/>
        <w:t>）应付职工薪酬列示</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54"/>
        <w:gridCol w:w="1811"/>
        <w:gridCol w:w="1799"/>
        <w:gridCol w:w="1799"/>
        <w:gridCol w:w="1802"/>
      </w:tblGrid>
      <w:tr>
        <w:trPr>
          <w:trHeight w:val="411" w:hRule="exact"/>
        </w:trPr>
        <w:tc>
          <w:tcPr>
            <w:tcW w:w="235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8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5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600" w:right="0"/>
              <w:jc w:val="left"/>
              <w:rPr>
                <w:rFonts w:ascii="宋体" w:hAnsi="宋体" w:cs="宋体" w:eastAsia="宋体" w:hint="default"/>
                <w:sz w:val="18"/>
                <w:szCs w:val="18"/>
              </w:rPr>
            </w:pPr>
            <w:r>
              <w:rPr>
                <w:rFonts w:ascii="宋体"/>
                <w:sz w:val="18"/>
              </w:rPr>
              <w:t>11,507,301.06</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83,297,774.03</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82,782,750.15</w:t>
            </w:r>
          </w:p>
        </w:tc>
        <w:tc>
          <w:tcPr>
            <w:tcW w:w="18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99" w:right="0"/>
              <w:jc w:val="left"/>
              <w:rPr>
                <w:rFonts w:ascii="宋体" w:hAnsi="宋体" w:cs="宋体" w:eastAsia="宋体" w:hint="default"/>
                <w:sz w:val="18"/>
                <w:szCs w:val="18"/>
              </w:rPr>
            </w:pPr>
            <w:r>
              <w:rPr>
                <w:rFonts w:ascii="宋体"/>
                <w:sz w:val="18"/>
              </w:rPr>
              <w:t>12,022,324.94</w:t>
            </w:r>
          </w:p>
        </w:tc>
      </w:tr>
      <w:tr>
        <w:trPr>
          <w:trHeight w:val="402" w:hRule="exact"/>
        </w:trPr>
        <w:tc>
          <w:tcPr>
            <w:tcW w:w="235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6"/>
                <w:sz w:val="18"/>
                <w:szCs w:val="18"/>
              </w:rPr>
              <w:t>、</w:t>
            </w:r>
            <w:r>
              <w:rPr>
                <w:rFonts w:ascii="宋体" w:hAnsi="宋体" w:cs="宋体" w:eastAsia="宋体" w:hint="default"/>
                <w:sz w:val="18"/>
                <w:szCs w:val="18"/>
              </w:rPr>
              <w:t>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811" w:type="dxa"/>
            <w:tcBorders>
              <w:top w:val="single" w:sz="4" w:space="0" w:color="000000"/>
              <w:left w:val="single" w:sz="10" w:space="0" w:color="D2D2D2"/>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6,358,896.47</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6,358,896.47</w:t>
            </w:r>
          </w:p>
        </w:tc>
        <w:tc>
          <w:tcPr>
            <w:tcW w:w="1802"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235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1"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52"/>
              <w:ind w:left="600" w:right="0"/>
              <w:jc w:val="left"/>
              <w:rPr>
                <w:rFonts w:ascii="宋体" w:hAnsi="宋体" w:cs="宋体" w:eastAsia="宋体" w:hint="default"/>
                <w:sz w:val="18"/>
                <w:szCs w:val="18"/>
              </w:rPr>
            </w:pPr>
            <w:r>
              <w:rPr>
                <w:rFonts w:ascii="宋体"/>
                <w:sz w:val="18"/>
              </w:rPr>
              <w:t>11,507,301.06</w:t>
            </w:r>
          </w:p>
        </w:tc>
        <w:tc>
          <w:tcPr>
            <w:tcW w:w="1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89,656,670.50</w:t>
            </w:r>
          </w:p>
        </w:tc>
        <w:tc>
          <w:tcPr>
            <w:tcW w:w="1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89,141,646.62</w:t>
            </w:r>
          </w:p>
        </w:tc>
        <w:tc>
          <w:tcPr>
            <w:tcW w:w="18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599" w:right="0"/>
              <w:jc w:val="left"/>
              <w:rPr>
                <w:rFonts w:ascii="宋体" w:hAnsi="宋体" w:cs="宋体" w:eastAsia="宋体" w:hint="default"/>
                <w:sz w:val="18"/>
                <w:szCs w:val="18"/>
              </w:rPr>
            </w:pPr>
            <w:r>
              <w:rPr>
                <w:rFonts w:ascii="宋体"/>
                <w:sz w:val="18"/>
              </w:rPr>
              <w:t>12,022,324.94</w:t>
            </w:r>
          </w:p>
        </w:tc>
      </w:tr>
    </w:tbl>
    <w:p>
      <w:pPr>
        <w:spacing w:line="240" w:lineRule="auto" w:before="1"/>
        <w:rPr>
          <w:rFonts w:ascii="宋体" w:hAnsi="宋体" w:cs="宋体" w:eastAsia="宋体" w:hint="default"/>
          <w:sz w:val="14"/>
          <w:szCs w:val="14"/>
        </w:rPr>
      </w:pPr>
    </w:p>
    <w:p>
      <w:pPr>
        <w:pStyle w:val="Heading4"/>
        <w:spacing w:line="240" w:lineRule="auto" w:before="35"/>
        <w:ind w:right="1122"/>
        <w:jc w:val="left"/>
        <w:rPr>
          <w:b w:val="0"/>
          <w:bCs w:val="0"/>
        </w:rPr>
      </w:pPr>
      <w:bookmarkStart w:name="（2）短期薪酬列示" w:id="310"/>
      <w:bookmarkEnd w:id="310"/>
      <w:r>
        <w:rPr>
          <w:b w:val="0"/>
          <w:bCs w:val="0"/>
        </w:rPr>
      </w:r>
      <w:r>
        <w:rPr/>
        <w:t>（</w:t>
      </w:r>
      <w:r>
        <w:rPr>
          <w:rFonts w:ascii="宋体" w:hAnsi="宋体" w:cs="宋体" w:eastAsia="宋体" w:hint="default"/>
        </w:rPr>
        <w:t>2</w:t>
      </w:r>
      <w:r>
        <w:rPr/>
        <w:t>）短期薪酬列示</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55"/>
        <w:gridCol w:w="1810"/>
        <w:gridCol w:w="1799"/>
        <w:gridCol w:w="1799"/>
        <w:gridCol w:w="1802"/>
      </w:tblGrid>
      <w:tr>
        <w:trPr>
          <w:trHeight w:val="415" w:hRule="exact"/>
        </w:trPr>
        <w:tc>
          <w:tcPr>
            <w:tcW w:w="235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8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3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8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11,343,201.06</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71,411,339.83</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70,732,215.95</w:t>
            </w:r>
          </w:p>
        </w:tc>
        <w:tc>
          <w:tcPr>
            <w:tcW w:w="18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sz w:val="18"/>
              </w:rPr>
              <w:t>12,022,324.94</w:t>
            </w:r>
          </w:p>
        </w:tc>
      </w:tr>
      <w:tr>
        <w:trPr>
          <w:trHeight w:val="407" w:hRule="exact"/>
        </w:trPr>
        <w:tc>
          <w:tcPr>
            <w:tcW w:w="23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810" w:type="dxa"/>
            <w:tcBorders>
              <w:top w:val="single" w:sz="6" w:space="0" w:color="000000"/>
              <w:left w:val="single" w:sz="9" w:space="0" w:color="D2D2D2"/>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4,906,426.18</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4,906,426.18</w:t>
            </w:r>
          </w:p>
        </w:tc>
        <w:tc>
          <w:tcPr>
            <w:tcW w:w="1802"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810" w:type="dxa"/>
            <w:tcBorders>
              <w:top w:val="single" w:sz="6" w:space="0" w:color="000000"/>
              <w:left w:val="single" w:sz="9" w:space="0" w:color="D2D2D2"/>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3,538,712.79</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3,538,712.79</w:t>
            </w:r>
          </w:p>
        </w:tc>
        <w:tc>
          <w:tcPr>
            <w:tcW w:w="1802"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10" w:type="dxa"/>
            <w:tcBorders>
              <w:top w:val="single" w:sz="6" w:space="0" w:color="000000"/>
              <w:left w:val="single" w:sz="9" w:space="0" w:color="D2D2D2"/>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3,100,535.21</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3,100,535.21</w:t>
            </w:r>
          </w:p>
        </w:tc>
        <w:tc>
          <w:tcPr>
            <w:tcW w:w="1802"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10" w:type="dxa"/>
            <w:tcBorders>
              <w:top w:val="single" w:sz="6" w:space="0" w:color="000000"/>
              <w:left w:val="single" w:sz="9" w:space="0" w:color="D2D2D2"/>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207,666.99</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207,666.99</w:t>
            </w:r>
          </w:p>
        </w:tc>
        <w:tc>
          <w:tcPr>
            <w:tcW w:w="1802"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3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10" w:type="dxa"/>
            <w:tcBorders>
              <w:top w:val="single" w:sz="6" w:space="0" w:color="000000"/>
              <w:left w:val="single" w:sz="9" w:space="0" w:color="D2D2D2"/>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230,510.59</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230,510.59</w:t>
            </w:r>
          </w:p>
        </w:tc>
        <w:tc>
          <w:tcPr>
            <w:tcW w:w="1802"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810" w:type="dxa"/>
            <w:tcBorders>
              <w:top w:val="single" w:sz="6" w:space="0" w:color="000000"/>
              <w:left w:val="single" w:sz="9" w:space="0" w:color="D2D2D2"/>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2,729,553.00</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2,729,553.00</w:t>
            </w:r>
          </w:p>
        </w:tc>
        <w:tc>
          <w:tcPr>
            <w:tcW w:w="1802"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、工会经费和职工教育经费</w:t>
            </w:r>
          </w:p>
        </w:tc>
        <w:tc>
          <w:tcPr>
            <w:tcW w:w="181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164,100.00</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711,742.23</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875,842.23</w:t>
            </w:r>
          </w:p>
        </w:tc>
        <w:tc>
          <w:tcPr>
            <w:tcW w:w="1802"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35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11,507,301.06</w:t>
            </w:r>
          </w:p>
        </w:tc>
        <w:tc>
          <w:tcPr>
            <w:tcW w:w="1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83,297,774.03</w:t>
            </w:r>
          </w:p>
        </w:tc>
        <w:tc>
          <w:tcPr>
            <w:tcW w:w="17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82,782,750.15</w:t>
            </w:r>
          </w:p>
        </w:tc>
        <w:tc>
          <w:tcPr>
            <w:tcW w:w="18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sz w:val="18"/>
              </w:rPr>
              <w:t>12,022,324.94</w:t>
            </w:r>
          </w:p>
        </w:tc>
      </w:tr>
    </w:tbl>
    <w:p>
      <w:pPr>
        <w:spacing w:line="240" w:lineRule="auto" w:before="1"/>
        <w:rPr>
          <w:rFonts w:ascii="宋体" w:hAnsi="宋体" w:cs="宋体" w:eastAsia="宋体" w:hint="default"/>
          <w:sz w:val="14"/>
          <w:szCs w:val="14"/>
        </w:rPr>
      </w:pPr>
    </w:p>
    <w:p>
      <w:pPr>
        <w:pStyle w:val="Heading4"/>
        <w:spacing w:line="240" w:lineRule="auto" w:before="35"/>
        <w:ind w:right="1122"/>
        <w:jc w:val="left"/>
        <w:rPr>
          <w:b w:val="0"/>
          <w:bCs w:val="0"/>
        </w:rPr>
      </w:pPr>
      <w:bookmarkStart w:name="（3）设定提存计划列示" w:id="311"/>
      <w:bookmarkEnd w:id="311"/>
      <w:r>
        <w:rPr>
          <w:b w:val="0"/>
          <w:bCs w:val="0"/>
        </w:rPr>
      </w:r>
      <w:r>
        <w:rPr/>
        <w:t>（</w:t>
      </w:r>
      <w:r>
        <w:rPr>
          <w:rFonts w:ascii="宋体" w:hAnsi="宋体" w:cs="宋体" w:eastAsia="宋体" w:hint="default"/>
        </w:rPr>
        <w:t>3</w:t>
      </w:r>
      <w:r>
        <w:rPr/>
        <w:t>）设定提存计划列示</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895"/>
        <w:gridCol w:w="1928"/>
        <w:gridCol w:w="1914"/>
        <w:gridCol w:w="1914"/>
        <w:gridCol w:w="1913"/>
      </w:tblGrid>
      <w:tr>
        <w:trPr>
          <w:trHeight w:val="411" w:hRule="exact"/>
        </w:trPr>
        <w:tc>
          <w:tcPr>
            <w:tcW w:w="189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6,174,738.25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6,174,738.25</w:t>
            </w: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8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184,158.22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184,158.22</w:t>
            </w: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8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12" w:space="0" w:color="000000"/>
              <w:right w:val="single" w:sz="4" w:space="0" w:color="000000"/>
            </w:tcBorders>
          </w:tcPr>
          <w:p>
            <w:pP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6,358,896.47</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6,358,896.47</w:t>
            </w:r>
          </w:p>
        </w:tc>
        <w:tc>
          <w:tcPr>
            <w:tcW w:w="1913"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sz w:val="14"/>
          <w:szCs w:val="14"/>
        </w:rPr>
      </w:pPr>
    </w:p>
    <w:p>
      <w:pPr>
        <w:pStyle w:val="Heading4"/>
        <w:spacing w:line="240" w:lineRule="auto" w:before="35"/>
        <w:ind w:right="1122"/>
        <w:jc w:val="left"/>
        <w:rPr>
          <w:b w:val="0"/>
          <w:bCs w:val="0"/>
        </w:rPr>
      </w:pPr>
      <w:bookmarkStart w:name="32、应交税费" w:id="312"/>
      <w:bookmarkEnd w:id="312"/>
      <w:r>
        <w:rPr>
          <w:b w:val="0"/>
          <w:bCs w:val="0"/>
        </w:rPr>
      </w:r>
      <w:r>
        <w:rPr>
          <w:rFonts w:ascii="宋体" w:hAnsi="宋体" w:cs="宋体" w:eastAsia="宋体" w:hint="default"/>
        </w:rPr>
        <w:t>32</w:t>
      </w:r>
      <w:r>
        <w:rPr/>
        <w:t>、应交税费</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170"/>
        <w:gridCol w:w="3206"/>
        <w:gridCol w:w="3188"/>
      </w:tblGrid>
      <w:tr>
        <w:trPr>
          <w:trHeight w:val="412" w:hRule="exact"/>
        </w:trPr>
        <w:tc>
          <w:tcPr>
            <w:tcW w:w="317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4,425,593.77</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5,459,923.95</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2,560,033.16</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2,679,897.43</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117,834.32</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777,213.69</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311,410.40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379,543.53</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396,555.76</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408,526.47</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1,198,986.86</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645,505.08</w:t>
            </w:r>
          </w:p>
        </w:tc>
      </w:tr>
      <w:tr>
        <w:trPr>
          <w:trHeight w:val="412" w:hRule="exact"/>
        </w:trPr>
        <w:tc>
          <w:tcPr>
            <w:tcW w:w="317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9,010,414.27</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10,350,610.15</w:t>
            </w:r>
          </w:p>
        </w:tc>
      </w:tr>
    </w:tbl>
    <w:p>
      <w:pPr>
        <w:pStyle w:val="Heading4"/>
        <w:spacing w:line="240" w:lineRule="auto" w:before="63"/>
        <w:ind w:right="1122"/>
        <w:jc w:val="left"/>
        <w:rPr>
          <w:b w:val="0"/>
          <w:bCs w:val="0"/>
        </w:rPr>
      </w:pPr>
      <w:bookmarkStart w:name="33、其他应付款" w:id="313"/>
      <w:bookmarkEnd w:id="313"/>
      <w:r>
        <w:rPr>
          <w:b w:val="0"/>
          <w:bCs w:val="0"/>
        </w:rPr>
      </w:r>
      <w:r>
        <w:rPr>
          <w:rFonts w:ascii="宋体" w:hAnsi="宋体" w:cs="宋体" w:eastAsia="宋体" w:hint="default"/>
        </w:rPr>
        <w:t>33</w:t>
      </w:r>
      <w:r>
        <w:rPr/>
        <w:t>、其他应付款</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170"/>
        <w:gridCol w:w="3206"/>
        <w:gridCol w:w="3188"/>
      </w:tblGrid>
      <w:tr>
        <w:trPr>
          <w:trHeight w:val="412" w:hRule="exact"/>
        </w:trPr>
        <w:tc>
          <w:tcPr>
            <w:tcW w:w="317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2,926,382.00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5,277,031.00</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52,845,999.52</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60,706,828.25</w:t>
            </w:r>
          </w:p>
        </w:tc>
      </w:tr>
      <w:tr>
        <w:trPr>
          <w:trHeight w:val="412" w:hRule="exact"/>
        </w:trPr>
        <w:tc>
          <w:tcPr>
            <w:tcW w:w="317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55,772,381.52</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65,983,859.25</w:t>
            </w:r>
          </w:p>
        </w:tc>
      </w:tr>
    </w:tbl>
    <w:p>
      <w:pPr>
        <w:pStyle w:val="Heading4"/>
        <w:spacing w:line="240" w:lineRule="auto" w:before="63"/>
        <w:ind w:right="1122"/>
        <w:jc w:val="left"/>
        <w:rPr>
          <w:b w:val="0"/>
          <w:bCs w:val="0"/>
        </w:rPr>
      </w:pPr>
      <w:bookmarkStart w:name="（1） 应付利息" w:id="314"/>
      <w:bookmarkEnd w:id="314"/>
      <w:r>
        <w:rPr>
          <w:b w:val="0"/>
          <w:bCs w:val="0"/>
        </w:rPr>
      </w:r>
      <w:r>
        <w:rPr/>
        <w:t>（</w:t>
      </w:r>
      <w:r>
        <w:rPr>
          <w:rFonts w:ascii="宋体" w:hAnsi="宋体" w:cs="宋体" w:eastAsia="宋体" w:hint="default"/>
        </w:rPr>
        <w:t>1</w:t>
      </w:r>
      <w:r>
        <w:rPr/>
        <w:t>）应付利息</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2）应付股利" w:id="315"/>
      <w:bookmarkEnd w:id="315"/>
      <w:r>
        <w:rPr>
          <w:b w:val="0"/>
          <w:bCs w:val="0"/>
        </w:rPr>
      </w:r>
      <w:r>
        <w:rPr/>
        <w:t>（</w:t>
      </w:r>
      <w:r>
        <w:rPr>
          <w:rFonts w:ascii="宋体" w:hAnsi="宋体" w:cs="宋体" w:eastAsia="宋体" w:hint="default"/>
        </w:rPr>
        <w:t>2</w:t>
      </w:r>
      <w:r>
        <w:rPr/>
        <w:t>）应付股利</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2"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索瑞电气原股东股利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2,926,382.00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5,277,031.00</w:t>
            </w:r>
          </w:p>
        </w:tc>
      </w:tr>
      <w:tr>
        <w:trPr>
          <w:trHeight w:val="412"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2,926,382.00</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5,277,031.00</w:t>
            </w:r>
          </w:p>
        </w:tc>
      </w:tr>
    </w:tbl>
    <w:p>
      <w:pPr>
        <w:spacing w:line="408" w:lineRule="auto" w:before="63"/>
        <w:ind w:left="154" w:right="8022" w:firstLine="0"/>
        <w:jc w:val="left"/>
        <w:rPr>
          <w:rFonts w:ascii="宋体" w:hAnsi="宋体" w:cs="宋体" w:eastAsia="宋体" w:hint="default"/>
          <w:sz w:val="21"/>
          <w:szCs w:val="21"/>
        </w:rPr>
      </w:pPr>
      <w:bookmarkStart w:name="（3）其他应付款" w:id="316"/>
      <w:bookmarkEnd w:id="316"/>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）其他应付款</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按款项性质列示其他应付款</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752,745.00</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费用报销</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1,202,366.40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978,239.75</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24,652,875.00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54,032,100.00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16,421,740.97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431,263.17</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10,569,017.15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4,512,480.33</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52,845,999.52</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60,706,828.25</w:t>
            </w:r>
          </w:p>
        </w:tc>
      </w:tr>
    </w:tbl>
    <w:p>
      <w:pPr>
        <w:pStyle w:val="BodyText"/>
        <w:spacing w:line="240" w:lineRule="auto" w:before="63"/>
        <w:ind w:right="1122"/>
        <w:jc w:val="left"/>
      </w:pPr>
      <w:r>
        <w:rPr>
          <w:rFonts w:ascii="宋体" w:hAnsi="宋体" w:cs="宋体" w:eastAsia="宋体" w:hint="default"/>
        </w:rPr>
        <w:t>2)</w:t>
      </w:r>
      <w:r>
        <w:rPr>
          <w:rFonts w:ascii="宋体" w:hAnsi="宋体" w:cs="宋体" w:eastAsia="宋体" w:hint="default"/>
          <w:spacing w:val="-4"/>
        </w:rPr>
        <w:t> </w:t>
      </w:r>
      <w:r>
        <w:rPr/>
        <w:t>账龄超过</w:t>
      </w:r>
      <w:r>
        <w:rPr>
          <w:spacing w:val="-52"/>
        </w:rPr>
        <w:t> </w:t>
      </w:r>
      <w:r>
        <w:rPr>
          <w:rFonts w:ascii="宋体" w:hAnsi="宋体" w:cs="宋体" w:eastAsia="宋体" w:hint="default"/>
        </w:rPr>
        <w:t>1</w:t>
      </w:r>
      <w:r>
        <w:rPr>
          <w:rFonts w:ascii="宋体" w:hAnsi="宋体" w:cs="宋体" w:eastAsia="宋体" w:hint="default"/>
          <w:spacing w:val="-53"/>
        </w:rPr>
        <w:t> </w:t>
      </w:r>
      <w:r>
        <w:rPr/>
        <w:t>年的重要其他应付款</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34、 持有待售负债" w:id="317"/>
      <w:bookmarkEnd w:id="317"/>
      <w:r>
        <w:rPr>
          <w:b w:val="0"/>
          <w:bCs w:val="0"/>
        </w:rPr>
      </w:r>
      <w:r>
        <w:rPr>
          <w:rFonts w:ascii="宋体" w:hAnsi="宋体" w:cs="宋体" w:eastAsia="宋体" w:hint="default"/>
        </w:rPr>
        <w:t>34</w:t>
      </w:r>
      <w:r>
        <w:rPr/>
        <w:t>、持有待售负债</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01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5、一年内到期的非流动负债" w:id="318"/>
      <w:bookmarkEnd w:id="318"/>
      <w:r>
        <w:rPr>
          <w:rFonts w:ascii="宋体" w:hAnsi="宋体" w:cs="宋体" w:eastAsia="宋体" w:hint="default"/>
          <w:sz w:val="21"/>
          <w:szCs w:val="21"/>
        </w:rPr>
      </w:r>
      <w:r>
        <w:rPr>
          <w:rFonts w:ascii="宋体" w:hAnsi="宋体" w:cs="宋体" w:eastAsia="宋体" w:hint="default"/>
          <w:b/>
          <w:bCs/>
          <w:sz w:val="21"/>
          <w:szCs w:val="21"/>
        </w:rPr>
        <w:t>35</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30"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70"/>
        <w:gridCol w:w="3206"/>
        <w:gridCol w:w="3188"/>
      </w:tblGrid>
      <w:tr>
        <w:trPr>
          <w:trHeight w:val="412" w:hRule="exact"/>
        </w:trPr>
        <w:tc>
          <w:tcPr>
            <w:tcW w:w="317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96,047,029.20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172,113,648.60</w:t>
            </w:r>
          </w:p>
        </w:tc>
      </w:tr>
      <w:tr>
        <w:trPr>
          <w:trHeight w:val="412" w:hRule="exact"/>
        </w:trPr>
        <w:tc>
          <w:tcPr>
            <w:tcW w:w="317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96,047,029.20</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172,113,648.60</w:t>
            </w:r>
          </w:p>
        </w:tc>
      </w:tr>
    </w:tbl>
    <w:p>
      <w:pPr>
        <w:pStyle w:val="Heading4"/>
        <w:spacing w:line="240" w:lineRule="auto" w:before="63"/>
        <w:ind w:right="1122"/>
        <w:jc w:val="left"/>
        <w:rPr>
          <w:b w:val="0"/>
          <w:bCs w:val="0"/>
        </w:rPr>
      </w:pPr>
      <w:bookmarkStart w:name="36、其他流动负债" w:id="319"/>
      <w:bookmarkEnd w:id="319"/>
      <w:r>
        <w:rPr>
          <w:b w:val="0"/>
          <w:bCs w:val="0"/>
        </w:rPr>
      </w:r>
      <w:r>
        <w:rPr>
          <w:rFonts w:ascii="宋体" w:hAnsi="宋体" w:cs="宋体" w:eastAsia="宋体" w:hint="default"/>
        </w:rPr>
        <w:t>36</w:t>
      </w:r>
      <w:r>
        <w:rPr/>
        <w:t>、其他流动负债</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2"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1"/>
              <w:ind w:left="13" w:right="93"/>
              <w:jc w:val="left"/>
              <w:rPr>
                <w:rFonts w:ascii="宋体" w:hAnsi="宋体" w:cs="宋体" w:eastAsia="宋体" w:hint="default"/>
                <w:sz w:val="18"/>
                <w:szCs w:val="18"/>
              </w:rPr>
            </w:pPr>
            <w:r>
              <w:rPr>
                <w:rFonts w:ascii="宋体" w:hAnsi="宋体" w:cs="宋体" w:eastAsia="宋体" w:hint="default"/>
                <w:sz w:val="18"/>
                <w:szCs w:val="18"/>
              </w:rPr>
              <w:t>商业承兑汇票背书后不终止确认保留的 潜在支付义务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1,000,000.00</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w:t>
            </w:r>
          </w:p>
        </w:tc>
        <w:tc>
          <w:tcPr>
            <w:tcW w:w="3188" w:type="dxa"/>
            <w:tcBorders>
              <w:top w:val="single" w:sz="4" w:space="0" w:color="000000"/>
              <w:left w:val="single" w:sz="4" w:space="0" w:color="000000"/>
              <w:bottom w:val="single" w:sz="12" w:space="0" w:color="000000"/>
              <w:right w:val="single" w:sz="12" w:space="0" w:color="000000"/>
            </w:tcBorders>
          </w:tcPr>
          <w:p>
            <w:pPr/>
          </w:p>
        </w:tc>
      </w:tr>
    </w:tbl>
    <w:p>
      <w:pPr>
        <w:pStyle w:val="Heading4"/>
        <w:spacing w:line="240" w:lineRule="auto" w:before="63"/>
        <w:ind w:right="1122"/>
        <w:jc w:val="left"/>
        <w:rPr>
          <w:b w:val="0"/>
          <w:bCs w:val="0"/>
        </w:rPr>
      </w:pPr>
      <w:bookmarkStart w:name="37、长期借款" w:id="320"/>
      <w:bookmarkEnd w:id="320"/>
      <w:r>
        <w:rPr>
          <w:b w:val="0"/>
          <w:bCs w:val="0"/>
        </w:rPr>
      </w:r>
      <w:r>
        <w:rPr>
          <w:rFonts w:ascii="宋体" w:hAnsi="宋体" w:cs="宋体" w:eastAsia="宋体" w:hint="default"/>
        </w:rPr>
        <w:t>37</w:t>
      </w:r>
      <w:r>
        <w:rPr/>
        <w:t>、长期借款</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2"/>
        <w:jc w:val="left"/>
        <w:rPr>
          <w:b w:val="0"/>
          <w:bCs w:val="0"/>
        </w:rPr>
      </w:pPr>
      <w:bookmarkStart w:name="（1）长期借款分类" w:id="321"/>
      <w:bookmarkEnd w:id="321"/>
      <w:r>
        <w:rPr>
          <w:b w:val="0"/>
          <w:bCs w:val="0"/>
        </w:rPr>
      </w:r>
      <w:r>
        <w:rPr/>
        <w:t>（</w:t>
      </w:r>
      <w:r>
        <w:rPr>
          <w:rFonts w:ascii="宋体" w:hAnsi="宋体" w:cs="宋体" w:eastAsia="宋体" w:hint="default"/>
        </w:rPr>
        <w:t>1</w:t>
      </w:r>
      <w:r>
        <w:rPr/>
        <w:t>）长期借款分类</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70"/>
        <w:gridCol w:w="3206"/>
        <w:gridCol w:w="3188"/>
      </w:tblGrid>
      <w:tr>
        <w:trPr>
          <w:trHeight w:val="413" w:hRule="exact"/>
        </w:trPr>
        <w:tc>
          <w:tcPr>
            <w:tcW w:w="317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78,860,000.00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100,407,029.20</w:t>
            </w:r>
          </w:p>
        </w:tc>
      </w:tr>
      <w:tr>
        <w:trPr>
          <w:trHeight w:val="412" w:hRule="exact"/>
        </w:trPr>
        <w:tc>
          <w:tcPr>
            <w:tcW w:w="317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78,860,000.00</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100,407,029.20</w:t>
            </w:r>
          </w:p>
        </w:tc>
      </w:tr>
    </w:tbl>
    <w:p>
      <w:pPr>
        <w:pStyle w:val="BodyText"/>
        <w:spacing w:line="240" w:lineRule="auto" w:before="63"/>
        <w:ind w:right="1122"/>
        <w:jc w:val="left"/>
      </w:pPr>
      <w:r>
        <w:rPr/>
        <w:t>长期借款分类的说明：</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①</w:t>
      </w:r>
      <w:r>
        <w:rPr>
          <w:rFonts w:ascii="宋体" w:hAnsi="宋体" w:cs="宋体" w:eastAsia="宋体" w:hint="default"/>
        </w:rPr>
        <w:t>2014</w:t>
      </w:r>
      <w:r>
        <w:rPr>
          <w:rFonts w:ascii="宋体" w:hAnsi="宋体" w:cs="宋体" w:eastAsia="宋体" w:hint="default"/>
          <w:spacing w:val="-48"/>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w:t>
      </w:r>
      <w:r>
        <w:rPr>
          <w:spacing w:val="-49"/>
        </w:rPr>
        <w:t> </w:t>
      </w:r>
      <w:r>
        <w:rPr>
          <w:rFonts w:ascii="宋体" w:hAnsi="宋体" w:cs="宋体" w:eastAsia="宋体" w:hint="default"/>
        </w:rPr>
        <w:t>24</w:t>
      </w:r>
      <w:r>
        <w:rPr>
          <w:rFonts w:ascii="宋体" w:hAnsi="宋体" w:cs="宋体" w:eastAsia="宋体" w:hint="default"/>
          <w:spacing w:val="-48"/>
        </w:rPr>
        <w:t> </w:t>
      </w:r>
      <w:r>
        <w:rPr/>
        <w:t>日，光一科技股份有限公司与招商银行南京月牙湖支行签订固定资产借款合同，借</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款本金</w:t>
      </w:r>
      <w:r>
        <w:rPr>
          <w:spacing w:val="-64"/>
        </w:rPr>
        <w:t> </w:t>
      </w:r>
      <w:r>
        <w:rPr>
          <w:rFonts w:ascii="宋体" w:hAnsi="宋体" w:cs="宋体" w:eastAsia="宋体" w:hint="default"/>
        </w:rPr>
        <w:t>16,547,029.20</w:t>
      </w:r>
      <w:r>
        <w:rPr>
          <w:rFonts w:ascii="宋体" w:hAnsi="宋体" w:cs="宋体" w:eastAsia="宋体" w:hint="default"/>
          <w:spacing w:val="-64"/>
        </w:rPr>
        <w:t> </w:t>
      </w:r>
      <w:r>
        <w:rPr/>
        <w:t>元，由江苏光一投资管理有限责任公司与实际控制人龙昌明先生共同提高最高额保</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t>证担保，不可撤销担保的担保合同编号【</w:t>
      </w:r>
      <w:r>
        <w:rPr>
          <w:rFonts w:ascii="宋体" w:hAnsi="宋体" w:cs="宋体" w:eastAsia="宋体" w:hint="default"/>
        </w:rPr>
        <w:t>2014</w:t>
      </w:r>
      <w:r>
        <w:rPr>
          <w:rFonts w:ascii="宋体" w:hAnsi="宋体" w:cs="宋体" w:eastAsia="宋体" w:hint="default"/>
          <w:spacing w:val="-26"/>
        </w:rPr>
        <w:t> </w:t>
      </w:r>
      <w:r>
        <w:rPr/>
        <w:t>年保字第</w:t>
      </w:r>
      <w:r>
        <w:rPr>
          <w:spacing w:val="-26"/>
        </w:rPr>
        <w:t> </w:t>
      </w:r>
      <w:r>
        <w:rPr>
          <w:rFonts w:ascii="宋体" w:hAnsi="宋体" w:cs="宋体" w:eastAsia="宋体" w:hint="default"/>
        </w:rPr>
        <w:t>110712829-1</w:t>
      </w:r>
      <w:r>
        <w:rPr>
          <w:rFonts w:ascii="宋体" w:hAnsi="宋体" w:cs="宋体" w:eastAsia="宋体" w:hint="default"/>
          <w:spacing w:val="-27"/>
        </w:rPr>
        <w:t> </w:t>
      </w:r>
      <w:r>
        <w:rPr/>
        <w:t>号</w:t>
      </w:r>
      <w:r>
        <w:rPr>
          <w:spacing w:val="-105"/>
        </w:rPr>
        <w:t>】，</w:t>
      </w:r>
      <w:r>
        <w:rPr>
          <w:spacing w:val="-1"/>
        </w:rPr>
        <w:t>【</w:t>
      </w:r>
      <w:r>
        <w:rPr>
          <w:rFonts w:ascii="宋体" w:hAnsi="宋体" w:cs="宋体" w:eastAsia="宋体" w:hint="default"/>
        </w:rPr>
        <w:t>2014</w:t>
      </w:r>
      <w:r>
        <w:rPr>
          <w:rFonts w:ascii="宋体" w:hAnsi="宋体" w:cs="宋体" w:eastAsia="宋体" w:hint="default"/>
          <w:spacing w:val="-26"/>
        </w:rPr>
        <w:t> </w:t>
      </w:r>
      <w:r>
        <w:rPr/>
        <w:t>年保字第</w:t>
      </w:r>
      <w:r>
        <w:rPr>
          <w:spacing w:val="-26"/>
        </w:rPr>
        <w:t> </w:t>
      </w:r>
      <w:r>
        <w:rPr>
          <w:rFonts w:ascii="宋体" w:hAnsi="宋体" w:cs="宋体" w:eastAsia="宋体" w:hint="default"/>
        </w:rPr>
        <w:t>110712829-2</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号</w:t>
      </w:r>
      <w:r>
        <w:rPr>
          <w:spacing w:val="-105"/>
        </w:rPr>
        <w:t>】</w:t>
      </w:r>
      <w:r>
        <w:rPr/>
        <w:t>。其中</w:t>
      </w:r>
      <w:r>
        <w:rPr>
          <w:spacing w:val="-2"/>
        </w:rPr>
        <w:t>划</w:t>
      </w:r>
      <w:r>
        <w:rPr/>
        <w:t>分至一年内到期的非流动负债的金额为</w:t>
      </w:r>
      <w:r>
        <w:rPr>
          <w:spacing w:val="-52"/>
        </w:rPr>
        <w:t> </w:t>
      </w:r>
      <w:r>
        <w:rPr>
          <w:rFonts w:ascii="宋体" w:hAnsi="宋体" w:cs="宋体" w:eastAsia="宋体" w:hint="default"/>
        </w:rPr>
        <w:t>16,547,029.20</w:t>
      </w:r>
      <w:r>
        <w:rPr>
          <w:rFonts w:ascii="宋体" w:hAnsi="宋体" w:cs="宋体" w:eastAsia="宋体" w:hint="default"/>
          <w:spacing w:val="-52"/>
        </w:rPr>
        <w:t> </w:t>
      </w:r>
      <w:r>
        <w:rPr/>
        <w:t>元。</w:t>
      </w:r>
    </w:p>
    <w:p>
      <w:pPr>
        <w:spacing w:line="240" w:lineRule="auto" w:before="10"/>
        <w:rPr>
          <w:rFonts w:ascii="宋体" w:hAnsi="宋体" w:cs="宋体" w:eastAsia="宋体" w:hint="default"/>
          <w:sz w:val="14"/>
          <w:szCs w:val="14"/>
        </w:rPr>
      </w:pPr>
    </w:p>
    <w:p>
      <w:pPr>
        <w:pStyle w:val="BodyText"/>
        <w:spacing w:line="408" w:lineRule="auto" w:before="0"/>
        <w:ind w:right="1130" w:firstLine="423"/>
        <w:jc w:val="both"/>
      </w:pPr>
      <w:r>
        <w:rPr/>
        <w:t>②</w:t>
      </w:r>
      <w:r>
        <w:rPr>
          <w:rFonts w:ascii="宋体" w:hAnsi="宋体" w:cs="宋体" w:eastAsia="宋体" w:hint="default"/>
        </w:rPr>
        <w:t>2017</w:t>
      </w:r>
      <w:r>
        <w:rPr>
          <w:rFonts w:ascii="宋体" w:hAnsi="宋体" w:cs="宋体" w:eastAsia="宋体" w:hint="default"/>
          <w:spacing w:val="-48"/>
        </w:rPr>
        <w:t> </w:t>
      </w:r>
      <w:r>
        <w:rPr/>
        <w:t>年</w:t>
      </w:r>
      <w:r>
        <w:rPr>
          <w:spacing w:val="-49"/>
        </w:rPr>
        <w:t> </w:t>
      </w:r>
      <w:r>
        <w:rPr>
          <w:rFonts w:ascii="宋体" w:hAnsi="宋体" w:cs="宋体" w:eastAsia="宋体" w:hint="default"/>
        </w:rPr>
        <w:t>6</w:t>
      </w:r>
      <w:r>
        <w:rPr>
          <w:rFonts w:ascii="宋体" w:hAnsi="宋体" w:cs="宋体" w:eastAsia="宋体" w:hint="default"/>
          <w:spacing w:val="-49"/>
        </w:rPr>
        <w:t> </w:t>
      </w:r>
      <w:r>
        <w:rPr/>
        <w:t>月</w:t>
      </w:r>
      <w:r>
        <w:rPr>
          <w:spacing w:val="-49"/>
        </w:rPr>
        <w:t> </w:t>
      </w:r>
      <w:r>
        <w:rPr>
          <w:rFonts w:ascii="宋体" w:hAnsi="宋体" w:cs="宋体" w:eastAsia="宋体" w:hint="default"/>
        </w:rPr>
        <w:t>14</w:t>
      </w:r>
      <w:r>
        <w:rPr>
          <w:rFonts w:ascii="宋体" w:hAnsi="宋体" w:cs="宋体" w:eastAsia="宋体" w:hint="default"/>
          <w:spacing w:val="-48"/>
        </w:rPr>
        <w:t> </w:t>
      </w:r>
      <w:r>
        <w:rPr/>
        <w:t>日，光一科技股份有限公司与中国民生银行股份有限公司南京分行签订的并购贷款 合同，收购湖北索瑞电气有限公司少数股东任昌兆持有的</w:t>
      </w:r>
      <w:r>
        <w:rPr>
          <w:spacing w:val="-43"/>
        </w:rPr>
        <w:t> </w:t>
      </w:r>
      <w:r>
        <w:rPr>
          <w:rFonts w:ascii="宋体" w:hAnsi="宋体" w:cs="宋体" w:eastAsia="宋体" w:hint="default"/>
        </w:rPr>
        <w:t>15.18%</w:t>
      </w:r>
      <w:r>
        <w:rPr/>
        <w:t>股权，借款金额为</w:t>
      </w:r>
      <w:r>
        <w:rPr>
          <w:spacing w:val="-44"/>
        </w:rPr>
        <w:t> </w:t>
      </w:r>
      <w:r>
        <w:rPr>
          <w:rFonts w:ascii="宋体" w:hAnsi="宋体" w:cs="宋体" w:eastAsia="宋体" w:hint="default"/>
        </w:rPr>
        <w:t>129,500,000.00</w:t>
      </w:r>
      <w:r>
        <w:rPr>
          <w:rFonts w:ascii="宋体" w:hAnsi="宋体" w:cs="宋体" w:eastAsia="宋体" w:hint="default"/>
          <w:spacing w:val="-43"/>
        </w:rPr>
        <w:t> </w:t>
      </w:r>
      <w:r>
        <w:rPr/>
        <w:t>元， </w:t>
      </w:r>
      <w:r>
        <w:rPr>
          <w:spacing w:val="16"/>
        </w:rPr>
        <w:t>借款期限</w:t>
      </w:r>
      <w:r>
        <w:rPr>
          <w:spacing w:val="28"/>
        </w:rPr>
        <w:t> </w:t>
      </w:r>
      <w:r>
        <w:rPr>
          <w:rFonts w:ascii="宋体" w:hAnsi="宋体" w:cs="宋体" w:eastAsia="宋体" w:hint="default"/>
        </w:rPr>
        <w:t>2017.6.14-2018.12.13</w:t>
      </w:r>
      <w:r>
        <w:rPr>
          <w:rFonts w:ascii="宋体" w:hAnsi="宋体" w:cs="宋体" w:eastAsia="宋体" w:hint="default"/>
          <w:spacing w:val="-82"/>
        </w:rPr>
        <w:t> </w:t>
      </w:r>
      <w:r>
        <w:rPr/>
        <w:t>，</w:t>
      </w:r>
      <w:r>
        <w:rPr>
          <w:spacing w:val="-83"/>
        </w:rPr>
        <w:t> </w:t>
      </w:r>
      <w:r>
        <w:rPr>
          <w:spacing w:val="20"/>
        </w:rPr>
        <w:t>由江苏光一投资管理有限责任公司提供保证《</w:t>
      </w:r>
      <w:r>
        <w:rPr>
          <w:spacing w:val="-83"/>
        </w:rPr>
        <w:t> </w:t>
      </w:r>
      <w:r>
        <w:rPr>
          <w:spacing w:val="17"/>
        </w:rPr>
        <w:t>保证合同》</w:t>
      </w:r>
      <w:r>
        <w:rPr>
          <w:spacing w:val="-83"/>
        </w:rPr>
        <w:t> </w:t>
      </w:r>
      <w:r>
        <w:rPr>
          <w:spacing w:val="11"/>
        </w:rPr>
        <w:t>编号</w:t>
      </w:r>
    </w:p>
    <w:p>
      <w:pPr>
        <w:pStyle w:val="BodyText"/>
        <w:spacing w:line="240" w:lineRule="auto"/>
        <w:ind w:right="0"/>
        <w:jc w:val="left"/>
      </w:pPr>
      <w:r>
        <w:rPr/>
        <w:t>【</w:t>
      </w:r>
      <w:r>
        <w:rPr>
          <w:rFonts w:ascii="宋体" w:hAnsi="宋体" w:cs="宋体" w:eastAsia="宋体" w:hint="default"/>
        </w:rPr>
        <w:t>DB170000004665</w:t>
      </w:r>
      <w:r>
        <w:rPr>
          <w:rFonts w:ascii="宋体" w:hAnsi="宋体" w:cs="宋体" w:eastAsia="宋体" w:hint="default"/>
          <w:spacing w:val="-1"/>
        </w:rPr>
        <w:t>3</w:t>
      </w:r>
      <w:r>
        <w:rPr>
          <w:spacing w:val="-105"/>
        </w:rPr>
        <w:t>】</w:t>
      </w:r>
      <w:r>
        <w:rPr>
          <w:spacing w:val="-15"/>
        </w:rPr>
        <w:t>，</w:t>
      </w:r>
      <w:r>
        <w:rPr>
          <w:spacing w:val="-2"/>
        </w:rPr>
        <w:t>由</w:t>
      </w:r>
      <w:r>
        <w:rPr/>
        <w:t>光一科技股份有限公司提</w:t>
      </w:r>
      <w:r>
        <w:rPr>
          <w:spacing w:val="-15"/>
        </w:rPr>
        <w:t>供</w:t>
      </w:r>
      <w:r>
        <w:rPr/>
        <w:t>《质押合同</w:t>
      </w:r>
      <w:r>
        <w:rPr>
          <w:spacing w:val="-15"/>
        </w:rPr>
        <w:t>》</w:t>
      </w:r>
      <w:r>
        <w:rPr/>
        <w:t>编</w:t>
      </w:r>
      <w:r>
        <w:rPr>
          <w:spacing w:val="-15"/>
        </w:rPr>
        <w:t>号</w:t>
      </w:r>
      <w:r>
        <w:rPr/>
        <w:t>【</w:t>
      </w:r>
      <w:r>
        <w:rPr>
          <w:rFonts w:ascii="宋体" w:hAnsi="宋体" w:cs="宋体" w:eastAsia="宋体" w:hint="default"/>
        </w:rPr>
        <w:t>DB170000004525</w:t>
      </w:r>
      <w:r>
        <w:rPr>
          <w:rFonts w:ascii="宋体" w:hAnsi="宋体" w:cs="宋体" w:eastAsia="宋体" w:hint="default"/>
          <w:spacing w:val="-1"/>
        </w:rPr>
        <w:t>5</w:t>
      </w:r>
      <w:r>
        <w:rPr>
          <w:spacing w:val="-105"/>
        </w:rPr>
        <w:t>】</w:t>
      </w:r>
      <w:r>
        <w:rPr>
          <w:spacing w:val="-15"/>
        </w:rPr>
        <w:t>。</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18</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p>
    <w:p>
      <w:pPr>
        <w:spacing w:line="240" w:lineRule="auto" w:before="10"/>
        <w:rPr>
          <w:rFonts w:ascii="宋体" w:hAnsi="宋体" w:cs="宋体" w:eastAsia="宋体" w:hint="default"/>
          <w:sz w:val="14"/>
          <w:szCs w:val="14"/>
        </w:rPr>
      </w:pPr>
    </w:p>
    <w:p>
      <w:pPr>
        <w:pStyle w:val="BodyText"/>
        <w:spacing w:line="408" w:lineRule="auto" w:before="0"/>
        <w:ind w:right="1129"/>
        <w:jc w:val="left"/>
      </w:pPr>
      <w:r>
        <w:rPr>
          <w:rFonts w:ascii="宋体" w:hAnsi="宋体" w:cs="宋体" w:eastAsia="宋体" w:hint="default"/>
        </w:rPr>
        <w:t>13</w:t>
      </w:r>
      <w:r>
        <w:rPr>
          <w:rFonts w:ascii="宋体" w:hAnsi="宋体" w:cs="宋体" w:eastAsia="宋体" w:hint="default"/>
          <w:spacing w:val="-53"/>
        </w:rPr>
        <w:t> </w:t>
      </w:r>
      <w:r>
        <w:rPr/>
        <w:t>日偿还本金</w:t>
      </w:r>
      <w:r>
        <w:rPr>
          <w:spacing w:val="-53"/>
        </w:rPr>
        <w:t> </w:t>
      </w:r>
      <w:r>
        <w:rPr>
          <w:rFonts w:ascii="宋体" w:hAnsi="宋体" w:cs="宋体" w:eastAsia="宋体" w:hint="default"/>
        </w:rPr>
        <w:t>50,000,000.00</w:t>
      </w:r>
      <w:r>
        <w:rPr>
          <w:rFonts w:ascii="宋体" w:hAnsi="宋体" w:cs="宋体" w:eastAsia="宋体" w:hint="default"/>
          <w:spacing w:val="-53"/>
        </w:rPr>
        <w:t> </w:t>
      </w:r>
      <w:r>
        <w:rPr>
          <w:spacing w:val="-10"/>
        </w:rPr>
        <w:t>元，余下</w:t>
      </w:r>
      <w:r>
        <w:rPr>
          <w:spacing w:val="-54"/>
        </w:rPr>
        <w:t> </w:t>
      </w:r>
      <w:r>
        <w:rPr>
          <w:rFonts w:ascii="宋体" w:hAnsi="宋体" w:cs="宋体" w:eastAsia="宋体" w:hint="default"/>
        </w:rPr>
        <w:t>79,500,000.00</w:t>
      </w:r>
      <w:r>
        <w:rPr>
          <w:rFonts w:ascii="宋体" w:hAnsi="宋体" w:cs="宋体" w:eastAsia="宋体" w:hint="default"/>
          <w:spacing w:val="-53"/>
        </w:rPr>
        <w:t> </w:t>
      </w:r>
      <w:r>
        <w:rPr>
          <w:spacing w:val="-8"/>
        </w:rPr>
        <w:t>元借款，于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月与中国民生银行南京分行 签订借款展期协议，展期期限为</w:t>
      </w:r>
      <w:r>
        <w:rPr>
          <w:spacing w:val="67"/>
        </w:rPr>
        <w:t> </w:t>
      </w:r>
      <w:r>
        <w:rPr>
          <w:rFonts w:ascii="宋体" w:hAnsi="宋体" w:cs="宋体" w:eastAsia="宋体" w:hint="default"/>
        </w:rPr>
        <w:t>2018.12.13-2019.5.13</w:t>
      </w:r>
      <w:r>
        <w:rPr/>
        <w:t>，由江苏光一投资管理有限责任公司提供编号为</w:t>
      </w:r>
    </w:p>
    <w:p>
      <w:pPr>
        <w:pStyle w:val="BodyText"/>
        <w:spacing w:line="408" w:lineRule="auto"/>
        <w:ind w:right="1130"/>
        <w:jc w:val="left"/>
      </w:pPr>
      <w:r>
        <w:rPr>
          <w:spacing w:val="2"/>
        </w:rPr>
        <w:t>【</w:t>
      </w:r>
      <w:r>
        <w:rPr>
          <w:rFonts w:ascii="宋体" w:hAnsi="宋体" w:cs="宋体" w:eastAsia="宋体" w:hint="default"/>
        </w:rPr>
        <w:t>D</w:t>
      </w:r>
      <w:r>
        <w:rPr>
          <w:rFonts w:ascii="宋体" w:hAnsi="宋体" w:cs="宋体" w:eastAsia="宋体" w:hint="default"/>
          <w:spacing w:val="1"/>
        </w:rPr>
        <w:t>B</w:t>
      </w:r>
      <w:r>
        <w:rPr>
          <w:rFonts w:ascii="宋体" w:hAnsi="宋体" w:cs="宋体" w:eastAsia="宋体" w:hint="default"/>
        </w:rPr>
        <w:t>170000004665</w:t>
      </w:r>
      <w:r>
        <w:rPr>
          <w:rFonts w:ascii="宋体" w:hAnsi="宋体" w:cs="宋体" w:eastAsia="宋体" w:hint="default"/>
          <w:spacing w:val="3"/>
        </w:rPr>
        <w:t>3</w:t>
      </w:r>
      <w:r>
        <w:rPr>
          <w:spacing w:val="2"/>
        </w:rPr>
        <w:t>】</w:t>
      </w:r>
      <w:r>
        <w:rPr>
          <w:spacing w:val="1"/>
        </w:rPr>
        <w:t>的</w:t>
      </w:r>
      <w:r>
        <w:rPr>
          <w:spacing w:val="2"/>
        </w:rPr>
        <w:t>《保证合同</w:t>
      </w:r>
      <w:r>
        <w:rPr>
          <w:spacing w:val="-103"/>
        </w:rPr>
        <w:t>》</w:t>
      </w:r>
      <w:r>
        <w:rPr>
          <w:spacing w:val="2"/>
        </w:rPr>
        <w:t>，由光一</w:t>
      </w:r>
      <w:r>
        <w:rPr>
          <w:spacing w:val="3"/>
        </w:rPr>
        <w:t>科</w:t>
      </w:r>
      <w:r>
        <w:rPr>
          <w:spacing w:val="2"/>
        </w:rPr>
        <w:t>技股份有</w:t>
      </w:r>
      <w:r>
        <w:rPr>
          <w:spacing w:val="3"/>
        </w:rPr>
        <w:t>限</w:t>
      </w:r>
      <w:r>
        <w:rPr>
          <w:spacing w:val="2"/>
        </w:rPr>
        <w:t>公司提供</w:t>
      </w:r>
      <w:r>
        <w:rPr>
          <w:spacing w:val="3"/>
        </w:rPr>
        <w:t>编</w:t>
      </w:r>
      <w:r>
        <w:rPr>
          <w:spacing w:val="2"/>
        </w:rPr>
        <w:t>号</w:t>
      </w:r>
      <w:r>
        <w:rPr>
          <w:spacing w:val="9"/>
        </w:rPr>
        <w:t>【</w:t>
      </w:r>
      <w:r>
        <w:rPr>
          <w:rFonts w:ascii="宋体" w:hAnsi="宋体" w:cs="宋体" w:eastAsia="宋体" w:hint="default"/>
        </w:rPr>
        <w:t>D</w:t>
      </w:r>
      <w:r>
        <w:rPr>
          <w:rFonts w:ascii="宋体" w:hAnsi="宋体" w:cs="宋体" w:eastAsia="宋体" w:hint="default"/>
          <w:spacing w:val="1"/>
        </w:rPr>
        <w:t>B</w:t>
      </w:r>
      <w:r>
        <w:rPr>
          <w:rFonts w:ascii="宋体" w:hAnsi="宋体" w:cs="宋体" w:eastAsia="宋体" w:hint="default"/>
        </w:rPr>
        <w:t>170000004525</w:t>
      </w:r>
      <w:r>
        <w:rPr>
          <w:rFonts w:ascii="宋体" w:hAnsi="宋体" w:cs="宋体" w:eastAsia="宋体" w:hint="default"/>
          <w:spacing w:val="3"/>
        </w:rPr>
        <w:t>5</w:t>
      </w:r>
      <w:r>
        <w:rPr>
          <w:spacing w:val="1"/>
        </w:rPr>
        <w:t>】</w:t>
      </w:r>
      <w:r>
        <w:rPr>
          <w:spacing w:val="2"/>
        </w:rPr>
        <w:t>的《质</w:t>
      </w:r>
      <w:r>
        <w:rPr/>
        <w:t>押</w:t>
      </w:r>
      <w:r>
        <w:rPr/>
        <w:t> 合同</w:t>
      </w:r>
      <w:r>
        <w:rPr>
          <w:spacing w:val="-105"/>
        </w:rPr>
        <w:t>》</w:t>
      </w:r>
      <w:r>
        <w:rPr>
          <w:spacing w:val="-16"/>
        </w:rPr>
        <w:t>，</w:t>
      </w:r>
      <w:r>
        <w:rPr/>
        <w:t>编</w:t>
      </w:r>
      <w:r>
        <w:rPr>
          <w:spacing w:val="-17"/>
        </w:rPr>
        <w:t>号</w:t>
      </w:r>
      <w:r>
        <w:rPr/>
        <w:t>【</w:t>
      </w:r>
      <w:r>
        <w:rPr>
          <w:rFonts w:ascii="宋体" w:hAnsi="宋体" w:cs="宋体" w:eastAsia="宋体" w:hint="default"/>
        </w:rPr>
        <w:t>DB1800000105979</w:t>
      </w:r>
      <w:r>
        <w:rPr>
          <w:spacing w:val="-16"/>
        </w:rPr>
        <w:t>】</w:t>
      </w:r>
      <w:r>
        <w:rPr>
          <w:spacing w:val="-17"/>
        </w:rPr>
        <w:t>的</w:t>
      </w:r>
      <w:r>
        <w:rPr/>
        <w:t>《抵押合同</w:t>
      </w:r>
      <w:r>
        <w:rPr>
          <w:spacing w:val="-106"/>
        </w:rPr>
        <w:t>》</w:t>
      </w:r>
      <w:r>
        <w:rPr>
          <w:spacing w:val="-16"/>
        </w:rPr>
        <w:t>，</w:t>
      </w:r>
      <w:r>
        <w:rPr/>
        <w:t>编</w:t>
      </w:r>
      <w:r>
        <w:rPr>
          <w:spacing w:val="-16"/>
        </w:rPr>
        <w:t>号</w:t>
      </w:r>
      <w:r>
        <w:rPr/>
        <w:t>【</w:t>
      </w:r>
      <w:r>
        <w:rPr>
          <w:rFonts w:ascii="宋体" w:hAnsi="宋体" w:cs="宋体" w:eastAsia="宋体" w:hint="default"/>
        </w:rPr>
        <w:t>ZH17000000619</w:t>
      </w:r>
      <w:r>
        <w:rPr>
          <w:rFonts w:ascii="宋体" w:hAnsi="宋体" w:cs="宋体" w:eastAsia="宋体" w:hint="default"/>
          <w:spacing w:val="-2"/>
        </w:rPr>
        <w:t>3</w:t>
      </w:r>
      <w:r>
        <w:rPr>
          <w:rFonts w:ascii="宋体" w:hAnsi="宋体" w:cs="宋体" w:eastAsia="宋体" w:hint="default"/>
        </w:rPr>
        <w:t>8</w:t>
      </w:r>
      <w:r>
        <w:rPr>
          <w:rFonts w:ascii="宋体" w:hAnsi="宋体" w:cs="宋体" w:eastAsia="宋体" w:hint="default"/>
          <w:spacing w:val="-1"/>
        </w:rPr>
        <w:t>-</w:t>
      </w:r>
      <w:r>
        <w:rPr>
          <w:rFonts w:ascii="宋体" w:hAnsi="宋体" w:cs="宋体" w:eastAsia="宋体" w:hint="default"/>
          <w:spacing w:val="1"/>
        </w:rPr>
        <w:t>2</w:t>
      </w:r>
      <w:r>
        <w:rPr>
          <w:spacing w:val="-16"/>
        </w:rPr>
        <w:t>】的</w:t>
      </w:r>
      <w:r>
        <w:rPr/>
        <w:t>《</w:t>
      </w:r>
      <w:r>
        <w:rPr>
          <w:spacing w:val="-2"/>
        </w:rPr>
        <w:t>应</w:t>
      </w:r>
      <w:r>
        <w:rPr/>
        <w:t>收账款质押合同</w:t>
      </w:r>
      <w:r>
        <w:rPr>
          <w:spacing w:val="-104"/>
        </w:rPr>
        <w:t>》</w:t>
      </w:r>
      <w:r>
        <w:rPr/>
        <w:t>，</w:t>
      </w:r>
    </w:p>
    <w:p>
      <w:pPr>
        <w:spacing w:after="0" w:line="408"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22"/>
        <w:jc w:val="left"/>
      </w:pPr>
      <w:r>
        <w:rPr/>
        <w:t>其中贷款金额</w:t>
      </w:r>
      <w:r>
        <w:rPr>
          <w:spacing w:val="-53"/>
        </w:rPr>
        <w:t> </w:t>
      </w:r>
      <w:r>
        <w:rPr>
          <w:rFonts w:ascii="宋体" w:hAnsi="宋体" w:cs="宋体" w:eastAsia="宋体" w:hint="default"/>
        </w:rPr>
        <w:t>79,500,000.00</w:t>
      </w:r>
      <w:r>
        <w:rPr>
          <w:rFonts w:ascii="宋体" w:hAnsi="宋体" w:cs="宋体" w:eastAsia="宋体" w:hint="default"/>
          <w:spacing w:val="-53"/>
        </w:rPr>
        <w:t> </w:t>
      </w:r>
      <w:r>
        <w:rPr/>
        <w:t>元划分至一年内到期的非流动负债。</w:t>
      </w:r>
    </w:p>
    <w:p>
      <w:pPr>
        <w:spacing w:line="240" w:lineRule="auto" w:before="10"/>
        <w:rPr>
          <w:rFonts w:ascii="宋体" w:hAnsi="宋体" w:cs="宋体" w:eastAsia="宋体" w:hint="default"/>
          <w:sz w:val="14"/>
          <w:szCs w:val="14"/>
        </w:rPr>
      </w:pPr>
    </w:p>
    <w:p>
      <w:pPr>
        <w:pStyle w:val="BodyText"/>
        <w:spacing w:line="240" w:lineRule="auto" w:before="0"/>
        <w:ind w:left="0" w:right="1132"/>
        <w:jc w:val="right"/>
      </w:pPr>
      <w:r>
        <w:rPr/>
        <w:t>③</w:t>
      </w:r>
      <w:r>
        <w:rPr>
          <w:rFonts w:ascii="宋体" w:hAnsi="宋体" w:cs="宋体" w:eastAsia="宋体" w:hint="default"/>
        </w:rPr>
        <w:t>2017</w:t>
      </w:r>
      <w:r>
        <w:rPr>
          <w:rFonts w:ascii="宋体" w:hAnsi="宋体" w:cs="宋体" w:eastAsia="宋体" w:hint="default"/>
          <w:spacing w:val="-48"/>
        </w:rPr>
        <w:t> </w:t>
      </w:r>
      <w:r>
        <w:rPr/>
        <w:t>年</w:t>
      </w:r>
      <w:r>
        <w:rPr>
          <w:spacing w:val="-49"/>
        </w:rPr>
        <w:t> </w:t>
      </w:r>
      <w:r>
        <w:rPr>
          <w:rFonts w:ascii="宋体" w:hAnsi="宋体" w:cs="宋体" w:eastAsia="宋体" w:hint="default"/>
        </w:rPr>
        <w:t>9</w:t>
      </w:r>
      <w:r>
        <w:rPr>
          <w:rFonts w:ascii="宋体" w:hAnsi="宋体" w:cs="宋体" w:eastAsia="宋体" w:hint="default"/>
          <w:spacing w:val="-49"/>
        </w:rPr>
        <w:t> </w:t>
      </w:r>
      <w:r>
        <w:rPr/>
        <w:t>月</w:t>
      </w:r>
      <w:r>
        <w:rPr>
          <w:spacing w:val="-49"/>
        </w:rPr>
        <w:t> </w:t>
      </w:r>
      <w:r>
        <w:rPr>
          <w:rFonts w:ascii="宋体" w:hAnsi="宋体" w:cs="宋体" w:eastAsia="宋体" w:hint="default"/>
        </w:rPr>
        <w:t>22</w:t>
      </w:r>
      <w:r>
        <w:rPr>
          <w:rFonts w:ascii="宋体" w:hAnsi="宋体" w:cs="宋体" w:eastAsia="宋体" w:hint="default"/>
          <w:spacing w:val="-48"/>
        </w:rPr>
        <w:t> </w:t>
      </w:r>
      <w:r>
        <w:rPr/>
        <w:t>日，光一科技股份有限公司与工行江宁支行签订的固定资产借款合同及最高债权额</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t>度借款合</w:t>
      </w:r>
      <w:r>
        <w:rPr>
          <w:spacing w:val="-71"/>
        </w:rPr>
        <w:t>同</w:t>
      </w:r>
      <w:r>
        <w:rPr/>
        <w:t>《</w:t>
      </w:r>
      <w:r>
        <w:rPr>
          <w:rFonts w:ascii="宋体" w:hAnsi="宋体" w:cs="宋体" w:eastAsia="宋体" w:hint="default"/>
        </w:rPr>
        <w:t>2017</w:t>
      </w:r>
      <w:r>
        <w:rPr>
          <w:rFonts w:ascii="宋体" w:hAnsi="宋体" w:cs="宋体" w:eastAsia="宋体" w:hint="default"/>
          <w:spacing w:val="-51"/>
        </w:rPr>
        <w:t> </w:t>
      </w:r>
      <w:r>
        <w:rPr/>
        <w:t>年江</w:t>
      </w:r>
      <w:r>
        <w:rPr>
          <w:spacing w:val="-2"/>
        </w:rPr>
        <w:t>宁</w:t>
      </w:r>
      <w:r>
        <w:rPr>
          <w:rFonts w:ascii="宋体" w:hAnsi="宋体" w:cs="宋体" w:eastAsia="宋体" w:hint="default"/>
          <w:spacing w:val="-1"/>
        </w:rPr>
        <w:t>(</w:t>
      </w:r>
      <w:r>
        <w:rPr/>
        <w:t>保</w:t>
      </w:r>
      <w:r>
        <w:rPr>
          <w:rFonts w:ascii="宋体" w:hAnsi="宋体" w:cs="宋体" w:eastAsia="宋体" w:hint="default"/>
        </w:rPr>
        <w:t>)</w:t>
      </w:r>
      <w:r>
        <w:rPr/>
        <w:t>字</w:t>
      </w:r>
      <w:r>
        <w:rPr>
          <w:spacing w:val="-53"/>
        </w:rPr>
        <w:t> </w:t>
      </w:r>
      <w:r>
        <w:rPr>
          <w:rFonts w:ascii="宋体" w:hAnsi="宋体" w:cs="宋体" w:eastAsia="宋体" w:hint="default"/>
        </w:rPr>
        <w:t>0036</w:t>
      </w:r>
      <w:r>
        <w:rPr>
          <w:rFonts w:ascii="宋体" w:hAnsi="宋体" w:cs="宋体" w:eastAsia="宋体" w:hint="default"/>
          <w:spacing w:val="-54"/>
        </w:rPr>
        <w:t> </w:t>
      </w:r>
      <w:r>
        <w:rPr/>
        <w:t>号</w:t>
      </w:r>
      <w:r>
        <w:rPr>
          <w:spacing w:val="-71"/>
        </w:rPr>
        <w:t>》和</w:t>
      </w:r>
      <w:r>
        <w:rPr/>
        <w:t>《</w:t>
      </w:r>
      <w:r>
        <w:rPr>
          <w:rFonts w:ascii="宋体" w:hAnsi="宋体" w:cs="宋体" w:eastAsia="宋体" w:hint="default"/>
        </w:rPr>
        <w:t>2017</w:t>
      </w:r>
      <w:r>
        <w:rPr>
          <w:rFonts w:ascii="宋体" w:hAnsi="宋体" w:cs="宋体" w:eastAsia="宋体" w:hint="default"/>
          <w:spacing w:val="-54"/>
        </w:rPr>
        <w:t> </w:t>
      </w:r>
      <w:r>
        <w:rPr/>
        <w:t>年江宁</w:t>
      </w:r>
      <w:r>
        <w:rPr>
          <w:rFonts w:ascii="宋体" w:hAnsi="宋体" w:cs="宋体" w:eastAsia="宋体" w:hint="default"/>
        </w:rPr>
        <w:t>(</w:t>
      </w:r>
      <w:r>
        <w:rPr/>
        <w:t>保</w:t>
      </w:r>
      <w:r>
        <w:rPr>
          <w:rFonts w:ascii="宋体" w:hAnsi="宋体" w:cs="宋体" w:eastAsia="宋体" w:hint="default"/>
          <w:spacing w:val="-1"/>
        </w:rPr>
        <w:t>)</w:t>
      </w:r>
      <w:r>
        <w:rPr/>
        <w:t>字</w:t>
      </w:r>
      <w:r>
        <w:rPr>
          <w:spacing w:val="-53"/>
        </w:rPr>
        <w:t> </w:t>
      </w:r>
      <w:r>
        <w:rPr>
          <w:rFonts w:ascii="宋体" w:hAnsi="宋体" w:cs="宋体" w:eastAsia="宋体" w:hint="default"/>
        </w:rPr>
        <w:t>0036</w:t>
      </w:r>
      <w:r>
        <w:rPr>
          <w:rFonts w:ascii="宋体" w:hAnsi="宋体" w:cs="宋体" w:eastAsia="宋体" w:hint="default"/>
          <w:spacing w:val="-1"/>
        </w:rPr>
        <w:t>-</w:t>
      </w:r>
      <w:r>
        <w:rPr>
          <w:rFonts w:ascii="宋体" w:hAnsi="宋体" w:cs="宋体" w:eastAsia="宋体" w:hint="default"/>
        </w:rPr>
        <w:t>1</w:t>
      </w:r>
      <w:r>
        <w:rPr>
          <w:rFonts w:ascii="宋体" w:hAnsi="宋体" w:cs="宋体" w:eastAsia="宋体" w:hint="default"/>
          <w:spacing w:val="-52"/>
        </w:rPr>
        <w:t> </w:t>
      </w:r>
      <w:r>
        <w:rPr>
          <w:spacing w:val="-2"/>
        </w:rPr>
        <w:t>号</w:t>
      </w:r>
      <w:r>
        <w:rPr>
          <w:spacing w:val="-105"/>
        </w:rPr>
        <w:t>》</w:t>
      </w:r>
      <w:r>
        <w:rPr>
          <w:spacing w:val="-71"/>
        </w:rPr>
        <w:t>，</w:t>
      </w:r>
      <w:r>
        <w:rPr/>
        <w:t>借款金</w:t>
      </w:r>
      <w:r>
        <w:rPr>
          <w:spacing w:val="-2"/>
        </w:rPr>
        <w:t>额</w:t>
      </w:r>
      <w:r>
        <w:rPr/>
        <w:t>为</w:t>
      </w:r>
      <w:r>
        <w:rPr>
          <w:spacing w:val="-52"/>
        </w:rPr>
        <w:t> </w:t>
      </w:r>
      <w:r>
        <w:rPr>
          <w:rFonts w:ascii="宋体" w:hAnsi="宋体" w:cs="宋体" w:eastAsia="宋体" w:hint="default"/>
        </w:rPr>
        <w:t>180,000,000.00</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spacing w:val="-4"/>
        </w:rPr>
        <w:t>元，借款期限</w:t>
      </w:r>
      <w:r>
        <w:rPr>
          <w:spacing w:val="-54"/>
        </w:rPr>
        <w:t> </w:t>
      </w:r>
      <w:r>
        <w:rPr>
          <w:rFonts w:ascii="宋体" w:hAnsi="宋体" w:cs="宋体" w:eastAsia="宋体" w:hint="default"/>
        </w:rPr>
        <w:t>2017.9.22-2023.9.22</w:t>
      </w:r>
      <w:r>
        <w:rPr/>
        <w:t>，截止到</w:t>
      </w:r>
      <w:r>
        <w:rPr>
          <w:spacing w:val="-54"/>
        </w:rPr>
        <w:t> </w:t>
      </w:r>
      <w:r>
        <w:rPr>
          <w:rFonts w:ascii="宋体" w:hAnsi="宋体" w:cs="宋体" w:eastAsia="宋体" w:hint="default"/>
        </w:rPr>
        <w:t>2018</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spacing w:val="-3"/>
        </w:rPr>
        <w:t>日，已经发放贷款</w:t>
      </w:r>
      <w:r>
        <w:rPr>
          <w:spacing w:val="-54"/>
        </w:rPr>
        <w:t> </w:t>
      </w:r>
      <w:r>
        <w:rPr>
          <w:rFonts w:ascii="宋体" w:hAnsi="宋体" w:cs="宋体" w:eastAsia="宋体" w:hint="default"/>
        </w:rPr>
        <w:t>83,860,000.00</w:t>
      </w:r>
      <w:r>
        <w:rPr>
          <w:rFonts w:ascii="宋体" w:hAnsi="宋体" w:cs="宋体" w:eastAsia="宋体" w:hint="default"/>
          <w:spacing w:val="-54"/>
        </w:rPr>
        <w:t> </w:t>
      </w:r>
      <w:r>
        <w:rPr>
          <w:spacing w:val="-6"/>
        </w:rPr>
        <w:t>元，并已</w:t>
      </w:r>
    </w:p>
    <w:p>
      <w:pPr>
        <w:spacing w:line="240" w:lineRule="auto" w:before="10"/>
        <w:rPr>
          <w:rFonts w:ascii="宋体" w:hAnsi="宋体" w:cs="宋体" w:eastAsia="宋体" w:hint="default"/>
          <w:sz w:val="14"/>
          <w:szCs w:val="14"/>
        </w:rPr>
      </w:pPr>
    </w:p>
    <w:p>
      <w:pPr>
        <w:pStyle w:val="BodyText"/>
        <w:spacing w:line="408" w:lineRule="auto" w:before="0"/>
        <w:ind w:right="1199"/>
        <w:jc w:val="left"/>
        <w:rPr>
          <w:rFonts w:ascii="宋体" w:hAnsi="宋体" w:cs="宋体" w:eastAsia="宋体" w:hint="default"/>
        </w:rPr>
      </w:pPr>
      <w:r>
        <w:rPr/>
        <w:t>归还</w:t>
      </w:r>
      <w:r>
        <w:rPr>
          <w:spacing w:val="-54"/>
        </w:rPr>
        <w:t> </w:t>
      </w:r>
      <w:r>
        <w:rPr>
          <w:rFonts w:ascii="宋体" w:hAnsi="宋体" w:cs="宋体" w:eastAsia="宋体" w:hint="default"/>
        </w:rPr>
        <w:t>5,000,000.00</w:t>
      </w:r>
      <w:r>
        <w:rPr>
          <w:rFonts w:ascii="宋体" w:hAnsi="宋体" w:cs="宋体" w:eastAsia="宋体" w:hint="default"/>
          <w:spacing w:val="-53"/>
        </w:rPr>
        <w:t> </w:t>
      </w:r>
      <w:r>
        <w:rPr/>
        <w:t>元。由湖北索瑞电气有限公司，龙昌明以及熊珂作为担保人并且承担连带保证责任。 </w:t>
      </w:r>
      <w:bookmarkStart w:name="38、应付债券" w:id="322"/>
      <w:bookmarkEnd w:id="322"/>
      <w:r>
        <w:rPr/>
      </w:r>
      <w:r>
        <w:rPr>
          <w:rFonts w:ascii="宋体" w:hAnsi="宋体" w:cs="宋体" w:eastAsia="宋体" w:hint="default"/>
          <w:b/>
          <w:bCs/>
        </w:rPr>
        <w:t>38</w:t>
      </w:r>
      <w:r>
        <w:rPr>
          <w:rFonts w:ascii="宋体" w:hAnsi="宋体" w:cs="宋体" w:eastAsia="宋体" w:hint="default"/>
          <w:b/>
          <w:bCs/>
        </w:rPr>
        <w:t>、应付债券</w:t>
      </w:r>
      <w:r>
        <w:rPr>
          <w:rFonts w:ascii="宋体" w:hAnsi="宋体" w:cs="宋体" w:eastAsia="宋体" w:hint="default"/>
        </w:rPr>
      </w:r>
    </w:p>
    <w:p>
      <w:pPr>
        <w:pStyle w:val="Heading4"/>
        <w:spacing w:line="240" w:lineRule="auto" w:before="46"/>
        <w:ind w:right="1122"/>
        <w:jc w:val="left"/>
        <w:rPr>
          <w:b w:val="0"/>
          <w:bCs w:val="0"/>
        </w:rPr>
      </w:pPr>
      <w:bookmarkStart w:name="（1）应付债券" w:id="323"/>
      <w:bookmarkEnd w:id="323"/>
      <w:r>
        <w:rPr>
          <w:b w:val="0"/>
          <w:bCs w:val="0"/>
        </w:rPr>
      </w:r>
      <w:r>
        <w:rPr/>
        <w:t>（</w:t>
      </w:r>
      <w:r>
        <w:rPr>
          <w:rFonts w:ascii="宋体" w:hAnsi="宋体" w:cs="宋体" w:eastAsia="宋体" w:hint="default"/>
        </w:rPr>
        <w:t>1</w:t>
      </w:r>
      <w:r>
        <w:rPr/>
        <w:t>）应付债券</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2） 应付债券的增减变动（不包括划分为金融负债的优先股、永续债等其他金融工具）" w:id="324"/>
      <w:bookmarkEnd w:id="324"/>
      <w:r>
        <w:rPr>
          <w:b w:val="0"/>
          <w:bCs w:val="0"/>
        </w:rPr>
      </w: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3） 可转换公司债券的转股条件、转股时间说明" w:id="325"/>
      <w:bookmarkEnd w:id="325"/>
      <w:r>
        <w:rPr>
          <w:b w:val="0"/>
          <w:bCs w:val="0"/>
        </w:rPr>
      </w:r>
      <w:r>
        <w:rPr/>
        <w:t>（</w:t>
      </w:r>
      <w:r>
        <w:rPr>
          <w:rFonts w:ascii="宋体" w:hAnsi="宋体" w:cs="宋体" w:eastAsia="宋体"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4） 划分为金融负债的其他金融工具说明" w:id="326"/>
      <w:bookmarkEnd w:id="326"/>
      <w:r>
        <w:rPr>
          <w:b w:val="0"/>
          <w:bCs w:val="0"/>
        </w:rPr>
      </w:r>
      <w:r>
        <w:rPr/>
        <w:t>（</w:t>
      </w:r>
      <w:r>
        <w:rPr>
          <w:rFonts w:ascii="宋体" w:hAnsi="宋体" w:cs="宋体" w:eastAsia="宋体" w:hint="default"/>
        </w:rPr>
        <w:t>4</w:t>
      </w:r>
      <w:r>
        <w:rPr/>
        <w:t>）划分为金融负债的其他金融工具说明</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9、长期应付款" w:id="327"/>
      <w:bookmarkEnd w:id="327"/>
      <w:r>
        <w:rPr>
          <w:rFonts w:ascii="宋体" w:hAnsi="宋体" w:cs="宋体" w:eastAsia="宋体" w:hint="default"/>
          <w:sz w:val="21"/>
          <w:szCs w:val="21"/>
        </w:rPr>
      </w:r>
      <w:r>
        <w:rPr>
          <w:rFonts w:ascii="宋体" w:hAnsi="宋体" w:cs="宋体" w:eastAsia="宋体" w:hint="default"/>
          <w:b/>
          <w:bCs/>
          <w:sz w:val="21"/>
          <w:szCs w:val="21"/>
        </w:rPr>
        <w:t>39</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30"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72"/>
        <w:gridCol w:w="3202"/>
        <w:gridCol w:w="3189"/>
      </w:tblGrid>
      <w:tr>
        <w:trPr>
          <w:trHeight w:val="412" w:hRule="exact"/>
        </w:trPr>
        <w:tc>
          <w:tcPr>
            <w:tcW w:w="317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211,923,287.67</w:t>
            </w:r>
          </w:p>
        </w:tc>
        <w:tc>
          <w:tcPr>
            <w:tcW w:w="3189"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317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211,923,287.67</w:t>
            </w:r>
          </w:p>
        </w:tc>
        <w:tc>
          <w:tcPr>
            <w:tcW w:w="3189" w:type="dxa"/>
            <w:tcBorders>
              <w:top w:val="single" w:sz="4" w:space="0" w:color="000000"/>
              <w:left w:val="single" w:sz="4" w:space="0" w:color="000000"/>
              <w:bottom w:val="single" w:sz="12" w:space="0" w:color="000000"/>
              <w:right w:val="single" w:sz="12" w:space="0" w:color="000000"/>
            </w:tcBorders>
          </w:tcPr>
          <w:p>
            <w:pPr/>
          </w:p>
        </w:tc>
      </w:tr>
    </w:tbl>
    <w:p>
      <w:pPr>
        <w:pStyle w:val="Heading4"/>
        <w:spacing w:line="240" w:lineRule="auto" w:before="63"/>
        <w:ind w:right="1122"/>
        <w:jc w:val="left"/>
        <w:rPr>
          <w:b w:val="0"/>
          <w:bCs w:val="0"/>
        </w:rPr>
      </w:pPr>
      <w:bookmarkStart w:name="（1）按款项性质列示长期应付款" w:id="328"/>
      <w:bookmarkEnd w:id="328"/>
      <w:r>
        <w:rPr>
          <w:b w:val="0"/>
          <w:bCs w:val="0"/>
        </w:rPr>
      </w:r>
      <w:r>
        <w:rPr/>
        <w:t>（</w:t>
      </w:r>
      <w:r>
        <w:rPr>
          <w:rFonts w:ascii="宋体" w:hAnsi="宋体" w:cs="宋体" w:eastAsia="宋体" w:hint="default"/>
        </w:rPr>
        <w:t>1</w:t>
      </w:r>
      <w:r>
        <w:rPr/>
        <w:t>）按款项性质列示长期应付款</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2"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优先级合伙人出资份额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200,000,000.00</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优先级合伙人固定收益金额</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11,923,287.67</w:t>
            </w:r>
          </w:p>
        </w:tc>
        <w:tc>
          <w:tcPr>
            <w:tcW w:w="3188"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5"/>
          <w:szCs w:val="5"/>
        </w:rPr>
      </w:pPr>
    </w:p>
    <w:p>
      <w:pPr>
        <w:pStyle w:val="BodyText"/>
        <w:spacing w:line="240" w:lineRule="auto" w:before="35"/>
        <w:ind w:right="1122"/>
        <w:jc w:val="left"/>
      </w:pPr>
      <w:r>
        <w:rPr/>
        <w:t>其他说明：</w:t>
      </w:r>
    </w:p>
    <w:p>
      <w:pPr>
        <w:pStyle w:val="BodyText"/>
        <w:spacing w:line="408" w:lineRule="auto" w:before="115"/>
        <w:ind w:right="1131" w:firstLine="420"/>
        <w:jc w:val="both"/>
      </w:pPr>
      <w:r>
        <w:rPr>
          <w:spacing w:val="-1"/>
        </w:rPr>
        <w:t>公司报告期内发起设立了南京领航光一科技产业投资合伙企业（有限合伙），引入了优先级合伙人无</w:t>
      </w:r>
      <w:r>
        <w:rPr/>
        <w:t> 锡金投领航产业升级并购投资企业（有限合伙）认缴出资份额</w:t>
      </w:r>
      <w:r>
        <w:rPr>
          <w:rFonts w:ascii="宋体" w:hAnsi="宋体" w:cs="宋体" w:eastAsia="宋体" w:hint="default"/>
        </w:rPr>
        <w:t>2</w:t>
      </w:r>
      <w:r>
        <w:rPr/>
        <w:t>亿元，并为其提供差额补足及远期回购增</w:t>
      </w:r>
      <w:r>
        <w:rPr>
          <w:spacing w:val="-27"/>
        </w:rPr>
        <w:t> </w:t>
      </w:r>
      <w:r>
        <w:rPr>
          <w:spacing w:val="-27"/>
        </w:rPr>
      </w:r>
      <w:r>
        <w:rPr/>
        <w:t>信措施，因此本公司认为其为一项负债。</w:t>
      </w:r>
    </w:p>
    <w:p>
      <w:pPr>
        <w:pStyle w:val="Heading4"/>
        <w:spacing w:line="240" w:lineRule="auto" w:before="46"/>
        <w:ind w:right="1122"/>
        <w:jc w:val="left"/>
        <w:rPr>
          <w:b w:val="0"/>
          <w:bCs w:val="0"/>
        </w:rPr>
      </w:pPr>
      <w:bookmarkStart w:name="（2） 专项应付款" w:id="329"/>
      <w:bookmarkEnd w:id="329"/>
      <w:r>
        <w:rPr>
          <w:b w:val="0"/>
          <w:bCs w:val="0"/>
        </w:rPr>
      </w:r>
      <w:r>
        <w:rPr/>
        <w:t>（</w:t>
      </w:r>
      <w:r>
        <w:rPr>
          <w:rFonts w:ascii="宋体" w:hAnsi="宋体" w:cs="宋体" w:eastAsia="宋体" w:hint="default"/>
        </w:rPr>
        <w:t>2</w:t>
      </w:r>
      <w:r>
        <w:rPr/>
        <w:t>）专项应付款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40、 长期应付职工薪酬" w:id="330"/>
      <w:bookmarkEnd w:id="330"/>
      <w:r>
        <w:rPr>
          <w:b w:val="0"/>
          <w:bCs w:val="0"/>
        </w:rPr>
      </w:r>
      <w:r>
        <w:rPr>
          <w:rFonts w:ascii="宋体" w:hAnsi="宋体" w:cs="宋体" w:eastAsia="宋体" w:hint="default"/>
        </w:rPr>
        <w:t>40</w:t>
      </w:r>
      <w:r>
        <w:rPr/>
        <w:t>、长期应付职工薪酬</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2"/>
        <w:jc w:val="left"/>
        <w:rPr>
          <w:b w:val="0"/>
          <w:bCs w:val="0"/>
        </w:rPr>
      </w:pPr>
      <w:bookmarkStart w:name="（1） 长期应付职工薪酬表" w:id="331"/>
      <w:bookmarkEnd w:id="331"/>
      <w:r>
        <w:rPr>
          <w:b w:val="0"/>
          <w:bCs w:val="0"/>
        </w:rPr>
      </w:r>
      <w:r>
        <w:rPr/>
        <w:t>（</w:t>
      </w:r>
      <w:r>
        <w:rPr>
          <w:rFonts w:ascii="宋体" w:hAnsi="宋体" w:cs="宋体" w:eastAsia="宋体" w:hint="default"/>
        </w:rPr>
        <w:t>1</w:t>
      </w:r>
      <w:r>
        <w:rPr/>
        <w:t>）长期应付职工薪酬表</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2） 设定受益计划变动情况" w:id="332"/>
      <w:bookmarkEnd w:id="332"/>
      <w:r>
        <w:rPr>
          <w:b w:val="0"/>
          <w:bCs w:val="0"/>
        </w:rPr>
      </w:r>
      <w:r>
        <w:rPr/>
        <w:t>（</w:t>
      </w:r>
      <w:r>
        <w:rPr>
          <w:rFonts w:ascii="宋体" w:hAnsi="宋体" w:cs="宋体" w:eastAsia="宋体" w:hint="default"/>
        </w:rPr>
        <w:t>2</w:t>
      </w:r>
      <w:r>
        <w:rPr/>
        <w:t>）设定受益计划变动情况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1、 预计负债" w:id="333"/>
      <w:bookmarkEnd w:id="333"/>
      <w:r>
        <w:rPr>
          <w:rFonts w:ascii="宋体" w:hAnsi="宋体" w:cs="宋体" w:eastAsia="宋体" w:hint="default"/>
          <w:sz w:val="21"/>
          <w:szCs w:val="21"/>
        </w:rPr>
      </w:r>
      <w:r>
        <w:rPr>
          <w:rFonts w:ascii="宋体" w:hAnsi="宋体" w:cs="宋体" w:eastAsia="宋体" w:hint="default"/>
          <w:b/>
          <w:bCs/>
          <w:sz w:val="21"/>
          <w:szCs w:val="21"/>
        </w:rPr>
        <w:t>41</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2、递延收益" w:id="334"/>
      <w:bookmarkEnd w:id="334"/>
      <w:r>
        <w:rPr>
          <w:rFonts w:ascii="宋体" w:hAnsi="宋体" w:cs="宋体" w:eastAsia="宋体" w:hint="default"/>
          <w:sz w:val="21"/>
          <w:szCs w:val="21"/>
        </w:rPr>
      </w:r>
      <w:r>
        <w:rPr>
          <w:rFonts w:ascii="宋体" w:hAnsi="宋体" w:cs="宋体" w:eastAsia="宋体" w:hint="default"/>
          <w:b/>
          <w:bCs/>
          <w:sz w:val="21"/>
          <w:szCs w:val="21"/>
        </w:rPr>
        <w:t>42</w:t>
      </w:r>
      <w:r>
        <w:rPr>
          <w:rFonts w:ascii="宋体" w:hAnsi="宋体" w:cs="宋体" w:eastAsia="宋体" w:hint="default"/>
          <w:b/>
          <w:bCs/>
          <w:sz w:val="21"/>
          <w:szCs w:val="21"/>
        </w:rPr>
        <w:t>、递延收益</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83"/>
        <w:gridCol w:w="1607"/>
        <w:gridCol w:w="1595"/>
        <w:gridCol w:w="1594"/>
        <w:gridCol w:w="1594"/>
        <w:gridCol w:w="1594"/>
      </w:tblGrid>
      <w:tr>
        <w:trPr>
          <w:trHeight w:val="411" w:hRule="exact"/>
        </w:trPr>
        <w:tc>
          <w:tcPr>
            <w:tcW w:w="15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398" w:right="0"/>
              <w:jc w:val="left"/>
              <w:rPr>
                <w:rFonts w:ascii="宋体" w:hAnsi="宋体" w:cs="宋体" w:eastAsia="宋体" w:hint="default"/>
                <w:sz w:val="18"/>
                <w:szCs w:val="18"/>
              </w:rPr>
            </w:pPr>
            <w:r>
              <w:rPr>
                <w:rFonts w:ascii="宋体"/>
                <w:sz w:val="18"/>
              </w:rPr>
              <w:t>12,659,418.89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5,470,092.27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1" w:right="0"/>
              <w:jc w:val="left"/>
              <w:rPr>
                <w:rFonts w:ascii="宋体" w:hAnsi="宋体" w:cs="宋体" w:eastAsia="宋体" w:hint="default"/>
                <w:sz w:val="18"/>
                <w:szCs w:val="18"/>
              </w:rPr>
            </w:pPr>
            <w:r>
              <w:rPr>
                <w:rFonts w:ascii="宋体"/>
                <w:sz w:val="18"/>
              </w:rPr>
              <w:t>7,189,326.62</w:t>
            </w: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158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52"/>
              <w:ind w:left="398" w:right="0"/>
              <w:jc w:val="left"/>
              <w:rPr>
                <w:rFonts w:ascii="宋体" w:hAnsi="宋体" w:cs="宋体" w:eastAsia="宋体" w:hint="default"/>
                <w:sz w:val="18"/>
                <w:szCs w:val="18"/>
              </w:rPr>
            </w:pPr>
            <w:r>
              <w:rPr>
                <w:rFonts w:ascii="宋体"/>
                <w:sz w:val="18"/>
              </w:rPr>
              <w:t>12,659,418.89</w:t>
            </w:r>
          </w:p>
        </w:tc>
        <w:tc>
          <w:tcPr>
            <w:tcW w:w="1595"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5,470,092.27</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481" w:right="0"/>
              <w:jc w:val="left"/>
              <w:rPr>
                <w:rFonts w:ascii="宋体" w:hAnsi="宋体" w:cs="宋体" w:eastAsia="宋体" w:hint="default"/>
                <w:sz w:val="18"/>
                <w:szCs w:val="18"/>
              </w:rPr>
            </w:pPr>
            <w:r>
              <w:rPr>
                <w:rFonts w:ascii="宋体"/>
                <w:sz w:val="18"/>
              </w:rPr>
              <w:t>7,189,326.62</w:t>
            </w:r>
          </w:p>
        </w:tc>
        <w:tc>
          <w:tcPr>
            <w:tcW w:w="1594"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3"/>
        <w:ind w:right="1122"/>
        <w:jc w:val="left"/>
      </w:pPr>
      <w:r>
        <w:rPr/>
        <w:t>涉及政府补助的项目：</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77"/>
        <w:gridCol w:w="1277"/>
        <w:gridCol w:w="566"/>
        <w:gridCol w:w="1271"/>
        <w:gridCol w:w="1156"/>
        <w:gridCol w:w="1080"/>
        <w:gridCol w:w="590"/>
        <w:gridCol w:w="1291"/>
        <w:gridCol w:w="1063"/>
      </w:tblGrid>
      <w:tr>
        <w:trPr>
          <w:trHeight w:val="1351" w:hRule="exact"/>
        </w:trPr>
        <w:tc>
          <w:tcPr>
            <w:tcW w:w="127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96" w:right="95"/>
              <w:jc w:val="both"/>
              <w:rPr>
                <w:rFonts w:ascii="宋体" w:hAnsi="宋体" w:cs="宋体" w:eastAsia="宋体" w:hint="default"/>
                <w:sz w:val="18"/>
                <w:szCs w:val="18"/>
              </w:rPr>
            </w:pPr>
            <w:r>
              <w:rPr>
                <w:rFonts w:ascii="宋体" w:hAnsi="宋体" w:cs="宋体" w:eastAsia="宋体" w:hint="default"/>
                <w:sz w:val="18"/>
                <w:szCs w:val="18"/>
              </w:rPr>
              <w:t>本期 新增 补助 金额</w:t>
            </w:r>
          </w:p>
        </w:tc>
        <w:tc>
          <w:tcPr>
            <w:tcW w:w="12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8" w:right="87"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9" w:right="29"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108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1" w:right="83"/>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6" w:right="106"/>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4" w:right="18"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719"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159"/>
              <w:jc w:val="left"/>
              <w:rPr>
                <w:rFonts w:ascii="宋体" w:hAnsi="宋体" w:cs="宋体" w:eastAsia="宋体" w:hint="default"/>
                <w:sz w:val="18"/>
                <w:szCs w:val="18"/>
              </w:rPr>
            </w:pPr>
            <w:r>
              <w:rPr>
                <w:rFonts w:ascii="宋体" w:hAnsi="宋体" w:cs="宋体" w:eastAsia="宋体" w:hint="default"/>
                <w:sz w:val="18"/>
                <w:szCs w:val="18"/>
              </w:rPr>
              <w:t>自动化改造研 究经费补助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1,792,821.53</w:t>
            </w:r>
          </w:p>
        </w:tc>
        <w:tc>
          <w:tcPr>
            <w:tcW w:w="566"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553,825.80</w:t>
            </w:r>
          </w:p>
        </w:tc>
        <w:tc>
          <w:tcPr>
            <w:tcW w:w="1080"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1,238,995.73</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3"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14"/>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年度国家 智能电网产业 集聚发展试点 重点项目补助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10,866,597.36</w:t>
            </w:r>
          </w:p>
        </w:tc>
        <w:tc>
          <w:tcPr>
            <w:tcW w:w="566"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4,916,266.47</w:t>
            </w:r>
          </w:p>
        </w:tc>
        <w:tc>
          <w:tcPr>
            <w:tcW w:w="1080" w:type="dxa"/>
            <w:tcBorders>
              <w:top w:val="single" w:sz="6" w:space="0" w:color="000000"/>
              <w:left w:val="single" w:sz="6" w:space="0" w:color="000000"/>
              <w:bottom w:val="single" w:sz="6" w:space="0" w:color="000000"/>
              <w:right w:val="single" w:sz="6" w:space="0" w:color="000000"/>
            </w:tcBorders>
          </w:tcPr>
          <w:p>
            <w:pPr/>
          </w:p>
        </w:tc>
        <w:tc>
          <w:tcPr>
            <w:tcW w:w="590"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5,950,330.89</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5" w:hRule="exact"/>
        </w:trPr>
        <w:tc>
          <w:tcPr>
            <w:tcW w:w="127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12,659,418.89</w:t>
            </w:r>
          </w:p>
        </w:tc>
        <w:tc>
          <w:tcPr>
            <w:tcW w:w="566" w:type="dxa"/>
            <w:tcBorders>
              <w:top w:val="single" w:sz="6" w:space="0" w:color="000000"/>
              <w:left w:val="single" w:sz="6" w:space="0" w:color="000000"/>
              <w:bottom w:val="single" w:sz="12" w:space="0" w:color="000000"/>
              <w:right w:val="single" w:sz="6" w:space="0" w:color="000000"/>
            </w:tcBorders>
          </w:tcPr>
          <w:p>
            <w:pPr/>
          </w:p>
        </w:tc>
        <w:tc>
          <w:tcPr>
            <w:tcW w:w="1271" w:type="dxa"/>
            <w:tcBorders>
              <w:top w:val="single" w:sz="6" w:space="0" w:color="000000"/>
              <w:left w:val="single" w:sz="6" w:space="0" w:color="000000"/>
              <w:bottom w:val="single" w:sz="12" w:space="0" w:color="000000"/>
              <w:right w:val="single" w:sz="6" w:space="0" w:color="000000"/>
            </w:tcBorders>
          </w:tcPr>
          <w:p>
            <w:pPr/>
          </w:p>
        </w:tc>
        <w:tc>
          <w:tcPr>
            <w:tcW w:w="11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5,470,092.27</w:t>
            </w:r>
          </w:p>
        </w:tc>
        <w:tc>
          <w:tcPr>
            <w:tcW w:w="1080" w:type="dxa"/>
            <w:tcBorders>
              <w:top w:val="single" w:sz="6" w:space="0" w:color="000000"/>
              <w:left w:val="single" w:sz="6" w:space="0" w:color="000000"/>
              <w:bottom w:val="single" w:sz="12" w:space="0" w:color="000000"/>
              <w:right w:val="single" w:sz="6" w:space="0" w:color="000000"/>
            </w:tcBorders>
          </w:tcPr>
          <w:p>
            <w:pPr/>
          </w:p>
        </w:tc>
        <w:tc>
          <w:tcPr>
            <w:tcW w:w="590" w:type="dxa"/>
            <w:tcBorders>
              <w:top w:val="single" w:sz="6" w:space="0" w:color="000000"/>
              <w:left w:val="single" w:sz="6" w:space="0" w:color="000000"/>
              <w:bottom w:val="single" w:sz="12" w:space="0" w:color="000000"/>
              <w:right w:val="single" w:sz="6" w:space="0" w:color="000000"/>
            </w:tcBorders>
          </w:tcPr>
          <w:p>
            <w:pPr/>
          </w:p>
        </w:tc>
        <w:tc>
          <w:tcPr>
            <w:tcW w:w="1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7,189,326.62</w:t>
            </w:r>
          </w:p>
        </w:tc>
        <w:tc>
          <w:tcPr>
            <w:tcW w:w="1063"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1122"/>
        <w:jc w:val="left"/>
        <w:rPr>
          <w:b w:val="0"/>
          <w:bCs w:val="0"/>
        </w:rPr>
      </w:pPr>
      <w:bookmarkStart w:name="42、 其他非流动负债" w:id="335"/>
      <w:bookmarkEnd w:id="335"/>
      <w:r>
        <w:rPr>
          <w:b w:val="0"/>
          <w:bCs w:val="0"/>
        </w:rPr>
      </w:r>
      <w:r>
        <w:rPr>
          <w:rFonts w:ascii="宋体" w:hAnsi="宋体" w:cs="宋体" w:eastAsia="宋体" w:hint="default"/>
        </w:rPr>
        <w:t>42</w:t>
      </w:r>
      <w:r>
        <w:rPr/>
        <w:t>、其他非流动负债</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4、股本" w:id="336"/>
      <w:bookmarkEnd w:id="336"/>
      <w:r>
        <w:rPr>
          <w:rFonts w:ascii="宋体" w:hAnsi="宋体" w:cs="宋体" w:eastAsia="宋体" w:hint="default"/>
          <w:sz w:val="21"/>
          <w:szCs w:val="21"/>
        </w:rPr>
      </w:r>
      <w:r>
        <w:rPr>
          <w:rFonts w:ascii="宋体" w:hAnsi="宋体" w:cs="宋体" w:eastAsia="宋体" w:hint="default"/>
          <w:b/>
          <w:bCs/>
          <w:sz w:val="21"/>
          <w:szCs w:val="21"/>
        </w:rPr>
        <w:t>44</w:t>
      </w:r>
      <w:r>
        <w:rPr>
          <w:rFonts w:ascii="宋体" w:hAnsi="宋体" w:cs="宋体" w:eastAsia="宋体" w:hint="default"/>
          <w:b/>
          <w:bCs/>
          <w:sz w:val="21"/>
          <w:szCs w:val="21"/>
        </w:rPr>
        <w:t>、股本</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190"/>
        <w:gridCol w:w="1383"/>
        <w:gridCol w:w="1010"/>
        <w:gridCol w:w="867"/>
        <w:gridCol w:w="1026"/>
        <w:gridCol w:w="1320"/>
        <w:gridCol w:w="1341"/>
        <w:gridCol w:w="1426"/>
      </w:tblGrid>
      <w:tr>
        <w:trPr>
          <w:trHeight w:val="215" w:hRule="exact"/>
        </w:trPr>
        <w:tc>
          <w:tcPr>
            <w:tcW w:w="1190"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383" w:type="dxa"/>
            <w:tcBorders>
              <w:top w:val="single" w:sz="12" w:space="0" w:color="000000"/>
              <w:left w:val="single" w:sz="4" w:space="0" w:color="000000"/>
              <w:bottom w:val="nil" w:sz="6" w:space="0" w:color="auto"/>
              <w:right w:val="single" w:sz="4" w:space="0" w:color="000000"/>
            </w:tcBorders>
            <w:shd w:val="clear" w:color="auto" w:fill="D2D2D2"/>
          </w:tcPr>
          <w:p>
            <w:pPr/>
          </w:p>
        </w:tc>
        <w:tc>
          <w:tcPr>
            <w:tcW w:w="5564" w:type="dxa"/>
            <w:gridSpan w:val="5"/>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182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6"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96" w:hRule="exact"/>
        </w:trPr>
        <w:tc>
          <w:tcPr>
            <w:tcW w:w="1190" w:type="dxa"/>
            <w:vMerge w:val="restart"/>
            <w:tcBorders>
              <w:top w:val="nil" w:sz="6" w:space="0" w:color="auto"/>
              <w:left w:val="single" w:sz="12" w:space="0" w:color="000000"/>
              <w:right w:val="single" w:sz="4" w:space="0" w:color="000000"/>
            </w:tcBorders>
            <w:shd w:val="clear" w:color="auto" w:fill="D2D2D2"/>
          </w:tcPr>
          <w:p>
            <w:pPr/>
          </w:p>
        </w:tc>
        <w:tc>
          <w:tcPr>
            <w:tcW w:w="13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64" w:type="dxa"/>
            <w:gridSpan w:val="5"/>
            <w:vMerge/>
            <w:tcBorders>
              <w:left w:val="single" w:sz="4" w:space="0" w:color="000000"/>
              <w:bottom w:val="single" w:sz="4" w:space="0" w:color="000000"/>
              <w:right w:val="single" w:sz="4" w:space="0" w:color="000000"/>
            </w:tcBorders>
            <w:shd w:val="clear" w:color="auto" w:fill="D2D2D2"/>
          </w:tcPr>
          <w:p>
            <w:pPr/>
          </w:p>
        </w:tc>
        <w:tc>
          <w:tcPr>
            <w:tcW w:w="1426"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90" w:type="dxa"/>
            <w:vMerge/>
            <w:tcBorders>
              <w:left w:val="single" w:sz="12" w:space="0" w:color="000000"/>
              <w:bottom w:val="nil" w:sz="6" w:space="0" w:color="auto"/>
              <w:right w:val="single" w:sz="4" w:space="0" w:color="000000"/>
            </w:tcBorders>
            <w:shd w:val="clear" w:color="auto" w:fill="D2D2D2"/>
          </w:tcPr>
          <w:p>
            <w:pPr/>
          </w:p>
        </w:tc>
        <w:tc>
          <w:tcPr>
            <w:tcW w:w="1383" w:type="dxa"/>
            <w:vMerge/>
            <w:tcBorders>
              <w:left w:val="single" w:sz="4" w:space="0" w:color="000000"/>
              <w:bottom w:val="nil" w:sz="6" w:space="0" w:color="auto"/>
              <w:right w:val="single" w:sz="4" w:space="0" w:color="000000"/>
            </w:tcBorders>
            <w:shd w:val="clear" w:color="auto" w:fill="D2D2D2"/>
          </w:tcPr>
          <w:p>
            <w:pP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3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26" w:type="dxa"/>
            <w:vMerge/>
            <w:tcBorders>
              <w:left w:val="single" w:sz="4" w:space="0" w:color="000000"/>
              <w:bottom w:val="nil" w:sz="6" w:space="0" w:color="auto"/>
              <w:right w:val="single" w:sz="12" w:space="0" w:color="000000"/>
            </w:tcBorders>
            <w:shd w:val="clear" w:color="auto" w:fill="D2D2D2"/>
          </w:tcPr>
          <w:p>
            <w:pPr/>
          </w:p>
        </w:tc>
      </w:tr>
      <w:tr>
        <w:trPr>
          <w:trHeight w:val="206" w:hRule="exact"/>
        </w:trPr>
        <w:tc>
          <w:tcPr>
            <w:tcW w:w="1190" w:type="dxa"/>
            <w:tcBorders>
              <w:top w:val="nil" w:sz="6" w:space="0" w:color="auto"/>
              <w:left w:val="single" w:sz="12" w:space="0" w:color="000000"/>
              <w:bottom w:val="single" w:sz="4" w:space="0" w:color="000000"/>
              <w:right w:val="single" w:sz="4" w:space="0" w:color="000000"/>
            </w:tcBorders>
            <w:shd w:val="clear" w:color="auto" w:fill="D2D2D2"/>
          </w:tcPr>
          <w:p>
            <w:pPr/>
          </w:p>
        </w:tc>
        <w:tc>
          <w:tcPr>
            <w:tcW w:w="1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867" w:type="dxa"/>
            <w:vMerge/>
            <w:tcBorders>
              <w:left w:val="single" w:sz="4" w:space="0" w:color="000000"/>
              <w:bottom w:val="single" w:sz="4" w:space="0" w:color="000000"/>
              <w:right w:val="single" w:sz="4" w:space="0" w:color="000000"/>
            </w:tcBorders>
            <w:shd w:val="clear" w:color="auto" w:fill="D2D2D2"/>
          </w:tcPr>
          <w:p>
            <w:pPr/>
          </w:p>
        </w:tc>
        <w:tc>
          <w:tcPr>
            <w:tcW w:w="1026" w:type="dxa"/>
            <w:vMerge/>
            <w:tcBorders>
              <w:left w:val="single" w:sz="4" w:space="0" w:color="000000"/>
              <w:bottom w:val="single" w:sz="4" w:space="0" w:color="000000"/>
              <w:right w:val="single" w:sz="4" w:space="0" w:color="000000"/>
            </w:tcBorders>
            <w:shd w:val="clear" w:color="auto" w:fill="D2D2D2"/>
          </w:tcPr>
          <w:p>
            <w:pPr/>
          </w:p>
        </w:tc>
        <w:tc>
          <w:tcPr>
            <w:tcW w:w="1320" w:type="dxa"/>
            <w:vMerge/>
            <w:tcBorders>
              <w:left w:val="single" w:sz="4" w:space="0" w:color="000000"/>
              <w:bottom w:val="single" w:sz="4" w:space="0" w:color="000000"/>
              <w:right w:val="single" w:sz="4" w:space="0" w:color="000000"/>
            </w:tcBorders>
            <w:shd w:val="clear" w:color="auto" w:fill="D2D2D2"/>
          </w:tcPr>
          <w:p>
            <w:pPr/>
          </w:p>
        </w:tc>
        <w:tc>
          <w:tcPr>
            <w:tcW w:w="1341" w:type="dxa"/>
            <w:vMerge/>
            <w:tcBorders>
              <w:left w:val="single" w:sz="4" w:space="0" w:color="000000"/>
              <w:bottom w:val="single" w:sz="4" w:space="0" w:color="000000"/>
              <w:right w:val="single" w:sz="4" w:space="0" w:color="000000"/>
            </w:tcBorders>
            <w:shd w:val="clear" w:color="auto" w:fill="D2D2D2"/>
          </w:tcPr>
          <w:p>
            <w:pPr/>
          </w:p>
        </w:tc>
        <w:tc>
          <w:tcPr>
            <w:tcW w:w="1426"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12" w:hRule="exact"/>
        </w:trPr>
        <w:tc>
          <w:tcPr>
            <w:tcW w:w="119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83"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sz w:val="18"/>
              </w:rPr>
              <w:t>414,849,620.00</w:t>
            </w:r>
          </w:p>
        </w:tc>
        <w:tc>
          <w:tcPr>
            <w:tcW w:w="1010" w:type="dxa"/>
            <w:tcBorders>
              <w:top w:val="single" w:sz="4" w:space="0" w:color="000000"/>
              <w:left w:val="single" w:sz="4" w:space="0" w:color="000000"/>
              <w:bottom w:val="single" w:sz="12" w:space="0" w:color="000000"/>
              <w:right w:val="single" w:sz="4" w:space="0" w:color="000000"/>
            </w:tcBorders>
          </w:tcPr>
          <w:p>
            <w:pPr/>
          </w:p>
        </w:tc>
        <w:tc>
          <w:tcPr>
            <w:tcW w:w="867" w:type="dxa"/>
            <w:tcBorders>
              <w:top w:val="single" w:sz="4" w:space="0" w:color="000000"/>
              <w:left w:val="single" w:sz="4" w:space="0" w:color="000000"/>
              <w:bottom w:val="single" w:sz="12" w:space="0" w:color="000000"/>
              <w:right w:val="single" w:sz="4" w:space="0" w:color="000000"/>
            </w:tcBorders>
          </w:tcPr>
          <w:p>
            <w:pPr/>
          </w:p>
        </w:tc>
        <w:tc>
          <w:tcPr>
            <w:tcW w:w="1026" w:type="dxa"/>
            <w:tcBorders>
              <w:top w:val="single" w:sz="4" w:space="0" w:color="000000"/>
              <w:left w:val="single" w:sz="4" w:space="0" w:color="000000"/>
              <w:bottom w:val="single" w:sz="12" w:space="0" w:color="000000"/>
              <w:right w:val="single" w:sz="4" w:space="0" w:color="000000"/>
            </w:tcBorders>
          </w:tcPr>
          <w:p>
            <w:pP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16" w:right="0"/>
              <w:jc w:val="left"/>
              <w:rPr>
                <w:rFonts w:ascii="宋体" w:hAnsi="宋体" w:cs="宋体" w:eastAsia="宋体" w:hint="default"/>
                <w:sz w:val="18"/>
                <w:szCs w:val="18"/>
              </w:rPr>
            </w:pPr>
            <w:r>
              <w:rPr>
                <w:rFonts w:ascii="宋体"/>
                <w:sz w:val="18"/>
              </w:rPr>
              <w:t>-3,731,250.00</w:t>
            </w:r>
          </w:p>
        </w:tc>
        <w:tc>
          <w:tcPr>
            <w:tcW w:w="1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49" w:right="0"/>
              <w:jc w:val="left"/>
              <w:rPr>
                <w:rFonts w:ascii="宋体" w:hAnsi="宋体" w:cs="宋体" w:eastAsia="宋体" w:hint="default"/>
                <w:sz w:val="18"/>
                <w:szCs w:val="18"/>
              </w:rPr>
            </w:pPr>
            <w:r>
              <w:rPr>
                <w:rFonts w:ascii="宋体"/>
                <w:sz w:val="18"/>
              </w:rPr>
              <w:t>-3,731,250.00</w:t>
            </w:r>
          </w:p>
        </w:tc>
        <w:tc>
          <w:tcPr>
            <w:tcW w:w="14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132" w:right="0"/>
              <w:jc w:val="left"/>
              <w:rPr>
                <w:rFonts w:ascii="宋体" w:hAnsi="宋体" w:cs="宋体" w:eastAsia="宋体" w:hint="default"/>
                <w:sz w:val="18"/>
                <w:szCs w:val="18"/>
              </w:rPr>
            </w:pPr>
            <w:r>
              <w:rPr>
                <w:rFonts w:ascii="宋体"/>
                <w:sz w:val="18"/>
              </w:rPr>
              <w:t>411,118,370.00</w:t>
            </w:r>
          </w:p>
        </w:tc>
      </w:tr>
    </w:tbl>
    <w:p>
      <w:pPr>
        <w:pStyle w:val="BodyText"/>
        <w:spacing w:line="240" w:lineRule="auto" w:before="63"/>
        <w:ind w:right="1122"/>
        <w:jc w:val="left"/>
      </w:pPr>
      <w:r>
        <w:rPr/>
        <w:t>其他说明：</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0" w:firstLine="420"/>
        <w:jc w:val="left"/>
      </w:pPr>
      <w:r>
        <w:rPr/>
        <w:t>根据公司</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日召开第三届董事会第二十次会议审议通过的《关于回购注销部分限制性股票 </w:t>
      </w:r>
      <w:r>
        <w:rPr>
          <w:spacing w:val="-3"/>
        </w:rPr>
        <w:t>的议案》，针对第二个解锁期业绩考核未达标以及因部分员工离职需回购限制性股票共计</w:t>
      </w:r>
      <w:r>
        <w:rPr>
          <w:rFonts w:ascii="宋体" w:hAnsi="宋体" w:cs="宋体" w:eastAsia="宋体" w:hint="default"/>
          <w:spacing w:val="-3"/>
        </w:rPr>
        <w:t>3,731,250.00</w:t>
      </w:r>
      <w:r>
        <w:rPr>
          <w:spacing w:val="-3"/>
        </w:rPr>
        <w:t>股，</w:t>
      </w:r>
      <w:r>
        <w:rPr>
          <w:spacing w:val="-73"/>
        </w:rPr>
        <w:t> </w:t>
      </w:r>
      <w:r>
        <w:rPr/>
        <w:t>并于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30</w:t>
      </w:r>
      <w:r>
        <w:rPr/>
        <w:t>日中登公司完成了注销登记手续，并经众华会计师事务所（特殊普通合伙）审验，并出 具了众会字</w:t>
      </w:r>
      <w:r>
        <w:rPr>
          <w:rFonts w:ascii="宋体" w:hAnsi="宋体" w:cs="宋体" w:eastAsia="宋体" w:hint="default"/>
        </w:rPr>
        <w:t>(2018)</w:t>
      </w:r>
      <w:r>
        <w:rPr/>
        <w:t>第 </w:t>
      </w:r>
      <w:r>
        <w:rPr>
          <w:rFonts w:ascii="宋体" w:hAnsi="宋体" w:cs="宋体" w:eastAsia="宋体" w:hint="default"/>
        </w:rPr>
        <w:t>6158</w:t>
      </w:r>
      <w:r>
        <w:rPr>
          <w:rFonts w:ascii="宋体" w:hAnsi="宋体" w:cs="宋体" w:eastAsia="宋体" w:hint="default"/>
          <w:spacing w:val="-3"/>
        </w:rPr>
        <w:t> </w:t>
      </w:r>
      <w:r>
        <w:rPr/>
        <w:t>号验资报告。</w:t>
      </w:r>
    </w:p>
    <w:p>
      <w:pPr>
        <w:pStyle w:val="Heading4"/>
        <w:spacing w:line="240" w:lineRule="auto" w:before="46"/>
        <w:ind w:right="1122"/>
        <w:jc w:val="left"/>
        <w:rPr>
          <w:b w:val="0"/>
          <w:bCs w:val="0"/>
        </w:rPr>
      </w:pPr>
      <w:bookmarkStart w:name="45、其他权益工具" w:id="337"/>
      <w:bookmarkEnd w:id="337"/>
      <w:r>
        <w:rPr>
          <w:b w:val="0"/>
          <w:bCs w:val="0"/>
        </w:rPr>
      </w:r>
      <w:r>
        <w:rPr>
          <w:rFonts w:ascii="宋体" w:hAnsi="宋体" w:cs="宋体" w:eastAsia="宋体" w:hint="default"/>
        </w:rPr>
        <w:t>45</w:t>
      </w:r>
      <w:r>
        <w:rPr/>
        <w:t>、其他权益工具</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6、资本公积" w:id="338"/>
      <w:bookmarkEnd w:id="338"/>
      <w:r>
        <w:rPr>
          <w:rFonts w:ascii="宋体" w:hAnsi="宋体" w:cs="宋体" w:eastAsia="宋体" w:hint="default"/>
          <w:sz w:val="21"/>
          <w:szCs w:val="21"/>
        </w:rPr>
      </w:r>
      <w:r>
        <w:rPr>
          <w:rFonts w:ascii="宋体" w:hAnsi="宋体" w:cs="宋体" w:eastAsia="宋体" w:hint="default"/>
          <w:b/>
          <w:bCs/>
          <w:sz w:val="21"/>
          <w:szCs w:val="21"/>
        </w:rPr>
        <w:t>46</w:t>
      </w:r>
      <w:r>
        <w:rPr>
          <w:rFonts w:ascii="宋体" w:hAnsi="宋体" w:cs="宋体" w:eastAsia="宋体" w:hint="default"/>
          <w:b/>
          <w:bCs/>
          <w:sz w:val="21"/>
          <w:szCs w:val="21"/>
        </w:rPr>
        <w:t>、资本公积</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895"/>
        <w:gridCol w:w="1928"/>
        <w:gridCol w:w="1914"/>
        <w:gridCol w:w="1914"/>
        <w:gridCol w:w="1913"/>
      </w:tblGrid>
      <w:tr>
        <w:trPr>
          <w:trHeight w:val="411" w:hRule="exact"/>
        </w:trPr>
        <w:tc>
          <w:tcPr>
            <w:tcW w:w="189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739,867,017.62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25,342,650.00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714,524,367.62</w:t>
            </w:r>
          </w:p>
        </w:tc>
      </w:tr>
      <w:tr>
        <w:trPr>
          <w:trHeight w:val="402" w:hRule="exact"/>
        </w:trPr>
        <w:tc>
          <w:tcPr>
            <w:tcW w:w="18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29,332,135.91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4,570,713.83</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24,761,422.08</w:t>
            </w:r>
          </w:p>
        </w:tc>
      </w:tr>
      <w:tr>
        <w:trPr>
          <w:trHeight w:val="412" w:hRule="exact"/>
        </w:trPr>
        <w:tc>
          <w:tcPr>
            <w:tcW w:w="18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769,199,153.53</w:t>
            </w:r>
          </w:p>
        </w:tc>
        <w:tc>
          <w:tcPr>
            <w:tcW w:w="1914" w:type="dxa"/>
            <w:tcBorders>
              <w:top w:val="single" w:sz="4" w:space="0" w:color="000000"/>
              <w:left w:val="single" w:sz="4" w:space="0" w:color="000000"/>
              <w:bottom w:val="single" w:sz="12" w:space="0" w:color="000000"/>
              <w:right w:val="single" w:sz="4" w:space="0" w:color="000000"/>
            </w:tcBorders>
          </w:tcPr>
          <w:p>
            <w:pP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29,913,363.83</w:t>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739,285,789.70</w:t>
            </w:r>
          </w:p>
        </w:tc>
      </w:tr>
    </w:tbl>
    <w:p>
      <w:pPr>
        <w:pStyle w:val="BodyText"/>
        <w:spacing w:line="408" w:lineRule="auto" w:before="63"/>
        <w:ind w:left="574" w:right="1197" w:hanging="420"/>
        <w:jc w:val="left"/>
      </w:pPr>
      <w:r>
        <w:rPr/>
        <w:t>其他说明，包括本期增减变动情况、变动原因说明： </w:t>
      </w:r>
      <w:r>
        <w:rPr>
          <w:rFonts w:ascii="宋体" w:hAnsi="宋体" w:cs="宋体" w:eastAsia="宋体" w:hint="default"/>
        </w:rPr>
        <w:t>(1)</w:t>
      </w:r>
      <w:r>
        <w:rPr/>
        <w:t>因第二个解锁期业绩考核未达标以及部分激励对象离职，回购限制性股票</w:t>
      </w:r>
      <w:r>
        <w:rPr>
          <w:rFonts w:ascii="宋体" w:hAnsi="宋体" w:cs="宋体" w:eastAsia="宋体" w:hint="default"/>
        </w:rPr>
        <w:t>3,731,250.00</w:t>
      </w:r>
      <w:r>
        <w:rPr/>
        <w:t>股，回购</w:t>
      </w:r>
    </w:p>
    <w:p>
      <w:pPr>
        <w:pStyle w:val="BodyText"/>
        <w:spacing w:line="408" w:lineRule="auto"/>
        <w:ind w:left="574" w:right="1197" w:hanging="420"/>
        <w:jc w:val="left"/>
      </w:pPr>
      <w:r>
        <w:rPr/>
        <w:t>价格为</w:t>
      </w:r>
      <w:r>
        <w:rPr>
          <w:rFonts w:ascii="宋体" w:hAnsi="宋体" w:cs="宋体" w:eastAsia="宋体" w:hint="default"/>
        </w:rPr>
        <w:t>7.78</w:t>
      </w:r>
      <w:r>
        <w:rPr/>
        <w:t>元，加上回购限制性股票已获得的现金股利后，减少股本溢价</w:t>
      </w:r>
      <w:r>
        <w:rPr>
          <w:rFonts w:ascii="宋体" w:hAnsi="宋体" w:cs="宋体" w:eastAsia="宋体" w:hint="default"/>
        </w:rPr>
        <w:t>25,342,650.00</w:t>
      </w:r>
      <w:r>
        <w:rPr/>
        <w:t>元； </w:t>
      </w:r>
      <w:r>
        <w:rPr>
          <w:rFonts w:ascii="宋体" w:hAnsi="宋体" w:cs="宋体" w:eastAsia="宋体" w:hint="default"/>
        </w:rPr>
        <w:t>(2)</w:t>
      </w:r>
      <w:r>
        <w:rPr/>
        <w:t>因</w:t>
      </w:r>
      <w:r>
        <w:rPr>
          <w:rFonts w:ascii="宋体" w:hAnsi="宋体" w:cs="宋体" w:eastAsia="宋体" w:hint="default"/>
        </w:rPr>
        <w:t>2018</w:t>
      </w:r>
      <w:r>
        <w:rPr/>
        <w:t>年第三个解锁期间限制性股票解锁条件未成就，扣除少数股东承担的部分后，减少其他资</w:t>
      </w:r>
    </w:p>
    <w:p>
      <w:pPr>
        <w:pStyle w:val="BodyText"/>
        <w:spacing w:line="240" w:lineRule="auto"/>
        <w:ind w:right="1122"/>
        <w:jc w:val="left"/>
      </w:pPr>
      <w:r>
        <w:rPr/>
        <w:t>本公积</w:t>
      </w:r>
      <w:r>
        <w:rPr>
          <w:rFonts w:ascii="宋体" w:hAnsi="宋体" w:cs="宋体" w:eastAsia="宋体" w:hint="default"/>
        </w:rPr>
        <w:t>3,562,808.70</w:t>
      </w:r>
      <w:r>
        <w:rPr/>
        <w:t>元。</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rFonts w:ascii="宋体" w:hAnsi="宋体" w:cs="宋体" w:eastAsia="宋体" w:hint="default"/>
          <w:spacing w:val="-1"/>
        </w:rPr>
        <w:t>(3)</w:t>
      </w:r>
      <w:r>
        <w:rPr>
          <w:spacing w:val="-1"/>
        </w:rPr>
        <w:t>本公司联营企业中云文化大数据科技有限公司子公司溢价从其他股东受让股份，减少了股东权益，</w:t>
      </w:r>
      <w:r>
        <w:rPr/>
        <w:t> 根据公司持股比例减少享有份额的金额为</w:t>
      </w:r>
      <w:r>
        <w:rPr>
          <w:rFonts w:ascii="宋体" w:hAnsi="宋体" w:cs="宋体" w:eastAsia="宋体" w:hint="default"/>
        </w:rPr>
        <w:t>1,007,905.13</w:t>
      </w:r>
      <w:r>
        <w:rPr/>
        <w:t>元，减少其他资本公积。</w:t>
      </w:r>
    </w:p>
    <w:p>
      <w:pPr>
        <w:pStyle w:val="Heading4"/>
        <w:spacing w:line="240" w:lineRule="auto" w:before="46"/>
        <w:ind w:right="1122"/>
        <w:jc w:val="left"/>
        <w:rPr>
          <w:b w:val="0"/>
          <w:bCs w:val="0"/>
        </w:rPr>
      </w:pPr>
      <w:bookmarkStart w:name="47、库存股" w:id="339"/>
      <w:bookmarkEnd w:id="339"/>
      <w:r>
        <w:rPr>
          <w:b w:val="0"/>
          <w:bCs w:val="0"/>
        </w:rPr>
      </w:r>
      <w:r>
        <w:rPr>
          <w:rFonts w:ascii="宋体" w:hAnsi="宋体" w:cs="宋体" w:eastAsia="宋体" w:hint="default"/>
        </w:rPr>
        <w:t>47</w:t>
      </w:r>
      <w:r>
        <w:rPr/>
        <w:t>、库存股</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412" w:hRule="exact"/>
        </w:trPr>
        <w:tc>
          <w:tcPr>
            <w:tcW w:w="19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54,115,440.00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29,073,900.00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25,041,540.00</w:t>
            </w:r>
          </w:p>
        </w:tc>
      </w:tr>
      <w:tr>
        <w:trPr>
          <w:trHeight w:val="412" w:hRule="exact"/>
        </w:trPr>
        <w:tc>
          <w:tcPr>
            <w:tcW w:w="19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54,115,440.00</w:t>
            </w:r>
          </w:p>
        </w:tc>
        <w:tc>
          <w:tcPr>
            <w:tcW w:w="1914" w:type="dxa"/>
            <w:tcBorders>
              <w:top w:val="single" w:sz="4" w:space="0" w:color="000000"/>
              <w:left w:val="single" w:sz="4" w:space="0" w:color="000000"/>
              <w:bottom w:val="single" w:sz="12" w:space="0" w:color="000000"/>
              <w:right w:val="single" w:sz="4" w:space="0" w:color="000000"/>
            </w:tcBorders>
          </w:tcPr>
          <w:p>
            <w:pP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29,073,900.00</w:t>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25,041,540.00</w:t>
            </w:r>
          </w:p>
        </w:tc>
      </w:tr>
    </w:tbl>
    <w:p>
      <w:pPr>
        <w:pStyle w:val="BodyText"/>
        <w:spacing w:line="408" w:lineRule="auto" w:before="63"/>
        <w:ind w:left="574" w:right="1722" w:hanging="420"/>
        <w:jc w:val="left"/>
      </w:pPr>
      <w:r>
        <w:rPr/>
        <w:t>其他说明，包括本期增减变动情况、变动原因说明： 因报告期内实施了限制性股票回购，因此相应地减少</w:t>
      </w:r>
      <w:r>
        <w:rPr>
          <w:rFonts w:ascii="宋体" w:hAnsi="宋体" w:cs="宋体" w:eastAsia="宋体" w:hint="default"/>
        </w:rPr>
        <w:t>3,731,250.00</w:t>
      </w:r>
      <w:r>
        <w:rPr/>
        <w:t>股限制性股票的回购义务。</w:t>
      </w:r>
    </w:p>
    <w:p>
      <w:pPr>
        <w:pStyle w:val="Heading4"/>
        <w:spacing w:line="240" w:lineRule="auto" w:before="46"/>
        <w:ind w:right="1122"/>
        <w:jc w:val="left"/>
        <w:rPr>
          <w:b w:val="0"/>
          <w:bCs w:val="0"/>
        </w:rPr>
      </w:pPr>
      <w:bookmarkStart w:name="48、 其他综合收益" w:id="340"/>
      <w:bookmarkEnd w:id="340"/>
      <w:r>
        <w:rPr>
          <w:b w:val="0"/>
          <w:bCs w:val="0"/>
        </w:rPr>
      </w:r>
      <w:r>
        <w:rPr>
          <w:rFonts w:ascii="宋体" w:hAnsi="宋体" w:cs="宋体" w:eastAsia="宋体" w:hint="default"/>
        </w:rPr>
        <w:t>48</w:t>
      </w:r>
      <w:r>
        <w:rPr/>
        <w:t>、其他综合收益</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9、专项储备" w:id="341"/>
      <w:bookmarkEnd w:id="341"/>
      <w:r>
        <w:rPr>
          <w:rFonts w:ascii="宋体" w:hAnsi="宋体" w:cs="宋体" w:eastAsia="宋体" w:hint="default"/>
          <w:sz w:val="21"/>
          <w:szCs w:val="21"/>
        </w:rPr>
      </w:r>
      <w:r>
        <w:rPr>
          <w:rFonts w:ascii="宋体" w:hAnsi="宋体" w:cs="宋体" w:eastAsia="宋体" w:hint="default"/>
          <w:b/>
          <w:bCs/>
          <w:sz w:val="21"/>
          <w:szCs w:val="21"/>
        </w:rPr>
        <w:t>49</w:t>
      </w:r>
      <w:r>
        <w:rPr>
          <w:rFonts w:ascii="宋体" w:hAnsi="宋体" w:cs="宋体" w:eastAsia="宋体" w:hint="default"/>
          <w:b/>
          <w:bCs/>
          <w:sz w:val="21"/>
          <w:szCs w:val="21"/>
        </w:rPr>
        <w:t>、专项储备</w:t>
      </w:r>
      <w:r>
        <w:rPr>
          <w:rFonts w:ascii="宋体" w:hAnsi="宋体" w:cs="宋体" w:eastAsia="宋体" w:hint="default"/>
          <w:sz w:val="21"/>
          <w:szCs w:val="21"/>
        </w:rPr>
      </w:r>
    </w:p>
    <w:p>
      <w:pPr>
        <w:pStyle w:val="BodyText"/>
        <w:spacing w:line="240" w:lineRule="auto"/>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50、盈余公积" w:id="342"/>
      <w:bookmarkEnd w:id="342"/>
      <w:r>
        <w:rPr>
          <w:b w:val="0"/>
          <w:bCs w:val="0"/>
        </w:rPr>
      </w:r>
      <w:r>
        <w:rPr>
          <w:rFonts w:ascii="宋体" w:hAnsi="宋体" w:cs="宋体" w:eastAsia="宋体" w:hint="default"/>
        </w:rPr>
        <w:t>50</w:t>
      </w:r>
      <w:r>
        <w:rPr/>
        <w:t>、盈余公积</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895"/>
        <w:gridCol w:w="1928"/>
        <w:gridCol w:w="1914"/>
        <w:gridCol w:w="1914"/>
        <w:gridCol w:w="1913"/>
      </w:tblGrid>
      <w:tr>
        <w:trPr>
          <w:trHeight w:val="412" w:hRule="exact"/>
        </w:trPr>
        <w:tc>
          <w:tcPr>
            <w:tcW w:w="189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21,281,039.35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21,281,039.35</w:t>
            </w:r>
          </w:p>
        </w:tc>
      </w:tr>
      <w:tr>
        <w:trPr>
          <w:trHeight w:val="412" w:hRule="exact"/>
        </w:trPr>
        <w:tc>
          <w:tcPr>
            <w:tcW w:w="18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21,281,039.35</w:t>
            </w:r>
          </w:p>
        </w:tc>
        <w:tc>
          <w:tcPr>
            <w:tcW w:w="1914" w:type="dxa"/>
            <w:tcBorders>
              <w:top w:val="single" w:sz="4" w:space="0" w:color="000000"/>
              <w:left w:val="single" w:sz="4" w:space="0" w:color="000000"/>
              <w:bottom w:val="single" w:sz="12" w:space="0" w:color="000000"/>
              <w:right w:val="single" w:sz="4" w:space="0" w:color="000000"/>
            </w:tcBorders>
          </w:tcPr>
          <w:p>
            <w:pPr/>
          </w:p>
        </w:tc>
        <w:tc>
          <w:tcPr>
            <w:tcW w:w="1914" w:type="dxa"/>
            <w:tcBorders>
              <w:top w:val="single" w:sz="4" w:space="0" w:color="000000"/>
              <w:left w:val="single" w:sz="4" w:space="0" w:color="000000"/>
              <w:bottom w:val="single" w:sz="12" w:space="0" w:color="000000"/>
              <w:right w:val="single" w:sz="4" w:space="0" w:color="000000"/>
            </w:tcBorders>
          </w:tcPr>
          <w:p>
            <w:pP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21,281,039.35</w:t>
            </w:r>
          </w:p>
        </w:tc>
      </w:tr>
    </w:tbl>
    <w:p>
      <w:pPr>
        <w:pStyle w:val="BodyText"/>
        <w:spacing w:line="408" w:lineRule="auto" w:before="63"/>
        <w:ind w:right="3192"/>
        <w:jc w:val="left"/>
        <w:rPr>
          <w:rFonts w:ascii="宋体" w:hAnsi="宋体" w:cs="宋体" w:eastAsia="宋体" w:hint="default"/>
        </w:rPr>
      </w:pPr>
      <w:r>
        <w:rPr/>
        <w:t>盈余公积说明，包括本期增减变动情况、变动原因说明：本期拟不计提盈余公积。 </w:t>
      </w:r>
      <w:bookmarkStart w:name="51、未分配利润" w:id="343"/>
      <w:bookmarkEnd w:id="343"/>
      <w:r>
        <w:rPr/>
      </w:r>
      <w:r>
        <w:rPr>
          <w:rFonts w:ascii="宋体" w:hAnsi="宋体" w:cs="宋体" w:eastAsia="宋体" w:hint="default"/>
          <w:b/>
          <w:bCs/>
        </w:rPr>
        <w:t>51</w:t>
      </w:r>
      <w:r>
        <w:rPr>
          <w:rFonts w:ascii="宋体" w:hAnsi="宋体" w:cs="宋体" w:eastAsia="宋体" w:hint="default"/>
          <w:b/>
          <w:bCs/>
        </w:rPr>
        <w:t>、未分配利润</w:t>
      </w:r>
      <w:r>
        <w:rPr>
          <w:rFonts w:ascii="宋体" w:hAnsi="宋体" w:cs="宋体" w:eastAsia="宋体" w:hint="default"/>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709"/>
        <w:gridCol w:w="2935"/>
        <w:gridCol w:w="2918"/>
      </w:tblGrid>
      <w:tr>
        <w:trPr>
          <w:trHeight w:val="414" w:hRule="exact"/>
        </w:trPr>
        <w:tc>
          <w:tcPr>
            <w:tcW w:w="370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-116,859,807.86</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280,439,222.81</w:t>
            </w:r>
          </w:p>
        </w:tc>
      </w:tr>
      <w:tr>
        <w:trPr>
          <w:trHeight w:val="408"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-116,859,807.86</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280,439,222.81</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23,403,488.93</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-392,404,175.23</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5" w:type="dxa"/>
            <w:tcBorders>
              <w:top w:val="single" w:sz="6" w:space="0" w:color="000000"/>
              <w:left w:val="single" w:sz="8" w:space="0" w:color="D2D2D2"/>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4,894,855.44</w:t>
            </w:r>
          </w:p>
        </w:tc>
      </w:tr>
      <w:tr>
        <w:trPr>
          <w:trHeight w:val="414" w:hRule="exact"/>
        </w:trPr>
        <w:tc>
          <w:tcPr>
            <w:tcW w:w="370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5"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-93,456,318.93</w:t>
            </w:r>
          </w:p>
        </w:tc>
        <w:tc>
          <w:tcPr>
            <w:tcW w:w="29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-116,859,807.86</w:t>
            </w:r>
          </w:p>
        </w:tc>
      </w:tr>
    </w:tbl>
    <w:p>
      <w:pPr>
        <w:pStyle w:val="BodyText"/>
        <w:spacing w:line="408" w:lineRule="auto" w:before="63"/>
        <w:ind w:left="574" w:right="2142" w:hanging="420"/>
        <w:jc w:val="left"/>
      </w:pPr>
      <w:r>
        <w:rPr/>
        <w:t>调整期初未分配利润明细： </w:t>
      </w:r>
      <w:r>
        <w:rPr>
          <w:rFonts w:ascii="宋体" w:hAnsi="宋体" w:cs="宋体" w:eastAsia="宋体" w:hint="default"/>
        </w:rPr>
        <w:t>1)</w:t>
      </w:r>
      <w:r>
        <w:rPr/>
        <w:t>、由于《企业会计准则》及其相关新规定进行追溯调整，影响期初未分配利润</w:t>
      </w:r>
      <w:r>
        <w:rPr>
          <w:rFonts w:ascii="宋体" w:hAnsi="宋体" w:cs="宋体" w:eastAsia="宋体" w:hint="default"/>
        </w:rPr>
        <w:t>0.00</w:t>
      </w:r>
      <w:r>
        <w:rPr/>
        <w:t>元。</w:t>
      </w:r>
    </w:p>
    <w:p>
      <w:pPr>
        <w:pStyle w:val="BodyText"/>
        <w:spacing w:line="240" w:lineRule="auto"/>
        <w:ind w:left="574" w:right="1122"/>
        <w:jc w:val="left"/>
      </w:pPr>
      <w:r>
        <w:rPr>
          <w:rFonts w:ascii="宋体" w:hAnsi="宋体" w:cs="宋体" w:eastAsia="宋体" w:hint="default"/>
        </w:rPr>
        <w:t>2)</w:t>
      </w:r>
      <w:r>
        <w:rPr/>
        <w:t>、由于会计政策变更，影响期初未分配利润</w:t>
      </w:r>
      <w:r>
        <w:rPr>
          <w:rFonts w:ascii="宋体" w:hAnsi="宋体" w:cs="宋体" w:eastAsia="宋体" w:hint="default"/>
        </w:rPr>
        <w:t>0.00</w:t>
      </w:r>
      <w:r>
        <w:rPr/>
        <w:t>元。</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rFonts w:ascii="宋体" w:hAnsi="宋体" w:cs="宋体" w:eastAsia="宋体" w:hint="default"/>
        </w:rPr>
        <w:t>3)</w:t>
      </w:r>
      <w:r>
        <w:rPr/>
        <w:t>、由于重大会计差错更正，影响期初未分配利润</w:t>
      </w:r>
      <w:r>
        <w:rPr>
          <w:rFonts w:ascii="宋体" w:hAnsi="宋体" w:cs="宋体" w:eastAsia="宋体" w:hint="default"/>
        </w:rPr>
        <w:t>0.00</w:t>
      </w:r>
      <w:r>
        <w:rPr/>
        <w:t>元。</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rFonts w:ascii="宋体" w:hAnsi="宋体" w:cs="宋体" w:eastAsia="宋体" w:hint="default"/>
        </w:rPr>
        <w:t>4)</w:t>
      </w:r>
      <w:r>
        <w:rPr/>
        <w:t>、由于同一控制导致的合并范围变更，影响期初未分配利润</w:t>
      </w:r>
      <w:r>
        <w:rPr>
          <w:rFonts w:ascii="宋体" w:hAnsi="宋体" w:cs="宋体" w:eastAsia="宋体" w:hint="default"/>
        </w:rPr>
        <w:t>0.00</w:t>
      </w:r>
      <w:r>
        <w:rPr/>
        <w:t>元。</w:t>
      </w:r>
    </w:p>
    <w:p>
      <w:pPr>
        <w:spacing w:line="240" w:lineRule="auto" w:before="10"/>
        <w:rPr>
          <w:rFonts w:ascii="宋体" w:hAnsi="宋体" w:cs="宋体" w:eastAsia="宋体" w:hint="default"/>
          <w:sz w:val="14"/>
          <w:szCs w:val="14"/>
        </w:rPr>
      </w:pPr>
    </w:p>
    <w:p>
      <w:pPr>
        <w:pStyle w:val="BodyText"/>
        <w:spacing w:line="240" w:lineRule="auto" w:before="0"/>
        <w:ind w:left="574" w:right="1122"/>
        <w:jc w:val="left"/>
      </w:pPr>
      <w:r>
        <w:rPr>
          <w:rFonts w:ascii="宋体" w:hAnsi="宋体" w:cs="宋体" w:eastAsia="宋体" w:hint="default"/>
        </w:rPr>
        <w:t>5)</w:t>
      </w:r>
      <w:r>
        <w:rPr/>
        <w:t>、其他调整合计影响期初未分配利润</w:t>
      </w:r>
      <w:r>
        <w:rPr>
          <w:rFonts w:ascii="宋体" w:hAnsi="宋体" w:cs="宋体" w:eastAsia="宋体" w:hint="default"/>
        </w:rPr>
        <w:t>0.00</w:t>
      </w:r>
      <w:r>
        <w:rPr/>
        <w:t>元。</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52、营业收入和营业成本" w:id="344"/>
      <w:bookmarkEnd w:id="344"/>
      <w:r>
        <w:rPr>
          <w:b w:val="0"/>
          <w:bCs w:val="0"/>
        </w:rPr>
      </w:r>
      <w:r>
        <w:rPr>
          <w:rFonts w:ascii="宋体" w:hAnsi="宋体" w:cs="宋体" w:eastAsia="宋体" w:hint="default"/>
        </w:rPr>
        <w:t>52</w:t>
      </w:r>
      <w:r>
        <w:rPr/>
        <w:t>、营业收入和营业成本</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06"/>
        <w:gridCol w:w="1917"/>
        <w:gridCol w:w="1914"/>
        <w:gridCol w:w="1914"/>
        <w:gridCol w:w="1913"/>
      </w:tblGrid>
      <w:tr>
        <w:trPr>
          <w:trHeight w:val="215" w:hRule="exact"/>
        </w:trPr>
        <w:tc>
          <w:tcPr>
            <w:tcW w:w="1906"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831"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6"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12" w:space="0" w:color="000000"/>
            </w:tcBorders>
            <w:shd w:val="clear" w:color="auto" w:fill="D2D2D2"/>
          </w:tcPr>
          <w:p>
            <w:pPr/>
          </w:p>
        </w:tc>
      </w:tr>
      <w:tr>
        <w:trPr>
          <w:trHeight w:val="196" w:hRule="exact"/>
        </w:trPr>
        <w:tc>
          <w:tcPr>
            <w:tcW w:w="1906" w:type="dxa"/>
            <w:vMerge/>
            <w:tcBorders>
              <w:left w:val="single" w:sz="12"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6" w:type="dxa"/>
            <w:tcBorders>
              <w:top w:val="nil" w:sz="6" w:space="0" w:color="auto"/>
              <w:left w:val="single" w:sz="12"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12" w:space="0" w:color="000000"/>
            </w:tcBorders>
            <w:shd w:val="clear" w:color="auto" w:fill="D2D2D2"/>
          </w:tcPr>
          <w:p>
            <w:pPr/>
          </w:p>
        </w:tc>
      </w:tr>
      <w:tr>
        <w:trPr>
          <w:trHeight w:val="402" w:hRule="exact"/>
        </w:trPr>
        <w:tc>
          <w:tcPr>
            <w:tcW w:w="190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430,145,625.37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281,513,735.62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528,723,540.39</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370,505,117.93</w:t>
            </w:r>
          </w:p>
        </w:tc>
      </w:tr>
      <w:tr>
        <w:trPr>
          <w:trHeight w:val="402" w:hRule="exact"/>
        </w:trPr>
        <w:tc>
          <w:tcPr>
            <w:tcW w:w="190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5,785,787.96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4,033,372.92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11,500,668.17</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6,975,693.34</w:t>
            </w:r>
          </w:p>
        </w:tc>
      </w:tr>
      <w:tr>
        <w:trPr>
          <w:trHeight w:val="412" w:hRule="exact"/>
        </w:trPr>
        <w:tc>
          <w:tcPr>
            <w:tcW w:w="190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435,931,413.33</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285,547,108.54</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540,224,208.56</w:t>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377,480,811.27</w:t>
            </w:r>
          </w:p>
        </w:tc>
      </w:tr>
    </w:tbl>
    <w:p>
      <w:pPr>
        <w:pStyle w:val="Heading4"/>
        <w:spacing w:line="240" w:lineRule="auto" w:before="63"/>
        <w:ind w:right="1122"/>
        <w:jc w:val="left"/>
        <w:rPr>
          <w:b w:val="0"/>
          <w:bCs w:val="0"/>
        </w:rPr>
      </w:pPr>
      <w:bookmarkStart w:name="53、税金及附加" w:id="345"/>
      <w:bookmarkEnd w:id="345"/>
      <w:r>
        <w:rPr>
          <w:b w:val="0"/>
          <w:bCs w:val="0"/>
        </w:rPr>
      </w:r>
      <w:r>
        <w:rPr>
          <w:rFonts w:ascii="宋体" w:hAnsi="宋体" w:cs="宋体" w:eastAsia="宋体" w:hint="default"/>
        </w:rPr>
        <w:t>53</w:t>
      </w:r>
      <w:r>
        <w:rPr/>
        <w:t>、税金及附加</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656,448.91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1,021,216.98</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494,783.05</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850,133.59</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3,172,264.81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1,730,280.09</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1,102,570.09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1,199,591.77</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17,040.00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34,580.40</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87,561.07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432,192.67</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110,141.25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103,906.11</w:t>
            </w: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14,695.94</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5,655,505.12</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5,371,901.61</w:t>
            </w:r>
          </w:p>
        </w:tc>
      </w:tr>
    </w:tbl>
    <w:p>
      <w:pPr>
        <w:pStyle w:val="Heading4"/>
        <w:spacing w:line="240" w:lineRule="auto" w:before="63"/>
        <w:ind w:right="1122"/>
        <w:jc w:val="left"/>
        <w:rPr>
          <w:b w:val="0"/>
          <w:bCs w:val="0"/>
        </w:rPr>
      </w:pPr>
      <w:bookmarkStart w:name="54、销售费用" w:id="346"/>
      <w:bookmarkEnd w:id="346"/>
      <w:r>
        <w:rPr>
          <w:b w:val="0"/>
          <w:bCs w:val="0"/>
        </w:rPr>
      </w:r>
      <w:r>
        <w:rPr>
          <w:rFonts w:ascii="宋体" w:hAnsi="宋体" w:cs="宋体" w:eastAsia="宋体" w:hint="default"/>
        </w:rPr>
        <w:t>54</w:t>
      </w:r>
      <w:r>
        <w:rPr/>
        <w:t>、销售费用</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14,528,489.95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14,989,233.60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5,510,357.77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6,213,885.45</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咨询、中标服务费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3,198,756.58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3,486,369.72</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3,891,824.26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4,211,460.87</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4,674,498.74</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5,153,027.34</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3,003,544.60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3,303,704.91</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243,101.04</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414,770.87</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5,998,681.34</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7,799,089.28</w:t>
            </w:r>
          </w:p>
        </w:tc>
      </w:tr>
      <w:tr>
        <w:trPr>
          <w:trHeight w:val="416"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41,049,254.28</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45,571,542.04</w:t>
            </w:r>
          </w:p>
        </w:tc>
      </w:tr>
    </w:tbl>
    <w:p>
      <w:pPr>
        <w:pStyle w:val="Heading4"/>
        <w:spacing w:line="240" w:lineRule="auto" w:before="63"/>
        <w:ind w:right="1122"/>
        <w:jc w:val="left"/>
        <w:rPr>
          <w:b w:val="0"/>
          <w:bCs w:val="0"/>
        </w:rPr>
      </w:pPr>
      <w:bookmarkStart w:name="55、管理费用" w:id="347"/>
      <w:bookmarkEnd w:id="347"/>
      <w:r>
        <w:rPr>
          <w:b w:val="0"/>
          <w:bCs w:val="0"/>
        </w:rPr>
      </w:r>
      <w:r>
        <w:rPr>
          <w:rFonts w:ascii="宋体" w:hAnsi="宋体" w:cs="宋体" w:eastAsia="宋体" w:hint="default"/>
        </w:rPr>
        <w:t>55</w:t>
      </w:r>
      <w:r>
        <w:rPr/>
        <w:t>、管理费用</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19,363,527.61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18,040,840.66</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限制性股票摊销</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-3,609,933.81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3,519,723.81</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7,758,505.72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4,392,886.73</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房租物业水电</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4,384,982.80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5,187,303.86</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2,473,492.06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2,928,169.27</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3,543,069.06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3,516,554.53</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4,207,643.21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2,678,216.01</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3,197,228.65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3,678,325.42</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2,122,309.99</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2,234,376.65</w:t>
            </w:r>
          </w:p>
        </w:tc>
      </w:tr>
      <w:tr>
        <w:trPr>
          <w:trHeight w:val="416" w:hRule="exact"/>
        </w:trPr>
        <w:tc>
          <w:tcPr>
            <w:tcW w:w="3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1,317,635.87</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857,223.25</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6,060.00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1,395,630.47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864,407.15</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531,374.17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742,919.47</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549,059.12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814,133.90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董事会会费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335,000.00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105,000.00</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3,384,335.43</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7,498,984.14</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50,953,860.35</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57,065,124.85</w:t>
            </w:r>
          </w:p>
        </w:tc>
      </w:tr>
    </w:tbl>
    <w:p>
      <w:pPr>
        <w:pStyle w:val="Heading4"/>
        <w:spacing w:line="240" w:lineRule="auto" w:before="63"/>
        <w:ind w:right="1122"/>
        <w:jc w:val="left"/>
        <w:rPr>
          <w:b w:val="0"/>
          <w:bCs w:val="0"/>
        </w:rPr>
      </w:pPr>
      <w:bookmarkStart w:name="56、研发费用" w:id="348"/>
      <w:bookmarkEnd w:id="348"/>
      <w:r>
        <w:rPr>
          <w:b w:val="0"/>
          <w:bCs w:val="0"/>
        </w:rPr>
      </w:r>
      <w:r>
        <w:rPr>
          <w:rFonts w:ascii="宋体" w:hAnsi="宋体" w:cs="宋体" w:eastAsia="宋体" w:hint="default"/>
        </w:rPr>
        <w:t>56</w:t>
      </w:r>
      <w:r>
        <w:rPr/>
        <w:t>、研发费用</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薪酬</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25,533,420.29</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26,176,156.20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3,252,618.29</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5,694,828.10</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1,834,579.58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1,903,754.29</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无形资产摊销费用</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341,580.36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346,186.64</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4,217,553.17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6,948,871.06</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4,789,746.50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6,136,747.10</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39,969,498.19</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47,206,543.39</w:t>
            </w:r>
          </w:p>
        </w:tc>
      </w:tr>
    </w:tbl>
    <w:p>
      <w:pPr>
        <w:pStyle w:val="Heading4"/>
        <w:spacing w:line="240" w:lineRule="auto" w:before="63"/>
        <w:ind w:right="1122"/>
        <w:jc w:val="left"/>
        <w:rPr>
          <w:b w:val="0"/>
          <w:bCs w:val="0"/>
        </w:rPr>
      </w:pPr>
      <w:bookmarkStart w:name="57、财务费用" w:id="349"/>
      <w:bookmarkEnd w:id="349"/>
      <w:r>
        <w:rPr>
          <w:b w:val="0"/>
          <w:bCs w:val="0"/>
        </w:rPr>
      </w:r>
      <w:r>
        <w:rPr>
          <w:rFonts w:ascii="宋体" w:hAnsi="宋体" w:cs="宋体" w:eastAsia="宋体" w:hint="default"/>
        </w:rPr>
        <w:t>57</w:t>
      </w:r>
      <w:r>
        <w:rPr/>
        <w:t>、财务费用</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12" w:hRule="exact"/>
        </w:trPr>
        <w:tc>
          <w:tcPr>
            <w:tcW w:w="31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30,498,628.15</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10,339,681.87</w:t>
            </w:r>
          </w:p>
        </w:tc>
      </w:tr>
      <w:tr>
        <w:trPr>
          <w:trHeight w:val="402" w:hRule="exact"/>
        </w:trPr>
        <w:tc>
          <w:tcPr>
            <w:tcW w:w="31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459,070.90</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1,430,537.47</w:t>
            </w:r>
          </w:p>
        </w:tc>
      </w:tr>
      <w:tr>
        <w:trPr>
          <w:trHeight w:val="402" w:hRule="exact"/>
        </w:trPr>
        <w:tc>
          <w:tcPr>
            <w:tcW w:w="31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30,039,557.25</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8,909,144.40</w:t>
            </w:r>
          </w:p>
        </w:tc>
      </w:tr>
      <w:tr>
        <w:trPr>
          <w:trHeight w:val="402" w:hRule="exact"/>
        </w:trPr>
        <w:tc>
          <w:tcPr>
            <w:tcW w:w="31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1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-862.69</w:t>
            </w:r>
          </w:p>
        </w:tc>
        <w:tc>
          <w:tcPr>
            <w:tcW w:w="3189"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1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862.69</w:t>
            </w:r>
          </w:p>
        </w:tc>
        <w:tc>
          <w:tcPr>
            <w:tcW w:w="3189"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1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121,587.93</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325,195.90</w:t>
            </w:r>
          </w:p>
        </w:tc>
      </w:tr>
      <w:tr>
        <w:trPr>
          <w:trHeight w:val="412" w:hRule="exact"/>
        </w:trPr>
        <w:tc>
          <w:tcPr>
            <w:tcW w:w="31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30,162,007.87</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9,234,340.30</w:t>
            </w:r>
          </w:p>
        </w:tc>
      </w:tr>
    </w:tbl>
    <w:p>
      <w:pPr>
        <w:pStyle w:val="BodyText"/>
        <w:spacing w:line="408" w:lineRule="auto" w:before="63"/>
        <w:ind w:right="1130" w:firstLine="420"/>
        <w:jc w:val="left"/>
        <w:rPr>
          <w:rFonts w:ascii="宋体" w:hAnsi="宋体" w:cs="宋体" w:eastAsia="宋体" w:hint="default"/>
        </w:rPr>
      </w:pPr>
      <w:r>
        <w:rPr>
          <w:spacing w:val="-1"/>
        </w:rPr>
        <w:t>本期财务费用较上期增加</w:t>
      </w:r>
      <w:r>
        <w:rPr>
          <w:rFonts w:ascii="宋体" w:hAnsi="宋体" w:cs="宋体" w:eastAsia="宋体" w:hint="default"/>
          <w:spacing w:val="-1"/>
        </w:rPr>
        <w:t>20,927,667.57</w:t>
      </w:r>
      <w:r>
        <w:rPr>
          <w:spacing w:val="-1"/>
        </w:rPr>
        <w:t>元，增长幅度为</w:t>
      </w:r>
      <w:r>
        <w:rPr>
          <w:rFonts w:ascii="宋体" w:hAnsi="宋体" w:cs="宋体" w:eastAsia="宋体" w:hint="default"/>
          <w:spacing w:val="-1"/>
        </w:rPr>
        <w:t>226.63%</w:t>
      </w:r>
      <w:r>
        <w:rPr>
          <w:spacing w:val="-1"/>
        </w:rPr>
        <w:t>，主要原因为优先级合伙人享有固定</w:t>
      </w:r>
      <w:r>
        <w:rPr/>
        <w:t> 收益部分以及基建贷在达到预定可使用状态后相应利息支出由资本化改为费用化所致。 </w:t>
      </w:r>
      <w:bookmarkStart w:name="58、资产减值损失" w:id="350"/>
      <w:bookmarkEnd w:id="350"/>
      <w:r>
        <w:rPr/>
      </w:r>
      <w:r>
        <w:rPr>
          <w:rFonts w:ascii="宋体" w:hAnsi="宋体" w:cs="宋体" w:eastAsia="宋体" w:hint="default"/>
          <w:b/>
          <w:bCs/>
        </w:rPr>
        <w:t>58</w:t>
      </w:r>
      <w:r>
        <w:rPr>
          <w:rFonts w:ascii="宋体" w:hAnsi="宋体" w:cs="宋体" w:eastAsia="宋体" w:hint="default"/>
          <w:b/>
          <w:bCs/>
        </w:rPr>
        <w:t>、资产减值损失</w:t>
      </w:r>
      <w:r>
        <w:rPr>
          <w:rFonts w:ascii="宋体" w:hAnsi="宋体" w:cs="宋体" w:eastAsia="宋体" w:hint="default"/>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170"/>
        <w:gridCol w:w="3206"/>
        <w:gridCol w:w="3188"/>
      </w:tblGrid>
      <w:tr>
        <w:trPr>
          <w:trHeight w:val="412" w:hRule="exact"/>
        </w:trPr>
        <w:tc>
          <w:tcPr>
            <w:tcW w:w="317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16,404,179.65</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1,838,571.25</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151,250.68</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-47,949.93</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54,117,647.24</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344,130,274.85</w:t>
            </w:r>
          </w:p>
        </w:tc>
      </w:tr>
      <w:tr>
        <w:trPr>
          <w:trHeight w:val="412" w:hRule="exact"/>
        </w:trPr>
        <w:tc>
          <w:tcPr>
            <w:tcW w:w="317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16,555,430.33</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400,038,543.41</w:t>
            </w:r>
          </w:p>
        </w:tc>
      </w:tr>
    </w:tbl>
    <w:p>
      <w:pPr>
        <w:pStyle w:val="BodyText"/>
        <w:spacing w:line="240" w:lineRule="auto" w:before="63"/>
        <w:ind w:right="1122"/>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rPr>
          <w:rFonts w:ascii="宋体" w:hAnsi="宋体" w:cs="宋体" w:eastAsia="宋体" w:hint="default"/>
        </w:rPr>
      </w:pPr>
      <w:r>
        <w:rPr/>
        <w:t>本期资产减值较上期减少</w:t>
      </w:r>
      <w:r>
        <w:rPr>
          <w:rFonts w:ascii="宋体" w:hAnsi="宋体" w:cs="宋体" w:eastAsia="宋体" w:hint="default"/>
        </w:rPr>
        <w:t>383,483,113.08</w:t>
      </w:r>
      <w:r>
        <w:rPr/>
        <w:t>元，减少比例为</w:t>
      </w:r>
      <w:r>
        <w:rPr>
          <w:rFonts w:ascii="宋体" w:hAnsi="宋体" w:cs="宋体" w:eastAsia="宋体" w:hint="default"/>
        </w:rPr>
        <w:t>95.86%</w:t>
      </w:r>
      <w:r>
        <w:rPr/>
        <w:t>，主要系上期计提了商誉减值准备。 </w:t>
      </w:r>
      <w:bookmarkStart w:name="59、其他收益" w:id="351"/>
      <w:bookmarkEnd w:id="351"/>
      <w:r>
        <w:rPr/>
      </w:r>
      <w:r>
        <w:rPr>
          <w:rFonts w:ascii="宋体" w:hAnsi="宋体" w:cs="宋体" w:eastAsia="宋体" w:hint="default"/>
          <w:b/>
          <w:bCs/>
        </w:rPr>
        <w:t>59</w:t>
      </w:r>
      <w:r>
        <w:rPr>
          <w:rFonts w:ascii="宋体" w:hAnsi="宋体" w:cs="宋体" w:eastAsia="宋体" w:hint="default"/>
          <w:b/>
          <w:bCs/>
        </w:rPr>
        <w:t>、其他收益</w:t>
      </w:r>
      <w:r>
        <w:rPr>
          <w:rFonts w:ascii="宋体" w:hAnsi="宋体" w:cs="宋体" w:eastAsia="宋体" w:hint="default"/>
        </w:rPr>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12" w:hRule="exact"/>
        </w:trPr>
        <w:tc>
          <w:tcPr>
            <w:tcW w:w="31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6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2" w:hRule="exact"/>
        </w:trPr>
        <w:tc>
          <w:tcPr>
            <w:tcW w:w="31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11,051,480.64</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11,730,503.17</w:t>
            </w:r>
          </w:p>
        </w:tc>
      </w:tr>
    </w:tbl>
    <w:p>
      <w:pPr>
        <w:pStyle w:val="Heading4"/>
        <w:spacing w:line="240" w:lineRule="auto" w:before="63"/>
        <w:ind w:right="1122"/>
        <w:jc w:val="left"/>
        <w:rPr>
          <w:b w:val="0"/>
          <w:bCs w:val="0"/>
        </w:rPr>
      </w:pPr>
      <w:bookmarkStart w:name="60、投资收益" w:id="352"/>
      <w:bookmarkEnd w:id="352"/>
      <w:r>
        <w:rPr>
          <w:b w:val="0"/>
          <w:bCs w:val="0"/>
        </w:rPr>
      </w:r>
      <w:r>
        <w:rPr>
          <w:rFonts w:ascii="宋体" w:hAnsi="宋体" w:cs="宋体" w:eastAsia="宋体" w:hint="default"/>
        </w:rPr>
        <w:t>60</w:t>
      </w:r>
      <w:r>
        <w:rPr/>
        <w:t>、投资收益</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443"/>
        <w:gridCol w:w="3203"/>
        <w:gridCol w:w="2917"/>
      </w:tblGrid>
      <w:tr>
        <w:trPr>
          <w:trHeight w:val="411" w:hRule="exact"/>
        </w:trPr>
        <w:tc>
          <w:tcPr>
            <w:tcW w:w="344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16,051,752.54</w:t>
            </w:r>
          </w:p>
        </w:tc>
        <w:tc>
          <w:tcPr>
            <w:tcW w:w="29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-3,009,764.86</w:t>
            </w:r>
          </w:p>
        </w:tc>
      </w:tr>
      <w:tr>
        <w:trPr>
          <w:trHeight w:val="402" w:hRule="exact"/>
        </w:trPr>
        <w:tc>
          <w:tcPr>
            <w:tcW w:w="34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1,500,000.00</w:t>
            </w:r>
          </w:p>
        </w:tc>
      </w:tr>
      <w:tr>
        <w:trPr>
          <w:trHeight w:val="412" w:hRule="exact"/>
        </w:trPr>
        <w:tc>
          <w:tcPr>
            <w:tcW w:w="344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16,051,752.54</w:t>
            </w:r>
          </w:p>
        </w:tc>
        <w:tc>
          <w:tcPr>
            <w:tcW w:w="291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-1,509,764.86</w:t>
            </w:r>
          </w:p>
        </w:tc>
      </w:tr>
    </w:tbl>
    <w:p>
      <w:pPr>
        <w:pStyle w:val="BodyText"/>
        <w:spacing w:line="240" w:lineRule="auto" w:before="63"/>
        <w:ind w:right="1122"/>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122" w:firstLine="420"/>
        <w:jc w:val="left"/>
      </w:pPr>
      <w:r>
        <w:rPr/>
        <w:t>本期投资收益比上期增加</w:t>
      </w:r>
      <w:r>
        <w:rPr>
          <w:rFonts w:ascii="宋体" w:hAnsi="宋体" w:cs="宋体" w:eastAsia="宋体" w:hint="default"/>
        </w:rPr>
        <w:t>17,561,517.40</w:t>
      </w:r>
      <w:r>
        <w:rPr/>
        <w:t>元，增长比例为</w:t>
      </w:r>
      <w:r>
        <w:rPr>
          <w:rFonts w:ascii="宋体" w:hAnsi="宋体" w:cs="宋体" w:eastAsia="宋体" w:hint="default"/>
        </w:rPr>
        <w:t>1,</w:t>
      </w:r>
      <w:r>
        <w:rPr>
          <w:rFonts w:ascii="宋体" w:hAnsi="宋体" w:cs="宋体" w:eastAsia="宋体" w:hint="default"/>
          <w:spacing w:val="-3"/>
        </w:rPr>
        <w:t> </w:t>
      </w:r>
      <w:r>
        <w:rPr>
          <w:rFonts w:ascii="宋体" w:hAnsi="宋体" w:cs="宋体" w:eastAsia="宋体" w:hint="default"/>
        </w:rPr>
        <w:t>163.20%</w:t>
      </w:r>
      <w:r>
        <w:rPr/>
        <w:t>，主要为报告期内投资北京海誉 </w:t>
      </w:r>
      <w:r>
        <w:rPr>
          <w:spacing w:val="-1"/>
        </w:rPr>
        <w:t>动想科技股份有限公司按照权益法核算，确认了相应投资收益；以及部分联营企业经营状况好转确认的投</w:t>
      </w:r>
      <w:r>
        <w:rPr>
          <w:spacing w:val="-81"/>
        </w:rPr>
        <w:t> </w:t>
      </w:r>
      <w:r>
        <w:rPr>
          <w:spacing w:val="-81"/>
        </w:rPr>
      </w:r>
      <w:r>
        <w:rPr/>
        <w:t>资收益更多所致。</w:t>
      </w:r>
    </w:p>
    <w:p>
      <w:pPr>
        <w:pStyle w:val="Heading4"/>
        <w:spacing w:line="240" w:lineRule="auto" w:before="46"/>
        <w:ind w:right="1122"/>
        <w:jc w:val="left"/>
        <w:rPr>
          <w:b w:val="0"/>
          <w:bCs w:val="0"/>
        </w:rPr>
      </w:pPr>
      <w:bookmarkStart w:name="61、 公允价值变动收益" w:id="353"/>
      <w:bookmarkEnd w:id="353"/>
      <w:r>
        <w:rPr>
          <w:b w:val="0"/>
          <w:bCs w:val="0"/>
        </w:rPr>
      </w:r>
      <w:r>
        <w:rPr>
          <w:rFonts w:ascii="宋体" w:hAnsi="宋体" w:cs="宋体" w:eastAsia="宋体" w:hint="default"/>
        </w:rPr>
        <w:t>61</w:t>
      </w:r>
      <w:r>
        <w:rPr/>
        <w:t>、公允价值变动收益</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2、资产处置收益" w:id="354"/>
      <w:bookmarkEnd w:id="354"/>
      <w:r>
        <w:rPr>
          <w:rFonts w:ascii="宋体" w:hAnsi="宋体" w:cs="宋体" w:eastAsia="宋体" w:hint="default"/>
          <w:sz w:val="21"/>
          <w:szCs w:val="21"/>
        </w:rPr>
      </w:r>
      <w:r>
        <w:rPr>
          <w:rFonts w:ascii="宋体" w:hAnsi="宋体" w:cs="宋体" w:eastAsia="宋体" w:hint="default"/>
          <w:b/>
          <w:bCs/>
          <w:sz w:val="21"/>
          <w:szCs w:val="21"/>
        </w:rPr>
        <w:t>62</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12" w:hRule="exact"/>
        </w:trPr>
        <w:tc>
          <w:tcPr>
            <w:tcW w:w="31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6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2" w:hRule="exact"/>
        </w:trPr>
        <w:tc>
          <w:tcPr>
            <w:tcW w:w="31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33,559,923.90</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9,701.31</w:t>
            </w:r>
          </w:p>
        </w:tc>
      </w:tr>
    </w:tbl>
    <w:p>
      <w:pPr>
        <w:pStyle w:val="Heading4"/>
        <w:spacing w:line="240" w:lineRule="auto" w:before="63"/>
        <w:ind w:right="1122"/>
        <w:jc w:val="left"/>
        <w:rPr>
          <w:b w:val="0"/>
          <w:bCs w:val="0"/>
        </w:rPr>
      </w:pPr>
      <w:bookmarkStart w:name="63、营业外收入" w:id="355"/>
      <w:bookmarkEnd w:id="355"/>
      <w:r>
        <w:rPr>
          <w:b w:val="0"/>
          <w:bCs w:val="0"/>
        </w:rPr>
      </w:r>
      <w:r>
        <w:rPr>
          <w:rFonts w:ascii="宋体" w:hAnsi="宋体" w:cs="宋体" w:eastAsia="宋体" w:hint="default"/>
        </w:rPr>
        <w:t>63</w:t>
      </w:r>
      <w:r>
        <w:rPr/>
        <w:t>、营业外收入</w:t>
      </w:r>
      <w:r>
        <w:rPr>
          <w:b w:val="0"/>
          <w:bCs w:val="0"/>
        </w:rPr>
      </w:r>
    </w:p>
    <w:p>
      <w:pPr>
        <w:spacing w:line="240" w:lineRule="auto" w:before="7"/>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390"/>
        <w:gridCol w:w="2396"/>
        <w:gridCol w:w="2161"/>
        <w:gridCol w:w="2622"/>
      </w:tblGrid>
      <w:tr>
        <w:trPr>
          <w:trHeight w:val="412" w:hRule="exact"/>
        </w:trPr>
        <w:tc>
          <w:tcPr>
            <w:tcW w:w="239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268,440.86</w:t>
            </w:r>
          </w:p>
        </w:tc>
        <w:tc>
          <w:tcPr>
            <w:tcW w:w="2622"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286,616.53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429,094.28</w:t>
            </w:r>
          </w:p>
        </w:tc>
        <w:tc>
          <w:tcPr>
            <w:tcW w:w="26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286,616.53</w:t>
            </w:r>
          </w:p>
        </w:tc>
      </w:tr>
      <w:tr>
        <w:trPr>
          <w:trHeight w:val="413" w:hRule="exact"/>
        </w:trPr>
        <w:tc>
          <w:tcPr>
            <w:tcW w:w="239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286,616.53</w:t>
            </w:r>
          </w:p>
        </w:tc>
        <w:tc>
          <w:tcPr>
            <w:tcW w:w="21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697,535.14</w:t>
            </w:r>
          </w:p>
        </w:tc>
        <w:tc>
          <w:tcPr>
            <w:tcW w:w="26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286,616.53</w:t>
            </w:r>
          </w:p>
        </w:tc>
      </w:tr>
    </w:tbl>
    <w:p>
      <w:pPr>
        <w:pStyle w:val="BodyText"/>
        <w:spacing w:line="240" w:lineRule="auto" w:before="63"/>
        <w:ind w:right="1122"/>
        <w:jc w:val="left"/>
      </w:pPr>
      <w:r>
        <w:rPr/>
        <w:t>计入当期损益的政府补助：</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419"/>
        <w:gridCol w:w="991"/>
        <w:gridCol w:w="781"/>
        <w:gridCol w:w="1064"/>
        <w:gridCol w:w="1063"/>
        <w:gridCol w:w="920"/>
        <w:gridCol w:w="1206"/>
        <w:gridCol w:w="1063"/>
        <w:gridCol w:w="1062"/>
      </w:tblGrid>
      <w:tr>
        <w:trPr>
          <w:trHeight w:val="724" w:hRule="exact"/>
        </w:trPr>
        <w:tc>
          <w:tcPr>
            <w:tcW w:w="141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78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92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4" w:right="95"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2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06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02" w:lineRule="auto" w:before="51"/>
              <w:ind w:left="76" w:right="3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12" w:hRule="exact"/>
        </w:trPr>
        <w:tc>
          <w:tcPr>
            <w:tcW w:w="141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财政部门</w:t>
            </w:r>
          </w:p>
        </w:tc>
        <w:tc>
          <w:tcPr>
            <w:tcW w:w="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12" w:space="0" w:color="000000"/>
              <w:right w:val="single" w:sz="4" w:space="0" w:color="000000"/>
            </w:tcBorders>
          </w:tcPr>
          <w:p>
            <w:pPr/>
          </w:p>
        </w:tc>
        <w:tc>
          <w:tcPr>
            <w:tcW w:w="10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12" w:space="0" w:color="000000"/>
              <w:right w:val="single" w:sz="4" w:space="0" w:color="000000"/>
            </w:tcBorders>
          </w:tcPr>
          <w:p>
            <w:pPr/>
          </w:p>
        </w:tc>
        <w:tc>
          <w:tcPr>
            <w:tcW w:w="10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sz w:val="18"/>
              </w:rPr>
              <w:t>268,440.86</w:t>
            </w:r>
          </w:p>
        </w:tc>
        <w:tc>
          <w:tcPr>
            <w:tcW w:w="10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Heading4"/>
        <w:spacing w:line="240" w:lineRule="auto" w:before="63"/>
        <w:ind w:right="1122"/>
        <w:jc w:val="left"/>
        <w:rPr>
          <w:b w:val="0"/>
          <w:bCs w:val="0"/>
        </w:rPr>
      </w:pPr>
      <w:bookmarkStart w:name="64、营业外支出" w:id="356"/>
      <w:bookmarkEnd w:id="356"/>
      <w:r>
        <w:rPr>
          <w:b w:val="0"/>
          <w:bCs w:val="0"/>
        </w:rPr>
      </w:r>
      <w:r>
        <w:rPr>
          <w:rFonts w:ascii="宋体" w:hAnsi="宋体" w:cs="宋体" w:eastAsia="宋体" w:hint="default"/>
        </w:rPr>
        <w:t>64</w:t>
      </w:r>
      <w:r>
        <w:rPr/>
        <w:t>、营业外支出</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390"/>
        <w:gridCol w:w="2396"/>
        <w:gridCol w:w="2161"/>
        <w:gridCol w:w="2622"/>
      </w:tblGrid>
      <w:tr>
        <w:trPr>
          <w:trHeight w:val="411" w:hRule="exact"/>
        </w:trPr>
        <w:tc>
          <w:tcPr>
            <w:tcW w:w="239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37,099.66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121,653.01</w:t>
            </w:r>
          </w:p>
        </w:tc>
        <w:tc>
          <w:tcPr>
            <w:tcW w:w="26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37,099.66</w:t>
            </w:r>
          </w:p>
        </w:tc>
      </w:tr>
      <w:tr>
        <w:trPr>
          <w:trHeight w:val="402" w:hRule="exact"/>
        </w:trPr>
        <w:tc>
          <w:tcPr>
            <w:tcW w:w="2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198,773.50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64,641.10</w:t>
            </w:r>
          </w:p>
        </w:tc>
        <w:tc>
          <w:tcPr>
            <w:tcW w:w="26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198,773.50</w:t>
            </w:r>
          </w:p>
        </w:tc>
      </w:tr>
      <w:tr>
        <w:trPr>
          <w:trHeight w:val="412" w:hRule="exact"/>
        </w:trPr>
        <w:tc>
          <w:tcPr>
            <w:tcW w:w="239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235,873.16</w:t>
            </w:r>
          </w:p>
        </w:tc>
        <w:tc>
          <w:tcPr>
            <w:tcW w:w="21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186,294.11</w:t>
            </w:r>
          </w:p>
        </w:tc>
        <w:tc>
          <w:tcPr>
            <w:tcW w:w="26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286,616.53</w:t>
            </w:r>
          </w:p>
        </w:tc>
      </w:tr>
    </w:tbl>
    <w:p>
      <w:pPr>
        <w:pStyle w:val="Heading4"/>
        <w:spacing w:line="240" w:lineRule="auto" w:before="63"/>
        <w:ind w:right="1122"/>
        <w:jc w:val="left"/>
        <w:rPr>
          <w:b w:val="0"/>
          <w:bCs w:val="0"/>
        </w:rPr>
      </w:pPr>
      <w:bookmarkStart w:name="65、所得税费用" w:id="357"/>
      <w:bookmarkEnd w:id="357"/>
      <w:r>
        <w:rPr>
          <w:b w:val="0"/>
          <w:bCs w:val="0"/>
        </w:rPr>
      </w:r>
      <w:r>
        <w:rPr>
          <w:rFonts w:ascii="宋体" w:hAnsi="宋体" w:cs="宋体" w:eastAsia="宋体" w:hint="default"/>
        </w:rPr>
        <w:t>65</w:t>
      </w:r>
      <w:r>
        <w:rPr/>
        <w:t>、所得税费用</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2"/>
        <w:jc w:val="left"/>
        <w:rPr>
          <w:b w:val="0"/>
          <w:bCs w:val="0"/>
        </w:rPr>
      </w:pPr>
      <w:bookmarkStart w:name="（1）所得税费用表" w:id="358"/>
      <w:bookmarkEnd w:id="358"/>
      <w:r>
        <w:rPr>
          <w:b w:val="0"/>
          <w:bCs w:val="0"/>
        </w:rPr>
      </w:r>
      <w:r>
        <w:rPr/>
        <w:t>（</w:t>
      </w:r>
      <w:r>
        <w:rPr>
          <w:rFonts w:ascii="宋体" w:hAnsi="宋体" w:cs="宋体" w:eastAsia="宋体" w:hint="default"/>
        </w:rPr>
        <w:t>1</w:t>
      </w:r>
      <w:r>
        <w:rPr/>
        <w:t>）所得税费用表</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70"/>
        <w:gridCol w:w="3206"/>
        <w:gridCol w:w="3188"/>
      </w:tblGrid>
      <w:tr>
        <w:trPr>
          <w:trHeight w:val="412" w:hRule="exact"/>
        </w:trPr>
        <w:tc>
          <w:tcPr>
            <w:tcW w:w="317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7,335,142.87</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6,195,576.39</w:t>
            </w:r>
          </w:p>
        </w:tc>
      </w:tr>
      <w:tr>
        <w:trPr>
          <w:trHeight w:val="402" w:hRule="exact"/>
        </w:trPr>
        <w:tc>
          <w:tcPr>
            <w:tcW w:w="31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-2,073,171.27</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-1,433,101.18</w:t>
            </w:r>
          </w:p>
        </w:tc>
      </w:tr>
      <w:tr>
        <w:trPr>
          <w:trHeight w:val="412" w:hRule="exact"/>
        </w:trPr>
        <w:tc>
          <w:tcPr>
            <w:tcW w:w="317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5,261,971.60</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4,762,475.21</w:t>
            </w:r>
          </w:p>
        </w:tc>
      </w:tr>
    </w:tbl>
    <w:p>
      <w:pPr>
        <w:pStyle w:val="Heading4"/>
        <w:spacing w:line="240" w:lineRule="auto" w:before="63"/>
        <w:ind w:right="1122"/>
        <w:jc w:val="left"/>
        <w:rPr>
          <w:b w:val="0"/>
          <w:bCs w:val="0"/>
        </w:rPr>
      </w:pPr>
      <w:bookmarkStart w:name="（2）会计利润与所得税费用调整过程" w:id="359"/>
      <w:bookmarkEnd w:id="359"/>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5514"/>
        <w:gridCol w:w="4049"/>
      </w:tblGrid>
      <w:tr>
        <w:trPr>
          <w:trHeight w:val="415" w:hRule="exact"/>
        </w:trPr>
        <w:tc>
          <w:tcPr>
            <w:tcW w:w="551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0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55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04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26,752,649.10</w:t>
            </w:r>
          </w:p>
        </w:tc>
      </w:tr>
      <w:tr>
        <w:trPr>
          <w:trHeight w:val="407" w:hRule="exact"/>
        </w:trPr>
        <w:tc>
          <w:tcPr>
            <w:tcW w:w="55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04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4,012,897.37</w:t>
            </w:r>
          </w:p>
        </w:tc>
      </w:tr>
      <w:tr>
        <w:trPr>
          <w:trHeight w:val="407" w:hRule="exact"/>
        </w:trPr>
        <w:tc>
          <w:tcPr>
            <w:tcW w:w="55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04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-10,633.09</w:t>
            </w:r>
          </w:p>
        </w:tc>
      </w:tr>
      <w:tr>
        <w:trPr>
          <w:trHeight w:val="408" w:hRule="exact"/>
        </w:trPr>
        <w:tc>
          <w:tcPr>
            <w:tcW w:w="55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04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-3,288,271.84</w:t>
            </w:r>
          </w:p>
        </w:tc>
      </w:tr>
      <w:tr>
        <w:trPr>
          <w:trHeight w:val="407" w:hRule="exact"/>
        </w:trPr>
        <w:tc>
          <w:tcPr>
            <w:tcW w:w="55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04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3,797,042.48</w:t>
            </w:r>
          </w:p>
        </w:tc>
      </w:tr>
      <w:tr>
        <w:trPr>
          <w:trHeight w:val="407" w:hRule="exact"/>
        </w:trPr>
        <w:tc>
          <w:tcPr>
            <w:tcW w:w="55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04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-2,152,927.64</w:t>
            </w:r>
          </w:p>
        </w:tc>
      </w:tr>
      <w:tr>
        <w:trPr>
          <w:trHeight w:val="406" w:hRule="exact"/>
        </w:trPr>
        <w:tc>
          <w:tcPr>
            <w:tcW w:w="551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404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7,109,550.87</w:t>
            </w:r>
          </w:p>
        </w:tc>
      </w:tr>
      <w:tr>
        <w:trPr>
          <w:trHeight w:val="415" w:hRule="exact"/>
        </w:trPr>
        <w:tc>
          <w:tcPr>
            <w:tcW w:w="55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0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-4,224,669.47</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5531"/>
        <w:gridCol w:w="4038"/>
      </w:tblGrid>
      <w:tr>
        <w:trPr>
          <w:trHeight w:val="415" w:hRule="exact"/>
        </w:trPr>
        <w:tc>
          <w:tcPr>
            <w:tcW w:w="553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03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55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0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18,982.92</w:t>
            </w:r>
          </w:p>
        </w:tc>
      </w:tr>
      <w:tr>
        <w:trPr>
          <w:trHeight w:val="414" w:hRule="exact"/>
        </w:trPr>
        <w:tc>
          <w:tcPr>
            <w:tcW w:w="553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0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5,261,971.60</w:t>
            </w:r>
          </w:p>
        </w:tc>
      </w:tr>
    </w:tbl>
    <w:p>
      <w:pPr>
        <w:spacing w:line="408" w:lineRule="auto" w:before="63"/>
        <w:ind w:left="574" w:right="9065" w:hanging="420"/>
        <w:jc w:val="left"/>
        <w:rPr>
          <w:rFonts w:ascii="宋体" w:hAnsi="宋体" w:cs="宋体" w:eastAsia="宋体" w:hint="default"/>
          <w:sz w:val="21"/>
          <w:szCs w:val="21"/>
        </w:rPr>
      </w:pPr>
      <w:bookmarkStart w:name="66、其他综合收益" w:id="360"/>
      <w:bookmarkEnd w:id="360"/>
      <w:r>
        <w:rPr/>
      </w:r>
      <w:r>
        <w:rPr>
          <w:rFonts w:ascii="宋体" w:hAnsi="宋体" w:cs="宋体" w:eastAsia="宋体"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w:t>
      </w:r>
    </w:p>
    <w:p>
      <w:pPr>
        <w:spacing w:after="0" w:line="408" w:lineRule="auto"/>
        <w:jc w:val="left"/>
        <w:rPr>
          <w:rFonts w:ascii="宋体" w:hAnsi="宋体" w:cs="宋体" w:eastAsia="宋体" w:hint="default"/>
          <w:sz w:val="21"/>
          <w:szCs w:val="21"/>
        </w:rPr>
        <w:sectPr>
          <w:pgSz w:w="11910" w:h="16840"/>
          <w:pgMar w:header="877" w:footer="1000" w:top="1100" w:bottom="1180" w:left="980" w:right="0"/>
        </w:sectPr>
      </w:pPr>
    </w:p>
    <w:p>
      <w:pPr>
        <w:pStyle w:val="Heading4"/>
        <w:spacing w:line="240" w:lineRule="auto" w:before="46"/>
        <w:ind w:right="0"/>
        <w:jc w:val="left"/>
        <w:rPr>
          <w:b w:val="0"/>
          <w:bCs w:val="0"/>
        </w:rPr>
      </w:pPr>
      <w:bookmarkStart w:name="67、现金流量表项目" w:id="361"/>
      <w:bookmarkEnd w:id="361"/>
      <w:r>
        <w:rPr>
          <w:b w:val="0"/>
          <w:bCs w:val="0"/>
        </w:rPr>
      </w:r>
      <w:r>
        <w:rPr>
          <w:rFonts w:ascii="宋体" w:hAnsi="宋体" w:cs="宋体" w:eastAsia="宋体" w:hint="default"/>
        </w:rPr>
        <w:t>67</w:t>
      </w:r>
      <w:r>
        <w:rPr/>
        <w:t>、现金流量表项目</w:t>
      </w:r>
      <w:r>
        <w:rPr>
          <w:b w:val="0"/>
          <w:bCs w:val="0"/>
        </w:rPr>
      </w:r>
    </w:p>
    <w:p>
      <w:pPr>
        <w:pStyle w:val="Heading4"/>
        <w:spacing w:line="240" w:lineRule="auto" w:before="115"/>
        <w:ind w:right="0"/>
        <w:jc w:val="left"/>
        <w:rPr>
          <w:b w:val="0"/>
          <w:bCs w:val="0"/>
        </w:rPr>
      </w:pPr>
      <w:bookmarkStart w:name="（1）收到的其他与经营活动有关的现金" w:id="362"/>
      <w:bookmarkEnd w:id="362"/>
      <w:r>
        <w:rPr>
          <w:b w:val="0"/>
          <w:bCs w:val="0"/>
        </w:rPr>
      </w:r>
      <w:r>
        <w:rPr>
          <w:w w:val="95"/>
        </w:rPr>
        <w:t>（</w:t>
      </w:r>
      <w:r>
        <w:rPr>
          <w:rFonts w:ascii="宋体" w:hAnsi="宋体" w:cs="宋体" w:eastAsia="宋体" w:hint="default"/>
          <w:w w:val="95"/>
        </w:rPr>
        <w:t>1</w:t>
      </w:r>
      <w:r>
        <w:rPr>
          <w:w w:val="95"/>
        </w:rPr>
        <w:t>）收到的其他与经营活动有关的现金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3842" w:space="5078"/>
            <w:col w:w="2010"/>
          </w:cols>
        </w:sectPr>
      </w:pP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2,641,575.20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6,106,028.64</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442,321.69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1,734,134.13</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员工还款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6,344,165.37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3,728,134.51</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51,544,634.49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50,012,779.00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41,869,415.30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17,380,073.24</w:t>
            </w:r>
          </w:p>
        </w:tc>
      </w:tr>
      <w:tr>
        <w:trPr>
          <w:trHeight w:val="416"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102,842,112.05</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78,961,149.52</w:t>
            </w:r>
          </w:p>
        </w:tc>
      </w:tr>
    </w:tbl>
    <w:p>
      <w:pPr>
        <w:spacing w:line="240" w:lineRule="auto" w:before="1"/>
        <w:rPr>
          <w:rFonts w:ascii="宋体" w:hAnsi="宋体" w:cs="宋体" w:eastAsia="宋体" w:hint="default"/>
          <w:sz w:val="14"/>
          <w:szCs w:val="14"/>
        </w:rPr>
      </w:pPr>
    </w:p>
    <w:p>
      <w:pPr>
        <w:pStyle w:val="Heading4"/>
        <w:spacing w:line="240" w:lineRule="auto" w:before="35"/>
        <w:ind w:right="1122"/>
        <w:jc w:val="left"/>
        <w:rPr>
          <w:b w:val="0"/>
          <w:bCs w:val="0"/>
        </w:rPr>
      </w:pPr>
      <w:bookmarkStart w:name="（2）支付的其他与经营活动有关的现金" w:id="363"/>
      <w:bookmarkEnd w:id="363"/>
      <w:r>
        <w:rPr>
          <w:b w:val="0"/>
          <w:bCs w:val="0"/>
        </w:rPr>
      </w:r>
      <w:r>
        <w:rPr/>
        <w:t>（</w:t>
      </w:r>
      <w:r>
        <w:rPr>
          <w:rFonts w:ascii="宋体" w:hAnsi="宋体" w:cs="宋体" w:eastAsia="宋体" w:hint="default"/>
        </w:rPr>
        <w:t>2</w:t>
      </w:r>
      <w:r>
        <w:rPr/>
        <w:t>）支付的其他与经营活动有关的现金</w:t>
      </w:r>
      <w:r>
        <w:rPr>
          <w:b w:val="0"/>
          <w:bCs w:val="0"/>
        </w:rPr>
      </w:r>
    </w:p>
    <w:p>
      <w:pPr>
        <w:spacing w:before="14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40,194,023.84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29,718,733.74</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18,662,054.26</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20,689,379.53</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121,587.93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325,195.90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15,846,080.22</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14,514,477.38</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43,447,157.77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57,165,767.96</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往来及代收付股权转让个人所得税</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29,000,000.00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7,325,439.26</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16,241,481.41</w:t>
            </w:r>
          </w:p>
        </w:tc>
      </w:tr>
      <w:tr>
        <w:trPr>
          <w:trHeight w:val="416"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154,596,343.28</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138,655,035.92</w:t>
            </w:r>
          </w:p>
        </w:tc>
      </w:tr>
    </w:tbl>
    <w:p>
      <w:pPr>
        <w:spacing w:line="240" w:lineRule="auto" w:before="1"/>
        <w:rPr>
          <w:rFonts w:ascii="宋体" w:hAnsi="宋体" w:cs="宋体" w:eastAsia="宋体" w:hint="default"/>
          <w:sz w:val="14"/>
          <w:szCs w:val="14"/>
        </w:rPr>
      </w:pPr>
    </w:p>
    <w:p>
      <w:pPr>
        <w:pStyle w:val="Heading4"/>
        <w:spacing w:line="240" w:lineRule="auto" w:before="35"/>
        <w:ind w:right="1122"/>
        <w:jc w:val="left"/>
        <w:rPr>
          <w:b w:val="0"/>
          <w:bCs w:val="0"/>
        </w:rPr>
      </w:pPr>
      <w:bookmarkStart w:name="（3） 收到的其他与投资活动有关的现金" w:id="364"/>
      <w:bookmarkEnd w:id="364"/>
      <w:r>
        <w:rPr>
          <w:b w:val="0"/>
          <w:bCs w:val="0"/>
        </w:rPr>
      </w:r>
      <w:r>
        <w:rPr/>
        <w:t>（</w:t>
      </w:r>
      <w:r>
        <w:rPr>
          <w:rFonts w:ascii="宋体" w:hAnsi="宋体" w:cs="宋体" w:eastAsia="宋体" w:hint="default"/>
        </w:rPr>
        <w:t>3</w:t>
      </w:r>
      <w:r>
        <w:rPr/>
        <w:t>）收到的其他与投资活动有关的现金</w:t>
      </w:r>
      <w:r>
        <w:rPr>
          <w:b w:val="0"/>
          <w:bCs w:val="0"/>
        </w:rPr>
      </w:r>
    </w:p>
    <w:p>
      <w:pPr>
        <w:spacing w:line="240" w:lineRule="auto" w:before="1"/>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type w:val="continuous"/>
          <w:pgSz w:w="11910" w:h="16840"/>
          <w:pgMar w:top="1580" w:bottom="700" w:left="980" w:right="0"/>
        </w:sectPr>
      </w:pPr>
    </w:p>
    <w:p>
      <w:pPr>
        <w:pStyle w:val="BodyText"/>
        <w:spacing w:line="240" w:lineRule="auto" w:before="35"/>
        <w:ind w:right="0"/>
        <w:jc w:val="left"/>
      </w:pPr>
      <w:r>
        <w:rPr/>
        <w:t>□ 适用 √</w:t>
      </w:r>
      <w:r>
        <w:rPr>
          <w:spacing w:val="-1"/>
        </w:rPr>
        <w:t> </w:t>
      </w:r>
      <w:r>
        <w:rPr/>
        <w:t>不适用</w:t>
      </w:r>
    </w:p>
    <w:p>
      <w:pPr>
        <w:pStyle w:val="Heading4"/>
        <w:spacing w:line="240" w:lineRule="auto" w:before="115"/>
        <w:ind w:right="0"/>
        <w:jc w:val="left"/>
        <w:rPr>
          <w:b w:val="0"/>
          <w:bCs w:val="0"/>
        </w:rPr>
      </w:pPr>
      <w:bookmarkStart w:name="（4）支付的其他与投资活动有关的现金" w:id="365"/>
      <w:bookmarkEnd w:id="365"/>
      <w:r>
        <w:rPr>
          <w:b w:val="0"/>
          <w:bCs w:val="0"/>
        </w:rPr>
      </w:r>
      <w:r>
        <w:rPr>
          <w:w w:val="95"/>
        </w:rPr>
        <w:t>（</w:t>
      </w:r>
      <w:r>
        <w:rPr>
          <w:rFonts w:ascii="宋体" w:hAnsi="宋体" w:cs="宋体" w:eastAsia="宋体" w:hint="default"/>
          <w:w w:val="95"/>
        </w:rPr>
        <w:t>4</w:t>
      </w:r>
      <w:r>
        <w:rPr>
          <w:w w:val="95"/>
        </w:rPr>
        <w:t>）支付的其他与投资活动有关的现金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3842" w:space="5078"/>
            <w:col w:w="2010"/>
          </w:cols>
        </w:sectPr>
      </w:pP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1"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支付给索瑞原股东的股利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2,350,649.00</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2,350,649.00</w:t>
            </w:r>
          </w:p>
        </w:tc>
        <w:tc>
          <w:tcPr>
            <w:tcW w:w="3188" w:type="dxa"/>
            <w:tcBorders>
              <w:top w:val="single" w:sz="4" w:space="0" w:color="000000"/>
              <w:left w:val="single" w:sz="4" w:space="0" w:color="000000"/>
              <w:bottom w:val="single" w:sz="12" w:space="0" w:color="000000"/>
              <w:right w:val="single" w:sz="12" w:space="0" w:color="000000"/>
            </w:tcBorders>
          </w:tcPr>
          <w:p>
            <w:pPr/>
          </w:p>
        </w:tc>
      </w:tr>
    </w:tbl>
    <w:p>
      <w:pPr>
        <w:spacing w:after="0"/>
        <w:sectPr>
          <w:type w:val="continuous"/>
          <w:pgSz w:w="11910" w:h="16840"/>
          <w:pgMar w:top="1580" w:bottom="70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5）收到的其他与筹资活动有关的现金" w:id="366"/>
      <w:bookmarkEnd w:id="366"/>
      <w:r>
        <w:rPr>
          <w:b w:val="0"/>
          <w:bCs w:val="0"/>
        </w:rPr>
      </w:r>
      <w:r>
        <w:rPr/>
        <w:t>（</w:t>
      </w:r>
      <w:r>
        <w:rPr>
          <w:rFonts w:ascii="宋体" w:hAnsi="宋体" w:cs="宋体" w:eastAsia="宋体" w:hint="default"/>
        </w:rPr>
        <w:t>5</w:t>
      </w:r>
      <w:r>
        <w:rPr/>
        <w:t>）收到的其他与筹资活动有关的现金</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2"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现金股利分配保证金及利息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132,875.00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1,034,111.60</w:t>
            </w:r>
          </w:p>
        </w:tc>
      </w:tr>
      <w:tr>
        <w:trPr>
          <w:trHeight w:val="402"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与关联方有息往来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22,500,000.00</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22,632,875.00</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1,034,111.60</w:t>
            </w:r>
          </w:p>
        </w:tc>
      </w:tr>
    </w:tbl>
    <w:p>
      <w:pPr>
        <w:pStyle w:val="BodyText"/>
        <w:spacing w:line="408" w:lineRule="auto" w:before="63"/>
        <w:ind w:left="574" w:right="1197" w:hanging="420"/>
        <w:jc w:val="left"/>
      </w:pPr>
      <w:r>
        <w:rPr/>
        <w:t>收到的其他与筹资活动有关的现金说明： 本期发生额较上期增加了</w:t>
      </w:r>
      <w:r>
        <w:rPr>
          <w:rFonts w:ascii="宋体" w:hAnsi="宋体" w:cs="宋体" w:eastAsia="宋体" w:hint="default"/>
        </w:rPr>
        <w:t>21,598,763.40</w:t>
      </w:r>
      <w:r>
        <w:rPr/>
        <w:t>元，增长了</w:t>
      </w:r>
      <w:r>
        <w:rPr>
          <w:rFonts w:ascii="宋体" w:hAnsi="宋体" w:cs="宋体" w:eastAsia="宋体" w:hint="default"/>
        </w:rPr>
        <w:t>2088.63%</w:t>
      </w:r>
      <w:r>
        <w:rPr/>
        <w:t>，主要原因为本公司本期新增相应的有</w:t>
      </w:r>
    </w:p>
    <w:p>
      <w:pPr>
        <w:pStyle w:val="BodyText"/>
        <w:spacing w:line="240" w:lineRule="auto"/>
        <w:ind w:right="1122"/>
        <w:jc w:val="left"/>
      </w:pPr>
      <w:r>
        <w:rPr/>
        <w:t>息往来。</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6）支付的其他与筹资活动有关的现金" w:id="367"/>
      <w:bookmarkEnd w:id="367"/>
      <w:r>
        <w:rPr>
          <w:b w:val="0"/>
          <w:bCs w:val="0"/>
        </w:rPr>
      </w:r>
      <w:r>
        <w:rPr/>
        <w:t>（</w:t>
      </w:r>
      <w:r>
        <w:rPr>
          <w:rFonts w:ascii="宋体" w:hAnsi="宋体" w:cs="宋体" w:eastAsia="宋体" w:hint="default"/>
        </w:rPr>
        <w:t>6</w:t>
      </w:r>
      <w:r>
        <w:rPr/>
        <w:t>）支付的其他与筹资活动有关的现金</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分配现金股利保证金及手续费</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1,272,596.98</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29,920,335.00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3,539,900.00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购买索瑞剩余少数股东权益价款</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129,500,000.00</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支付索瑞</w:t>
            </w:r>
            <w:r>
              <w:rPr>
                <w:rFonts w:ascii="宋体" w:hAnsi="宋体" w:cs="宋体" w:eastAsia="宋体" w:hint="default"/>
                <w:spacing w:val="-46"/>
                <w:sz w:val="18"/>
                <w:szCs w:val="18"/>
              </w:rPr>
              <w:t> </w:t>
            </w:r>
            <w:r>
              <w:rPr>
                <w:rFonts w:ascii="宋体" w:hAnsi="宋体" w:cs="宋体" w:eastAsia="宋体" w:hint="default"/>
                <w:sz w:val="18"/>
                <w:szCs w:val="18"/>
              </w:rPr>
              <w:t>14-16</w:t>
            </w:r>
            <w:r>
              <w:rPr>
                <w:rFonts w:ascii="宋体" w:hAnsi="宋体" w:cs="宋体" w:eastAsia="宋体" w:hint="default"/>
                <w:spacing w:val="-46"/>
                <w:sz w:val="18"/>
                <w:szCs w:val="18"/>
              </w:rPr>
              <w:t> </w:t>
            </w:r>
            <w:r>
              <w:rPr>
                <w:rFonts w:ascii="宋体" w:hAnsi="宋体" w:cs="宋体" w:eastAsia="宋体" w:hint="default"/>
                <w:sz w:val="18"/>
                <w:szCs w:val="18"/>
              </w:rPr>
              <w:t>年业绩奖励款</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2,298,781.41</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支付的关联方有息负债</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6,289,000.00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36,209,335.00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136,611,278.39</w:t>
            </w:r>
          </w:p>
        </w:tc>
      </w:tr>
    </w:tbl>
    <w:p>
      <w:pPr>
        <w:pStyle w:val="BodyText"/>
        <w:spacing w:line="408" w:lineRule="auto" w:before="63"/>
        <w:ind w:left="574" w:right="1512" w:hanging="420"/>
        <w:jc w:val="left"/>
      </w:pPr>
      <w:r>
        <w:rPr/>
        <w:t>支付的其他与筹资活动有关的现金说明： 本期较上期减少</w:t>
      </w:r>
      <w:r>
        <w:rPr>
          <w:rFonts w:ascii="宋体" w:hAnsi="宋体" w:cs="宋体" w:eastAsia="宋体" w:hint="default"/>
        </w:rPr>
        <w:t>100,401,943.39</w:t>
      </w:r>
      <w:r>
        <w:rPr/>
        <w:t>元，主要原因为上期使用现金收购了索瑞电气少数股东的股权。</w:t>
      </w:r>
    </w:p>
    <w:p>
      <w:pPr>
        <w:pStyle w:val="Heading4"/>
        <w:spacing w:line="240" w:lineRule="auto" w:before="46"/>
        <w:ind w:right="1122"/>
        <w:jc w:val="left"/>
        <w:rPr>
          <w:b w:val="0"/>
          <w:bCs w:val="0"/>
        </w:rPr>
      </w:pPr>
      <w:bookmarkStart w:name="68、现金流量表补充资料" w:id="368"/>
      <w:bookmarkEnd w:id="368"/>
      <w:r>
        <w:rPr>
          <w:b w:val="0"/>
          <w:bCs w:val="0"/>
        </w:rPr>
      </w:r>
      <w:r>
        <w:rPr>
          <w:rFonts w:ascii="宋体" w:hAnsi="宋体" w:cs="宋体" w:eastAsia="宋体" w:hint="default"/>
        </w:rPr>
        <w:t>68</w:t>
      </w:r>
      <w:r>
        <w:rPr/>
        <w:t>、现金流量表补充资料</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2"/>
        <w:jc w:val="left"/>
        <w:rPr>
          <w:b w:val="0"/>
          <w:bCs w:val="0"/>
        </w:rPr>
      </w:pPr>
      <w:bookmarkStart w:name="（1）现金流量表补充资料" w:id="369"/>
      <w:bookmarkEnd w:id="369"/>
      <w:r>
        <w:rPr>
          <w:b w:val="0"/>
          <w:bCs w:val="0"/>
        </w:rPr>
      </w:r>
      <w:r>
        <w:rPr/>
        <w:t>（</w:t>
      </w:r>
      <w:r>
        <w:rPr>
          <w:rFonts w:ascii="宋体" w:hAnsi="宋体" w:cs="宋体" w:eastAsia="宋体" w:hint="default"/>
        </w:rPr>
        <w:t>1</w:t>
      </w:r>
      <w:r>
        <w:rPr/>
        <w:t>）现金流量表补充资料</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813"/>
        <w:gridCol w:w="2566"/>
        <w:gridCol w:w="3183"/>
      </w:tblGrid>
      <w:tr>
        <w:trPr>
          <w:trHeight w:val="414" w:hRule="exact"/>
        </w:trPr>
        <w:tc>
          <w:tcPr>
            <w:tcW w:w="38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c>
          <w:tcPr>
            <w:tcW w:w="318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r>
        <w:trPr>
          <w:trHeight w:val="408"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21,490,677.50</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-395,765,392.87</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16,555,430.33</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400,038,543.41</w:t>
            </w:r>
          </w:p>
        </w:tc>
      </w:tr>
      <w:tr>
        <w:trPr>
          <w:trHeight w:val="719"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0"/>
              <w:ind w:left="6" w:right="1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22,324,185.75</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20,279,538.41</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1,575,960.35</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5,762,795.41</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66"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726" w:hRule="exact"/>
        </w:trPr>
        <w:tc>
          <w:tcPr>
            <w:tcW w:w="38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56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-33,559,923.90</w:t>
            </w:r>
          </w:p>
        </w:tc>
        <w:tc>
          <w:tcPr>
            <w:tcW w:w="31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-4,552,147.94</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805"/>
        <w:gridCol w:w="2573"/>
        <w:gridCol w:w="3183"/>
      </w:tblGrid>
      <w:tr>
        <w:trPr>
          <w:trHeight w:val="415" w:hRule="exact"/>
        </w:trPr>
        <w:tc>
          <w:tcPr>
            <w:tcW w:w="380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7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37,099.66</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118,430.34</w:t>
            </w: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73"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7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30,498,628.15</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10,339,681.87</w:t>
            </w: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7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-16,051,752.54</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1,509,764.86</w:t>
            </w: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7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-1,921,461.13</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547,930.98</w:t>
            </w:r>
          </w:p>
        </w:tc>
      </w:tr>
      <w:tr>
        <w:trPr>
          <w:trHeight w:val="408"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7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-151,710.14</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-1,981,032.16</w:t>
            </w: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7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-6,467,731.63</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-10,135,239.15</w:t>
            </w: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4"/>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7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73,057,620.91</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147,385,015.27</w:t>
            </w: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4"/>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7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-60,935,841.76</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-187,678,541.92</w:t>
            </w: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7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-3,609,933.81</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3,519,723.81</w:t>
            </w: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7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42,841,247.74</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-10,610,929.68</w:t>
            </w:r>
          </w:p>
        </w:tc>
      </w:tr>
      <w:tr>
        <w:trPr>
          <w:trHeight w:val="408"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 w:right="0"/>
              <w:jc w:val="center"/>
              <w:rPr>
                <w:rFonts w:ascii="宋体" w:hAnsi="宋体" w:cs="宋体" w:eastAsia="宋体" w:hint="default"/>
                <w:sz w:val="18"/>
                <w:szCs w:val="18"/>
              </w:rPr>
            </w:pPr>
            <w:r>
              <w:rPr>
                <w:rFonts w:ascii="宋体"/>
                <w:sz w:val="18"/>
              </w:rPr>
              <w:t>--</w:t>
            </w:r>
          </w:p>
        </w:tc>
        <w:tc>
          <w:tcPr>
            <w:tcW w:w="318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73"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73"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73"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 w:right="0"/>
              <w:jc w:val="center"/>
              <w:rPr>
                <w:rFonts w:ascii="宋体" w:hAnsi="宋体" w:cs="宋体" w:eastAsia="宋体" w:hint="default"/>
                <w:sz w:val="18"/>
                <w:szCs w:val="18"/>
              </w:rPr>
            </w:pPr>
            <w:r>
              <w:rPr>
                <w:rFonts w:ascii="宋体"/>
                <w:sz w:val="18"/>
              </w:rPr>
              <w:t>--</w:t>
            </w:r>
          </w:p>
        </w:tc>
        <w:tc>
          <w:tcPr>
            <w:tcW w:w="318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7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84,091,363.73</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189,290,276.68</w:t>
            </w:r>
          </w:p>
        </w:tc>
      </w:tr>
      <w:tr>
        <w:trPr>
          <w:trHeight w:val="408"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7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189,290,276.68</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290,575,198.65</w:t>
            </w: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73"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8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73"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380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7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-105,198,912.95</w:t>
            </w:r>
          </w:p>
        </w:tc>
        <w:tc>
          <w:tcPr>
            <w:tcW w:w="31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-101,284,921.97</w:t>
            </w:r>
          </w:p>
        </w:tc>
      </w:tr>
    </w:tbl>
    <w:p>
      <w:pPr>
        <w:pStyle w:val="Heading4"/>
        <w:spacing w:line="240" w:lineRule="auto" w:before="63"/>
        <w:ind w:right="1122"/>
        <w:jc w:val="left"/>
        <w:rPr>
          <w:b w:val="0"/>
          <w:bCs w:val="0"/>
        </w:rPr>
      </w:pPr>
      <w:bookmarkStart w:name="（2）本期支付的取得子公司的现金净额" w:id="370"/>
      <w:bookmarkEnd w:id="370"/>
      <w:r>
        <w:rPr>
          <w:b w:val="0"/>
          <w:bCs w:val="0"/>
        </w:rPr>
      </w:r>
      <w:r>
        <w:rPr/>
        <w:t>（</w:t>
      </w:r>
      <w:r>
        <w:rPr>
          <w:rFonts w:ascii="宋体" w:hAnsi="宋体" w:cs="宋体" w:eastAsia="宋体" w:hint="default"/>
        </w:rPr>
        <w:t>2</w:t>
      </w:r>
      <w:r>
        <w:rPr/>
        <w:t>）本期支付的取得子公司的现金净额</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3）本期收到的处置子公司的现金净额" w:id="371"/>
      <w:bookmarkEnd w:id="371"/>
      <w:r>
        <w:rPr>
          <w:b w:val="0"/>
          <w:bCs w:val="0"/>
        </w:rPr>
      </w:r>
      <w:r>
        <w:rPr/>
        <w:t>（</w:t>
      </w:r>
      <w:r>
        <w:rPr>
          <w:rFonts w:ascii="宋体" w:hAnsi="宋体" w:cs="宋体" w:eastAsia="宋体" w:hint="default"/>
        </w:rPr>
        <w:t>3</w:t>
      </w:r>
      <w:r>
        <w:rPr/>
        <w:t>）本期收到的处置子公司的现金净额</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4）现金和现金等价物的构成" w:id="372"/>
      <w:bookmarkEnd w:id="372"/>
      <w:r>
        <w:rPr>
          <w:b w:val="0"/>
          <w:bCs w:val="0"/>
        </w:rPr>
      </w:r>
      <w:r>
        <w:rPr/>
        <w:t>（</w:t>
      </w:r>
      <w:r>
        <w:rPr>
          <w:rFonts w:ascii="宋体" w:hAnsi="宋体" w:cs="宋体" w:eastAsia="宋体" w:hint="default"/>
        </w:rPr>
        <w:t>4</w:t>
      </w:r>
      <w:r>
        <w:rPr/>
        <w:t>）现金和现金等价物的构成</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11"/>
        <w:gridCol w:w="3068"/>
        <w:gridCol w:w="3183"/>
      </w:tblGrid>
      <w:tr>
        <w:trPr>
          <w:trHeight w:val="413" w:hRule="exact"/>
        </w:trPr>
        <w:tc>
          <w:tcPr>
            <w:tcW w:w="331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84,091,363.73</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189,290,276.68</w:t>
            </w: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258,185.05</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335,216.33</w:t>
            </w: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83,833,178.68</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188,955,060.35</w:t>
            </w:r>
          </w:p>
        </w:tc>
      </w:tr>
      <w:tr>
        <w:trPr>
          <w:trHeight w:val="415" w:hRule="exact"/>
        </w:trPr>
        <w:tc>
          <w:tcPr>
            <w:tcW w:w="331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84,091,363.73</w:t>
            </w:r>
          </w:p>
        </w:tc>
        <w:tc>
          <w:tcPr>
            <w:tcW w:w="31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189,290,276.68</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1122"/>
        <w:jc w:val="left"/>
      </w:pPr>
      <w:r>
        <w:rPr/>
        <w:t>其他说明：</w:t>
      </w:r>
    </w:p>
    <w:p>
      <w:pPr>
        <w:spacing w:line="240" w:lineRule="auto" w:before="10"/>
        <w:rPr>
          <w:rFonts w:ascii="宋体" w:hAnsi="宋体" w:cs="宋体" w:eastAsia="宋体" w:hint="default"/>
          <w:sz w:val="14"/>
          <w:szCs w:val="14"/>
        </w:rPr>
      </w:pPr>
    </w:p>
    <w:p>
      <w:pPr>
        <w:spacing w:line="408" w:lineRule="auto" w:before="0"/>
        <w:ind w:left="154" w:right="3822" w:firstLine="420"/>
        <w:jc w:val="left"/>
        <w:rPr>
          <w:rFonts w:ascii="宋体" w:hAnsi="宋体" w:cs="宋体" w:eastAsia="宋体" w:hint="default"/>
          <w:sz w:val="21"/>
          <w:szCs w:val="21"/>
        </w:rPr>
      </w:pPr>
      <w:r>
        <w:rPr>
          <w:rFonts w:ascii="宋体" w:hAnsi="宋体" w:cs="宋体" w:eastAsia="宋体" w:hint="default"/>
          <w:sz w:val="21"/>
          <w:szCs w:val="21"/>
        </w:rPr>
        <w:t>期末使用权收到限制的货币资金为</w:t>
      </w:r>
      <w:r>
        <w:rPr>
          <w:rFonts w:ascii="宋体" w:hAnsi="宋体" w:cs="宋体" w:eastAsia="宋体" w:hint="default"/>
          <w:sz w:val="21"/>
          <w:szCs w:val="21"/>
        </w:rPr>
        <w:t>8,714,226.35</w:t>
      </w:r>
      <w:r>
        <w:rPr>
          <w:rFonts w:ascii="宋体" w:hAnsi="宋体" w:cs="宋体" w:eastAsia="宋体" w:hint="default"/>
          <w:sz w:val="21"/>
          <w:szCs w:val="21"/>
        </w:rPr>
        <w:t>元，主要为保证金等。 </w:t>
      </w:r>
      <w:bookmarkStart w:name="69、所有者权益变动表项目注释" w:id="373"/>
      <w:bookmarkEnd w:id="373"/>
      <w:r>
        <w:rPr>
          <w:rFonts w:ascii="宋体" w:hAnsi="宋体" w:cs="宋体" w:eastAsia="宋体" w:hint="default"/>
          <w:sz w:val="21"/>
          <w:szCs w:val="21"/>
        </w:rPr>
      </w:r>
      <w:r>
        <w:rPr>
          <w:rFonts w:ascii="宋体" w:hAnsi="宋体" w:cs="宋体" w:eastAsia="宋体"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408" w:lineRule="auto" w:before="46"/>
        <w:ind w:left="154" w:right="737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0、所有权或使用权受到限制的资产" w:id="374"/>
      <w:bookmarkEnd w:id="374"/>
      <w:r>
        <w:rPr>
          <w:rFonts w:ascii="宋体" w:hAnsi="宋体" w:cs="宋体" w:eastAsia="宋体" w:hint="default"/>
          <w:sz w:val="21"/>
          <w:szCs w:val="21"/>
        </w:rPr>
      </w:r>
      <w:r>
        <w:rPr>
          <w:rFonts w:ascii="宋体" w:hAnsi="宋体" w:cs="宋体" w:eastAsia="宋体"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329"/>
        <w:gridCol w:w="3057"/>
        <w:gridCol w:w="3183"/>
      </w:tblGrid>
      <w:tr>
        <w:trPr>
          <w:trHeight w:val="415" w:hRule="exact"/>
        </w:trPr>
        <w:tc>
          <w:tcPr>
            <w:tcW w:w="332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8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8,714,226.35</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237,575,677.74</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74,916,009.20</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子公司索瑞电气</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611,310,800.00</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w:t>
            </w:r>
            <w:r>
              <w:rPr>
                <w:rFonts w:ascii="宋体" w:hAnsi="宋体" w:cs="宋体" w:eastAsia="宋体" w:hint="default"/>
                <w:sz w:val="18"/>
                <w:szCs w:val="18"/>
              </w:rPr>
              <w:t>土地使用权</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12,395,800.96</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16" w:hRule="exact"/>
        </w:trPr>
        <w:tc>
          <w:tcPr>
            <w:tcW w:w="332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944,912,514.25</w:t>
            </w:r>
          </w:p>
        </w:tc>
        <w:tc>
          <w:tcPr>
            <w:tcW w:w="3183"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4"/>
          <w:szCs w:val="14"/>
        </w:rPr>
      </w:pPr>
    </w:p>
    <w:p>
      <w:pPr>
        <w:pStyle w:val="Heading4"/>
        <w:spacing w:line="240" w:lineRule="auto" w:before="35"/>
        <w:ind w:right="1122"/>
        <w:jc w:val="left"/>
        <w:rPr>
          <w:b w:val="0"/>
          <w:bCs w:val="0"/>
        </w:rPr>
      </w:pPr>
      <w:bookmarkStart w:name="71、外币货币性项目" w:id="375"/>
      <w:bookmarkEnd w:id="375"/>
      <w:r>
        <w:rPr>
          <w:b w:val="0"/>
          <w:bCs w:val="0"/>
        </w:rPr>
      </w:r>
      <w:r>
        <w:rPr>
          <w:rFonts w:ascii="宋体" w:hAnsi="宋体" w:cs="宋体" w:eastAsia="宋体" w:hint="default"/>
        </w:rPr>
        <w:t>71</w:t>
      </w:r>
      <w:r>
        <w:rPr/>
        <w:t>、外币货币性项目</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2"/>
        <w:jc w:val="left"/>
        <w:rPr>
          <w:b w:val="0"/>
          <w:bCs w:val="0"/>
        </w:rPr>
      </w:pPr>
      <w:bookmarkStart w:name="（1）外币货币性项目" w:id="376"/>
      <w:bookmarkEnd w:id="376"/>
      <w:r>
        <w:rPr>
          <w:b w:val="0"/>
          <w:bCs w:val="0"/>
        </w:rPr>
      </w:r>
      <w:r>
        <w:rPr/>
        <w:t>（</w:t>
      </w:r>
      <w:r>
        <w:rPr>
          <w:rFonts w:ascii="宋体" w:hAnsi="宋体" w:cs="宋体" w:eastAsia="宋体" w:hint="default"/>
        </w:rPr>
        <w:t>1</w:t>
      </w:r>
      <w:r>
        <w:rPr/>
        <w:t>）外币货币性项目</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408" w:lineRule="auto"/>
        <w:ind w:right="1122"/>
        <w:jc w:val="left"/>
        <w:rPr>
          <w:b w:val="0"/>
          <w:bCs w:val="0"/>
        </w:rPr>
      </w:pPr>
      <w:bookmarkStart w:name="（2）境外经营实体说明，包括对于重要的境外经营实体，应披露其境外主要经营地、记账" w:id="377"/>
      <w:bookmarkEnd w:id="377"/>
      <w:r>
        <w:rPr>
          <w:b w:val="0"/>
          <w:bCs w:val="0"/>
        </w:rPr>
      </w:r>
      <w:r>
        <w:rPr/>
        <w:t>（</w:t>
      </w:r>
      <w:r>
        <w:rPr>
          <w:rFonts w:ascii="宋体" w:hAnsi="宋体" w:cs="宋体" w:eastAsia="宋体"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2、套期" w:id="378"/>
      <w:bookmarkEnd w:id="378"/>
      <w:r>
        <w:rPr>
          <w:rFonts w:ascii="宋体" w:hAnsi="宋体" w:cs="宋体" w:eastAsia="宋体" w:hint="default"/>
          <w:sz w:val="21"/>
          <w:szCs w:val="21"/>
        </w:rPr>
      </w:r>
      <w:r>
        <w:rPr>
          <w:rFonts w:ascii="宋体" w:hAnsi="宋体" w:cs="宋体" w:eastAsia="宋体" w:hint="default"/>
          <w:b/>
          <w:bCs/>
          <w:sz w:val="21"/>
          <w:szCs w:val="21"/>
        </w:rPr>
        <w:t>72</w:t>
      </w:r>
      <w:r>
        <w:rPr>
          <w:rFonts w:ascii="宋体" w:hAnsi="宋体" w:cs="宋体" w:eastAsia="宋体" w:hint="default"/>
          <w:b/>
          <w:bCs/>
          <w:sz w:val="21"/>
          <w:szCs w:val="21"/>
        </w:rPr>
        <w:t>、套期</w:t>
      </w:r>
      <w:r>
        <w:rPr>
          <w:rFonts w:ascii="宋体" w:hAnsi="宋体" w:cs="宋体" w:eastAsia="宋体" w:hint="default"/>
          <w:sz w:val="21"/>
          <w:szCs w:val="21"/>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3、政府补助" w:id="379"/>
      <w:bookmarkEnd w:id="379"/>
      <w:r>
        <w:rPr>
          <w:rFonts w:ascii="宋体" w:hAnsi="宋体" w:cs="宋体" w:eastAsia="宋体" w:hint="default"/>
          <w:sz w:val="21"/>
          <w:szCs w:val="21"/>
        </w:rPr>
      </w:r>
      <w:r>
        <w:rPr>
          <w:rFonts w:ascii="宋体" w:hAnsi="宋体" w:cs="宋体" w:eastAsia="宋体" w:hint="default"/>
          <w:b/>
          <w:bCs/>
          <w:sz w:val="21"/>
          <w:szCs w:val="21"/>
        </w:rPr>
        <w:t>73</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4"/>
        <w:spacing w:line="240" w:lineRule="auto" w:before="46"/>
        <w:ind w:right="1122"/>
        <w:jc w:val="left"/>
        <w:rPr>
          <w:b w:val="0"/>
          <w:bCs w:val="0"/>
        </w:rPr>
      </w:pPr>
      <w:bookmarkStart w:name="（1）政府补助基本情况" w:id="380"/>
      <w:bookmarkEnd w:id="380"/>
      <w:r>
        <w:rPr>
          <w:b w:val="0"/>
          <w:bCs w:val="0"/>
        </w:rPr>
      </w:r>
      <w:r>
        <w:rPr/>
        <w:t>（</w:t>
      </w:r>
      <w:r>
        <w:rPr>
          <w:rFonts w:ascii="宋体" w:hAnsi="宋体" w:cs="宋体" w:eastAsia="宋体" w:hint="default"/>
        </w:rPr>
        <w:t>1</w:t>
      </w:r>
      <w:r>
        <w:rPr/>
        <w:t>）政府补助基本情况</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537"/>
        <w:gridCol w:w="1702"/>
        <w:gridCol w:w="1275"/>
        <w:gridCol w:w="2055"/>
      </w:tblGrid>
      <w:tr>
        <w:trPr>
          <w:trHeight w:val="415" w:hRule="exact"/>
        </w:trPr>
        <w:tc>
          <w:tcPr>
            <w:tcW w:w="45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种类</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268"/>
              <w:jc w:val="right"/>
              <w:rPr>
                <w:rFonts w:ascii="宋体" w:hAnsi="宋体" w:cs="宋体" w:eastAsia="宋体" w:hint="default"/>
                <w:sz w:val="18"/>
                <w:szCs w:val="18"/>
              </w:rPr>
            </w:pPr>
            <w:r>
              <w:rPr>
                <w:rFonts w:ascii="宋体" w:hAnsi="宋体" w:cs="宋体" w:eastAsia="宋体" w:hint="default"/>
                <w:sz w:val="18"/>
                <w:szCs w:val="18"/>
              </w:rPr>
              <w:t>列报项目</w:t>
            </w:r>
          </w:p>
        </w:tc>
        <w:tc>
          <w:tcPr>
            <w:tcW w:w="205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双软企业增值税退税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2,846,139.07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2,846,139.07</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年度国家智能电网产业集聚发展试点重点项目补助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4,916,266.47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4,916,266.47</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软件信息产业专项资金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205,000.00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205,000.00</w:t>
            </w:r>
          </w:p>
        </w:tc>
      </w:tr>
      <w:tr>
        <w:trPr>
          <w:trHeight w:val="408"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专利产业化</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10,600.00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10,600.00</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专利补助经费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2,000.00</w:t>
            </w:r>
          </w:p>
        </w:tc>
      </w:tr>
      <w:tr>
        <w:trPr>
          <w:trHeight w:val="415" w:hRule="exact"/>
        </w:trPr>
        <w:tc>
          <w:tcPr>
            <w:tcW w:w="45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新兴产业引导专项资金项目（第二批）</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150,000.00</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150,000.00</w:t>
            </w:r>
          </w:p>
        </w:tc>
      </w:tr>
    </w:tbl>
    <w:p>
      <w:pPr>
        <w:spacing w:after="0" w:line="240" w:lineRule="auto"/>
        <w:jc w:val="righ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537"/>
        <w:gridCol w:w="1702"/>
        <w:gridCol w:w="1275"/>
        <w:gridCol w:w="2055"/>
      </w:tblGrid>
      <w:tr>
        <w:trPr>
          <w:trHeight w:val="415" w:hRule="exact"/>
        </w:trPr>
        <w:tc>
          <w:tcPr>
            <w:tcW w:w="45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种类</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268"/>
              <w:jc w:val="right"/>
              <w:rPr>
                <w:rFonts w:ascii="宋体" w:hAnsi="宋体" w:cs="宋体" w:eastAsia="宋体" w:hint="default"/>
                <w:sz w:val="18"/>
                <w:szCs w:val="18"/>
              </w:rPr>
            </w:pPr>
            <w:r>
              <w:rPr>
                <w:rFonts w:ascii="宋体" w:hAnsi="宋体" w:cs="宋体" w:eastAsia="宋体" w:hint="default"/>
                <w:sz w:val="18"/>
                <w:szCs w:val="18"/>
              </w:rPr>
              <w:t>列报项目</w:t>
            </w:r>
          </w:p>
        </w:tc>
        <w:tc>
          <w:tcPr>
            <w:tcW w:w="205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157,775.20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157,775.20</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年省级工业和信息产业转型升级专项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300,000.00</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知识产权创新成果补助资金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12,100.00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12,100.00</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车辆淘汰补贴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79,000.00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79,000.00</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年度企业研究开发费用省级财政奖励资金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1,055,100.00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1,055,100.00</w:t>
            </w:r>
          </w:p>
        </w:tc>
      </w:tr>
      <w:tr>
        <w:trPr>
          <w:trHeight w:val="408"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中小微工业企业发展专项资金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50,000.00</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高企市入库奖励</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260,000.00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260,000.00</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节能专项资金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100,000.00</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自动化项目集中供料系统政府补助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553,825.80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553,825.80</w:t>
            </w:r>
          </w:p>
        </w:tc>
      </w:tr>
      <w:tr>
        <w:trPr>
          <w:trHeight w:val="407"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公安县经济和信息化局经济建设奖励</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260,000.00</w:t>
            </w:r>
          </w:p>
        </w:tc>
      </w:tr>
      <w:tr>
        <w:trPr>
          <w:trHeight w:val="415" w:hRule="exact"/>
        </w:trPr>
        <w:tc>
          <w:tcPr>
            <w:tcW w:w="45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个税手续费返还款</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93,674.10</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6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93,674.10</w:t>
            </w:r>
          </w:p>
        </w:tc>
      </w:tr>
    </w:tbl>
    <w:p>
      <w:pPr>
        <w:pStyle w:val="Heading4"/>
        <w:spacing w:line="240" w:lineRule="auto" w:before="63"/>
        <w:ind w:right="1122"/>
        <w:jc w:val="left"/>
        <w:rPr>
          <w:b w:val="0"/>
          <w:bCs w:val="0"/>
        </w:rPr>
      </w:pPr>
      <w:bookmarkStart w:name="（2）政府补助退回情况" w:id="381"/>
      <w:bookmarkEnd w:id="381"/>
      <w:r>
        <w:rPr>
          <w:b w:val="0"/>
          <w:bCs w:val="0"/>
        </w:rPr>
      </w:r>
      <w:r>
        <w:rPr/>
        <w:t>（</w:t>
      </w:r>
      <w:r>
        <w:rPr>
          <w:rFonts w:ascii="宋体" w:hAnsi="宋体" w:cs="宋体" w:eastAsia="宋体" w:hint="default"/>
        </w:rPr>
        <w:t>2</w:t>
      </w:r>
      <w:r>
        <w:rPr/>
        <w:t>）政府补助退回情况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4、其他" w:id="382"/>
      <w:bookmarkEnd w:id="382"/>
      <w:r>
        <w:rPr>
          <w:rFonts w:ascii="宋体" w:hAnsi="宋体" w:cs="宋体" w:eastAsia="宋体" w:hint="default"/>
          <w:sz w:val="21"/>
          <w:szCs w:val="21"/>
        </w:rPr>
      </w:r>
      <w:r>
        <w:rPr>
          <w:rFonts w:ascii="宋体" w:hAnsi="宋体" w:cs="宋体" w:eastAsia="宋体" w:hint="default"/>
          <w:b/>
          <w:bCs/>
          <w:sz w:val="21"/>
          <w:szCs w:val="21"/>
        </w:rPr>
        <w:t>74</w:t>
      </w:r>
      <w:r>
        <w:rPr>
          <w:rFonts w:ascii="宋体" w:hAnsi="宋体" w:cs="宋体" w:eastAsia="宋体" w:hint="default"/>
          <w:b/>
          <w:bCs/>
          <w:sz w:val="21"/>
          <w:szCs w:val="21"/>
        </w:rPr>
        <w:t>、其他</w:t>
      </w:r>
      <w:r>
        <w:rPr>
          <w:rFonts w:ascii="宋体" w:hAnsi="宋体" w:cs="宋体" w:eastAsia="宋体" w:hint="default"/>
          <w:sz w:val="21"/>
          <w:szCs w:val="21"/>
        </w:rPr>
      </w:r>
    </w:p>
    <w:p>
      <w:pPr>
        <w:spacing w:line="381" w:lineRule="auto" w:before="46"/>
        <w:ind w:left="154" w:right="832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八、合并范围的变更" w:id="383"/>
      <w:bookmarkEnd w:id="383"/>
      <w:r>
        <w:rPr>
          <w:rFonts w:ascii="宋体" w:hAnsi="宋体" w:cs="宋体" w:eastAsia="宋体" w:hint="default"/>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4"/>
      <w:bookmarkEnd w:id="384"/>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69"/>
        <w:ind w:right="1122"/>
        <w:jc w:val="left"/>
        <w:rPr>
          <w:b w:val="0"/>
          <w:bCs w:val="0"/>
        </w:rPr>
      </w:pPr>
      <w:bookmarkStart w:name="（1）本期发生的非同一控制下企业合并" w:id="385"/>
      <w:bookmarkEnd w:id="385"/>
      <w:r>
        <w:rPr>
          <w:b w:val="0"/>
          <w:bCs w:val="0"/>
        </w:rPr>
      </w:r>
      <w:r>
        <w:rPr/>
        <w:t>（</w:t>
      </w:r>
      <w:r>
        <w:rPr>
          <w:rFonts w:ascii="宋体" w:hAnsi="宋体" w:cs="宋体" w:eastAsia="宋体" w:hint="default"/>
        </w:rPr>
        <w:t>1</w:t>
      </w:r>
      <w:r>
        <w:rPr/>
        <w:t>）本期发生的非同一控制下企业合并</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2）合并成本及商誉" w:id="386"/>
      <w:bookmarkEnd w:id="386"/>
      <w:r>
        <w:rPr>
          <w:b w:val="0"/>
          <w:bCs w:val="0"/>
        </w:rPr>
      </w:r>
      <w:r>
        <w:rPr/>
        <w:t>（</w:t>
      </w:r>
      <w:r>
        <w:rPr>
          <w:rFonts w:ascii="宋体" w:hAnsi="宋体" w:cs="宋体" w:eastAsia="宋体" w:hint="default"/>
        </w:rPr>
        <w:t>2</w:t>
      </w:r>
      <w:r>
        <w:rPr/>
        <w:t>）合并成本及商誉</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3）被购买方于购买日可辨认资产、负债" w:id="387"/>
      <w:bookmarkEnd w:id="387"/>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spacing w:line="408" w:lineRule="auto" w:before="0"/>
        <w:ind w:left="154" w:right="4032" w:firstLine="0"/>
        <w:jc w:val="left"/>
        <w:rPr>
          <w:rFonts w:ascii="宋体" w:hAnsi="宋体" w:cs="宋体" w:eastAsia="宋体" w:hint="default"/>
          <w:sz w:val="21"/>
          <w:szCs w:val="21"/>
        </w:rPr>
      </w:pPr>
      <w:bookmarkStart w:name="（4）购买日之前持有的股权按照公允价值重新计量产生的利得或损失" w:id="388"/>
      <w:bookmarkEnd w:id="388"/>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p>
    <w:p>
      <w:pPr>
        <w:pStyle w:val="BodyText"/>
        <w:spacing w:line="240" w:lineRule="auto"/>
        <w:ind w:right="1122"/>
        <w:jc w:val="left"/>
      </w:pPr>
      <w:r>
        <w:rPr/>
        <w:t>□ 是 √ 否</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5）购买日或合并当期期末无法合理确定合并对价或被购买方可辨认资产、负债公允价值" w:id="389"/>
      <w:bookmarkEnd w:id="389"/>
      <w:r>
        <w:rPr>
          <w:b w:val="0"/>
          <w:bCs w:val="0"/>
        </w:rPr>
      </w:r>
      <w:r>
        <w:rPr/>
        <w:t>（</w:t>
      </w:r>
      <w:r>
        <w:rPr>
          <w:rFonts w:ascii="宋体" w:hAnsi="宋体" w:cs="宋体" w:eastAsia="宋体"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6）其他说明" w:id="390"/>
      <w:bookmarkEnd w:id="390"/>
      <w:r>
        <w:rPr>
          <w:b w:val="0"/>
          <w:bCs w:val="0"/>
        </w:rPr>
      </w:r>
      <w:r>
        <w:rPr/>
        <w:t>（</w:t>
      </w:r>
      <w:r>
        <w:rPr>
          <w:rFonts w:ascii="宋体" w:hAnsi="宋体" w:cs="宋体" w:eastAsia="宋体" w:hint="default"/>
        </w:rPr>
        <w:t>6</w:t>
      </w:r>
      <w:r>
        <w:rPr/>
        <w:t>）其他说明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2、同一控制下企业合并" w:id="391"/>
      <w:bookmarkEnd w:id="391"/>
      <w:r>
        <w:rPr>
          <w:b w:val="0"/>
          <w:bCs w:val="0"/>
        </w:rPr>
      </w:r>
      <w:r>
        <w:rPr>
          <w:rFonts w:ascii="宋体" w:hAnsi="宋体" w:cs="宋体" w:eastAsia="宋体" w:hint="default"/>
        </w:rPr>
        <w:t>2</w:t>
      </w:r>
      <w:r>
        <w:rPr/>
        <w:t>、同一控制下企业合并</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2"/>
        <w:jc w:val="left"/>
        <w:rPr>
          <w:b w:val="0"/>
          <w:bCs w:val="0"/>
        </w:rPr>
      </w:pPr>
      <w:bookmarkStart w:name="（1）本期发生的同一控制下企业合并" w:id="392"/>
      <w:bookmarkEnd w:id="392"/>
      <w:r>
        <w:rPr>
          <w:b w:val="0"/>
          <w:bCs w:val="0"/>
        </w:rPr>
      </w:r>
      <w:r>
        <w:rPr/>
        <w:t>（</w:t>
      </w:r>
      <w:r>
        <w:rPr>
          <w:rFonts w:ascii="宋体" w:hAnsi="宋体" w:cs="宋体" w:eastAsia="宋体" w:hint="default"/>
        </w:rPr>
        <w:t>1</w:t>
      </w:r>
      <w:r>
        <w:rPr/>
        <w:t>）本期发生的同一控制下企业合并</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2）合并成本" w:id="393"/>
      <w:bookmarkEnd w:id="393"/>
      <w:r>
        <w:rPr>
          <w:b w:val="0"/>
          <w:bCs w:val="0"/>
        </w:rPr>
      </w:r>
      <w:r>
        <w:rPr/>
        <w:t>（</w:t>
      </w:r>
      <w:r>
        <w:rPr>
          <w:rFonts w:ascii="宋体" w:hAnsi="宋体" w:cs="宋体" w:eastAsia="宋体" w:hint="default"/>
        </w:rPr>
        <w:t>2</w:t>
      </w:r>
      <w:r>
        <w:rPr/>
        <w:t>）合并成本</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3）合并日被合并方资产、负债的账面价值" w:id="394"/>
      <w:bookmarkEnd w:id="394"/>
      <w:r>
        <w:rPr>
          <w:b w:val="0"/>
          <w:bCs w:val="0"/>
        </w:rPr>
      </w:r>
      <w:r>
        <w:rPr/>
        <w:t>（</w:t>
      </w:r>
      <w:r>
        <w:rPr>
          <w:rFonts w:ascii="宋体" w:hAnsi="宋体" w:cs="宋体" w:eastAsia="宋体" w:hint="default"/>
        </w:rPr>
        <w:t>3</w:t>
      </w:r>
      <w:r>
        <w:rPr/>
        <w:t>）合并日被合并方资产、负债的账面价值</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反向购买" w:id="395"/>
      <w:bookmarkEnd w:id="395"/>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处置子公司" w:id="396"/>
      <w:bookmarkEnd w:id="396"/>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pStyle w:val="BodyText"/>
        <w:spacing w:line="240" w:lineRule="auto"/>
        <w:ind w:right="1122"/>
        <w:jc w:val="left"/>
      </w:pPr>
      <w:r>
        <w:rPr/>
        <w:t>是否存在单次处置对子公司投资即丧失控制权的情形</w:t>
      </w:r>
    </w:p>
    <w:p>
      <w:pPr>
        <w:spacing w:line="240" w:lineRule="auto" w:before="10"/>
        <w:rPr>
          <w:rFonts w:ascii="宋体" w:hAnsi="宋体" w:cs="宋体" w:eastAsia="宋体" w:hint="default"/>
          <w:sz w:val="14"/>
          <w:szCs w:val="14"/>
        </w:rPr>
      </w:pPr>
    </w:p>
    <w:p>
      <w:pPr>
        <w:pStyle w:val="BodyText"/>
        <w:spacing w:line="408" w:lineRule="auto" w:before="0"/>
        <w:ind w:right="4032"/>
        <w:jc w:val="left"/>
      </w:pPr>
      <w:r>
        <w:rPr/>
        <w:t>□ 是 √ 否 是否存在通过多次交易分步处置对子公司投资且在本期丧失控制权的情形</w:t>
      </w:r>
    </w:p>
    <w:p>
      <w:pPr>
        <w:spacing w:line="408" w:lineRule="auto" w:before="46"/>
        <w:ind w:left="154" w:right="8116" w:firstLine="0"/>
        <w:jc w:val="left"/>
        <w:rPr>
          <w:rFonts w:ascii="宋体" w:hAnsi="宋体" w:cs="宋体" w:eastAsia="宋体" w:hint="default"/>
          <w:sz w:val="21"/>
          <w:szCs w:val="21"/>
        </w:rPr>
      </w:pPr>
      <w:r>
        <w:rPr>
          <w:rFonts w:ascii="宋体" w:hAnsi="宋体" w:cs="宋体" w:eastAsia="宋体" w:hint="default"/>
          <w:sz w:val="21"/>
          <w:szCs w:val="21"/>
        </w:rPr>
        <w:t>□ 是 √ 否 </w:t>
      </w:r>
      <w:bookmarkStart w:name="5、其他原因的合并范围变动" w:id="397"/>
      <w:bookmarkEnd w:id="397"/>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pStyle w:val="BodyText"/>
        <w:spacing w:line="408" w:lineRule="auto"/>
        <w:ind w:right="1131" w:firstLine="420"/>
        <w:jc w:val="both"/>
      </w:pPr>
      <w:r>
        <w:rPr>
          <w:rFonts w:ascii="宋体" w:hAnsi="宋体" w:cs="宋体" w:eastAsia="宋体" w:hint="default"/>
        </w:rPr>
        <w:t>2018</w:t>
      </w:r>
      <w:r>
        <w:rPr>
          <w:rFonts w:ascii="宋体" w:hAnsi="宋体" w:cs="宋体" w:eastAsia="宋体" w:hint="default"/>
          <w:spacing w:val="-46"/>
        </w:rPr>
        <w:t> </w:t>
      </w:r>
      <w:r>
        <w:rPr/>
        <w:t>年</w:t>
      </w:r>
      <w:r>
        <w:rPr>
          <w:spacing w:val="-49"/>
        </w:rPr>
        <w:t> </w:t>
      </w:r>
      <w:r>
        <w:rPr>
          <w:rFonts w:ascii="宋体" w:hAnsi="宋体" w:cs="宋体" w:eastAsia="宋体" w:hint="default"/>
        </w:rPr>
        <w:t>2</w:t>
      </w:r>
      <w:r>
        <w:rPr>
          <w:rFonts w:ascii="宋体" w:hAnsi="宋体" w:cs="宋体" w:eastAsia="宋体" w:hint="default"/>
          <w:spacing w:val="-47"/>
        </w:rPr>
        <w:t> </w:t>
      </w:r>
      <w:r>
        <w:rPr/>
        <w:t>月</w:t>
      </w:r>
      <w:r>
        <w:rPr>
          <w:spacing w:val="-49"/>
        </w:rPr>
        <w:t> </w:t>
      </w:r>
      <w:r>
        <w:rPr>
          <w:rFonts w:ascii="宋体" w:hAnsi="宋体" w:cs="宋体" w:eastAsia="宋体" w:hint="default"/>
        </w:rPr>
        <w:t>13</w:t>
      </w:r>
      <w:r>
        <w:rPr>
          <w:rFonts w:ascii="宋体" w:hAnsi="宋体" w:cs="宋体" w:eastAsia="宋体" w:hint="default"/>
          <w:spacing w:val="-47"/>
        </w:rPr>
        <w:t> </w:t>
      </w:r>
      <w:r>
        <w:rPr/>
        <w:t>日经第三届董事会第十九次会议审议通过了《关于全资子公司参与设立产业投资基金 </w:t>
      </w:r>
      <w:r>
        <w:rPr>
          <w:spacing w:val="-1"/>
        </w:rPr>
        <w:t>的议案》，同意全资子公司江苏光一贵仁股权投资基金管理有限公司作为普通合伙人出资成立南京领航光</w:t>
      </w:r>
      <w:r>
        <w:rPr>
          <w:spacing w:val="-94"/>
        </w:rPr>
        <w:t> </w:t>
      </w:r>
      <w:r>
        <w:rPr>
          <w:spacing w:val="-94"/>
        </w:rPr>
      </w:r>
      <w:r>
        <w:rPr>
          <w:spacing w:val="-3"/>
        </w:rPr>
        <w:t>一科技产业投资合伙企业（有限合伙），该合伙企业自成立之日起纳入合并范围。</w:t>
      </w:r>
    </w:p>
    <w:p>
      <w:pPr>
        <w:pStyle w:val="BodyText"/>
        <w:spacing w:line="408" w:lineRule="auto"/>
        <w:ind w:right="1132" w:firstLine="420"/>
        <w:jc w:val="both"/>
      </w:pPr>
      <w:r>
        <w:rPr>
          <w:spacing w:val="-1"/>
        </w:rPr>
        <w:t>报告期内，控股子公司南京云商天下信息技术有限公司清算注销了孙公司云商天下信息技术河北有限</w:t>
      </w:r>
      <w:r>
        <w:rPr/>
        <w:t> 公司，自清算后不再纳入公司合并范围。</w:t>
      </w:r>
    </w:p>
    <w:p>
      <w:pPr>
        <w:pStyle w:val="Heading4"/>
        <w:spacing w:line="240" w:lineRule="auto" w:before="46"/>
        <w:ind w:right="1122"/>
        <w:jc w:val="left"/>
        <w:rPr>
          <w:b w:val="0"/>
          <w:bCs w:val="0"/>
        </w:rPr>
      </w:pPr>
      <w:bookmarkStart w:name="6、其他" w:id="398"/>
      <w:bookmarkEnd w:id="398"/>
      <w:r>
        <w:rPr>
          <w:b w:val="0"/>
          <w:bCs w:val="0"/>
        </w:rPr>
      </w:r>
      <w:r>
        <w:rPr>
          <w:rFonts w:ascii="宋体" w:hAnsi="宋体" w:cs="宋体" w:eastAsia="宋体" w:hint="default"/>
        </w:rPr>
        <w:t>6</w:t>
      </w:r>
      <w:r>
        <w:rPr/>
        <w:t>、其他</w:t>
      </w:r>
      <w:r>
        <w:rPr>
          <w:b w:val="0"/>
          <w:bCs w:val="0"/>
        </w:rPr>
      </w:r>
    </w:p>
    <w:p>
      <w:pPr>
        <w:spacing w:line="240" w:lineRule="auto" w:before="10"/>
        <w:rPr>
          <w:rFonts w:ascii="宋体" w:hAnsi="宋体" w:cs="宋体" w:eastAsia="宋体" w:hint="default"/>
          <w:b/>
          <w:bCs/>
          <w:sz w:val="14"/>
          <w:szCs w:val="14"/>
        </w:rPr>
      </w:pPr>
    </w:p>
    <w:p>
      <w:pPr>
        <w:spacing w:line="381" w:lineRule="auto" w:before="0"/>
        <w:ind w:left="154" w:right="655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九、在其他主体中的权益" w:id="399"/>
      <w:bookmarkEnd w:id="399"/>
      <w:r>
        <w:rPr>
          <w:rFonts w:ascii="宋体" w:hAnsi="宋体" w:cs="宋体" w:eastAsia="宋体" w:hint="default"/>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bookmarkStart w:name="1、在子公司中的权益" w:id="400"/>
      <w:bookmarkEnd w:id="400"/>
      <w:r>
        <w:rPr>
          <w:rFonts w:ascii="宋体" w:hAnsi="宋体" w:cs="宋体" w:eastAsia="宋体" w:hint="default"/>
          <w:b/>
          <w:bCs/>
          <w:spacing w:val="7"/>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69"/>
        <w:ind w:right="1122"/>
        <w:jc w:val="left"/>
        <w:rPr>
          <w:b w:val="0"/>
          <w:bCs w:val="0"/>
        </w:rPr>
      </w:pPr>
      <w:bookmarkStart w:name="（1）企业集团的构成" w:id="401"/>
      <w:bookmarkEnd w:id="401"/>
      <w:r>
        <w:rPr>
          <w:b w:val="0"/>
          <w:bCs w:val="0"/>
        </w:rPr>
      </w: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1373"/>
        <w:gridCol w:w="1038"/>
        <w:gridCol w:w="802"/>
        <w:gridCol w:w="3480"/>
        <w:gridCol w:w="939"/>
        <w:gridCol w:w="982"/>
        <w:gridCol w:w="959"/>
      </w:tblGrid>
      <w:tr>
        <w:trPr>
          <w:trHeight w:val="415" w:hRule="exact"/>
        </w:trPr>
        <w:tc>
          <w:tcPr>
            <w:tcW w:w="137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38"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02"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480"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920"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59"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7" w:hRule="exact"/>
        </w:trPr>
        <w:tc>
          <w:tcPr>
            <w:tcW w:w="1373" w:type="dxa"/>
            <w:vMerge/>
            <w:tcBorders>
              <w:left w:val="single" w:sz="12" w:space="0" w:color="000000"/>
              <w:bottom w:val="single" w:sz="6" w:space="0" w:color="000000"/>
              <w:right w:val="single" w:sz="6" w:space="0" w:color="000000"/>
            </w:tcBorders>
            <w:shd w:val="clear" w:color="auto" w:fill="D2D2D2"/>
          </w:tcPr>
          <w:p>
            <w:pPr/>
          </w:p>
        </w:tc>
        <w:tc>
          <w:tcPr>
            <w:tcW w:w="1038" w:type="dxa"/>
            <w:vMerge/>
            <w:tcBorders>
              <w:left w:val="single" w:sz="6" w:space="0" w:color="000000"/>
              <w:bottom w:val="single" w:sz="6" w:space="0" w:color="000000"/>
              <w:right w:val="single" w:sz="6" w:space="0" w:color="000000"/>
            </w:tcBorders>
            <w:shd w:val="clear" w:color="auto" w:fill="D2D2D2"/>
          </w:tcPr>
          <w:p>
            <w:pPr/>
          </w:p>
        </w:tc>
        <w:tc>
          <w:tcPr>
            <w:tcW w:w="802" w:type="dxa"/>
            <w:vMerge/>
            <w:tcBorders>
              <w:left w:val="single" w:sz="6" w:space="0" w:color="000000"/>
              <w:bottom w:val="single" w:sz="6" w:space="0" w:color="000000"/>
              <w:right w:val="single" w:sz="6" w:space="0" w:color="000000"/>
            </w:tcBorders>
            <w:shd w:val="clear" w:color="auto" w:fill="D2D2D2"/>
          </w:tcPr>
          <w:p>
            <w:pPr/>
          </w:p>
        </w:tc>
        <w:tc>
          <w:tcPr>
            <w:tcW w:w="3480" w:type="dxa"/>
            <w:vMerge/>
            <w:tcBorders>
              <w:left w:val="single" w:sz="6" w:space="0" w:color="000000"/>
              <w:bottom w:val="single" w:sz="6" w:space="0" w:color="000000"/>
              <w:right w:val="single" w:sz="6" w:space="0" w:color="000000"/>
            </w:tcBorders>
            <w:shd w:val="clear" w:color="auto" w:fill="D2D2D2"/>
          </w:tcPr>
          <w:p>
            <w:pPr/>
          </w:p>
        </w:tc>
        <w:tc>
          <w:tcPr>
            <w:tcW w:w="9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59" w:type="dxa"/>
            <w:vMerge/>
            <w:tcBorders>
              <w:left w:val="single" w:sz="6" w:space="0" w:color="000000"/>
              <w:bottom w:val="single" w:sz="6" w:space="0" w:color="000000"/>
              <w:right w:val="single" w:sz="12" w:space="0" w:color="000000"/>
            </w:tcBorders>
            <w:shd w:val="clear" w:color="auto" w:fill="D2D2D2"/>
          </w:tcPr>
          <w:p>
            <w:pPr/>
          </w:p>
        </w:tc>
      </w:tr>
      <w:tr>
        <w:trPr>
          <w:trHeight w:val="719"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75"/>
              <w:jc w:val="left"/>
              <w:rPr>
                <w:rFonts w:ascii="宋体" w:hAnsi="宋体" w:cs="宋体" w:eastAsia="宋体" w:hint="default"/>
                <w:sz w:val="18"/>
                <w:szCs w:val="18"/>
              </w:rPr>
            </w:pPr>
            <w:r>
              <w:rPr>
                <w:rFonts w:ascii="宋体" w:hAnsi="宋体" w:cs="宋体" w:eastAsia="宋体" w:hint="default"/>
                <w:sz w:val="18"/>
                <w:szCs w:val="18"/>
              </w:rPr>
              <w:t>江苏苏源光一科 技有限公司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江苏南京</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23"/>
              <w:jc w:val="left"/>
              <w:rPr>
                <w:rFonts w:ascii="宋体" w:hAnsi="宋体" w:cs="宋体" w:eastAsia="宋体" w:hint="default"/>
                <w:sz w:val="18"/>
                <w:szCs w:val="18"/>
              </w:rPr>
            </w:pPr>
            <w:r>
              <w:rPr>
                <w:rFonts w:ascii="宋体" w:hAnsi="宋体" w:cs="宋体" w:eastAsia="宋体" w:hint="default"/>
                <w:sz w:val="18"/>
                <w:szCs w:val="18"/>
              </w:rPr>
              <w:t>电子计算机软件系统开发、生产和销售；能 源管理；设备开发、生产、销售</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sz w:val="18"/>
              </w:rPr>
              <w:t>100.00%</w:t>
            </w:r>
          </w:p>
        </w:tc>
        <w:tc>
          <w:tcPr>
            <w:tcW w:w="98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15" w:hRule="exact"/>
        </w:trPr>
        <w:tc>
          <w:tcPr>
            <w:tcW w:w="13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1"/>
              <w:ind w:left="13" w:right="0"/>
              <w:jc w:val="left"/>
              <w:rPr>
                <w:rFonts w:ascii="宋体" w:hAnsi="宋体" w:cs="宋体" w:eastAsia="宋体" w:hint="default"/>
                <w:sz w:val="18"/>
                <w:szCs w:val="18"/>
              </w:rPr>
            </w:pPr>
            <w:r>
              <w:rPr>
                <w:rFonts w:ascii="宋体" w:hAnsi="宋体" w:cs="宋体" w:eastAsia="宋体" w:hint="default"/>
                <w:sz w:val="18"/>
                <w:szCs w:val="18"/>
              </w:rPr>
              <w:t>南京智友尚云信</w:t>
            </w:r>
          </w:p>
        </w:tc>
        <w:tc>
          <w:tcPr>
            <w:tcW w:w="10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江苏南京</w:t>
            </w:r>
          </w:p>
        </w:tc>
        <w:tc>
          <w:tcPr>
            <w:tcW w:w="34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信息技术的开发、服务</w:t>
            </w:r>
          </w:p>
        </w:tc>
        <w:tc>
          <w:tcPr>
            <w:tcW w:w="9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100.00%</w:t>
            </w:r>
          </w:p>
        </w:tc>
        <w:tc>
          <w:tcPr>
            <w:tcW w:w="982" w:type="dxa"/>
            <w:tcBorders>
              <w:top w:val="single" w:sz="6" w:space="0" w:color="000000"/>
              <w:left w:val="single" w:sz="6" w:space="0" w:color="000000"/>
              <w:bottom w:val="single" w:sz="12" w:space="0" w:color="000000"/>
              <w:right w:val="single" w:sz="6" w:space="0" w:color="000000"/>
            </w:tcBorders>
          </w:tcPr>
          <w:p>
            <w:pPr/>
          </w:p>
        </w:tc>
        <w:tc>
          <w:tcPr>
            <w:tcW w:w="9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1000" w:top="1100" w:bottom="1180" w:left="980" w:right="0"/>
        </w:sectPr>
      </w:pPr>
    </w:p>
    <w:p>
      <w:pPr>
        <w:spacing w:line="240" w:lineRule="auto" w:before="4"/>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77" w:footer="1000" w:top="1100" w:bottom="1180" w:left="980" w:right="0"/>
        </w:sectPr>
      </w:pPr>
    </w:p>
    <w:p>
      <w:pPr>
        <w:spacing w:line="240" w:lineRule="auto" w:before="13"/>
        <w:rPr>
          <w:rFonts w:ascii="宋体" w:hAnsi="宋体" w:cs="宋体" w:eastAsia="宋体" w:hint="default"/>
          <w:b/>
          <w:bCs/>
          <w:sz w:val="18"/>
          <w:szCs w:val="18"/>
        </w:rPr>
      </w:pPr>
    </w:p>
    <w:p>
      <w:pPr>
        <w:tabs>
          <w:tab w:pos="1594" w:val="left" w:leader="none"/>
          <w:tab w:pos="2694" w:val="left" w:leader="none"/>
          <w:tab w:pos="4744" w:val="left" w:leader="none"/>
        </w:tabs>
        <w:spacing w:before="0"/>
        <w:ind w:left="389" w:right="-20" w:firstLine="0"/>
        <w:jc w:val="left"/>
        <w:rPr>
          <w:rFonts w:ascii="宋体" w:hAnsi="宋体" w:cs="宋体" w:eastAsia="宋体" w:hint="default"/>
          <w:sz w:val="18"/>
          <w:szCs w:val="18"/>
        </w:rPr>
      </w:pPr>
      <w:r>
        <w:rPr>
          <w:rFonts w:ascii="宋体" w:hAnsi="宋体" w:cs="宋体" w:eastAsia="宋体" w:hint="default"/>
          <w:sz w:val="18"/>
          <w:szCs w:val="18"/>
        </w:rPr>
        <w:t>子公司名称</w:t>
        <w:tab/>
        <w:t>主要经营地</w:t>
        <w:tab/>
        <w:t>注册地</w:t>
        <w:tab/>
        <w:t>业务性质</w:t>
      </w:r>
    </w:p>
    <w:p>
      <w:pPr>
        <w:spacing w:before="44"/>
        <w:ind w:left="410"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持股比例</w:t>
      </w:r>
    </w:p>
    <w:p>
      <w:pPr>
        <w:spacing w:line="240" w:lineRule="auto" w:before="1"/>
        <w:rPr>
          <w:rFonts w:ascii="宋体" w:hAnsi="宋体" w:cs="宋体" w:eastAsia="宋体" w:hint="default"/>
          <w:sz w:val="13"/>
          <w:szCs w:val="13"/>
        </w:rPr>
      </w:pPr>
    </w:p>
    <w:p>
      <w:pPr>
        <w:tabs>
          <w:tab w:pos="1350" w:val="left" w:leader="none"/>
        </w:tabs>
        <w:spacing w:before="0"/>
        <w:ind w:left="389" w:right="0" w:firstLine="0"/>
        <w:jc w:val="center"/>
        <w:rPr>
          <w:rFonts w:ascii="宋体" w:hAnsi="宋体" w:cs="宋体" w:eastAsia="宋体" w:hint="default"/>
          <w:sz w:val="18"/>
          <w:szCs w:val="18"/>
        </w:rPr>
      </w:pPr>
      <w:r>
        <w:rPr>
          <w:rFonts w:ascii="宋体" w:hAnsi="宋体" w:cs="宋体" w:eastAsia="宋体" w:hint="default"/>
          <w:sz w:val="18"/>
          <w:szCs w:val="18"/>
        </w:rPr>
        <w:t>直接</w:t>
        <w:tab/>
        <w:t>间接</w:t>
      </w:r>
    </w:p>
    <w:p>
      <w:pPr>
        <w:spacing w:line="240" w:lineRule="auto" w:before="13"/>
        <w:rPr>
          <w:rFonts w:ascii="宋体" w:hAnsi="宋体" w:cs="宋体" w:eastAsia="宋体" w:hint="default"/>
          <w:sz w:val="18"/>
          <w:szCs w:val="18"/>
        </w:rPr>
      </w:pPr>
      <w:r>
        <w:rPr/>
        <w:br w:type="column"/>
      </w:r>
      <w:r>
        <w:rPr>
          <w:rFonts w:ascii="宋体"/>
          <w:sz w:val="18"/>
        </w:rPr>
      </w:r>
    </w:p>
    <w:p>
      <w:pPr>
        <w:spacing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取得方式</w:t>
      </w:r>
    </w:p>
    <w:p>
      <w:pPr>
        <w:spacing w:after="0"/>
        <w:jc w:val="left"/>
        <w:rPr>
          <w:rFonts w:ascii="宋体" w:hAnsi="宋体" w:cs="宋体" w:eastAsia="宋体" w:hint="default"/>
          <w:sz w:val="18"/>
          <w:szCs w:val="18"/>
        </w:rPr>
        <w:sectPr>
          <w:type w:val="continuous"/>
          <w:pgSz w:w="11910" w:h="16840"/>
          <w:pgMar w:top="1580" w:bottom="700" w:left="980" w:right="0"/>
          <w:cols w:num="3" w:equalWidth="0">
            <w:col w:w="5465" w:space="1279"/>
            <w:col w:w="1711" w:space="40"/>
            <w:col w:w="2435"/>
          </w:cols>
        </w:sectPr>
      </w:pPr>
    </w:p>
    <w:p>
      <w:pPr>
        <w:spacing w:before="131"/>
        <w:ind w:left="181" w:right="1122" w:firstLine="0"/>
        <w:jc w:val="left"/>
        <w:rPr>
          <w:rFonts w:ascii="宋体" w:hAnsi="宋体" w:cs="宋体" w:eastAsia="宋体" w:hint="default"/>
          <w:sz w:val="18"/>
          <w:szCs w:val="18"/>
        </w:rPr>
      </w:pPr>
      <w:r>
        <w:rPr>
          <w:rFonts w:ascii="宋体" w:hAnsi="宋体" w:cs="宋体" w:eastAsia="宋体" w:hint="default"/>
          <w:sz w:val="18"/>
          <w:szCs w:val="18"/>
        </w:rPr>
        <w:t>息技术有限公司</w:t>
      </w: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580" w:bottom="700" w:left="980" w:right="0"/>
        </w:sectPr>
      </w:pPr>
    </w:p>
    <w:p>
      <w:pPr>
        <w:spacing w:line="316" w:lineRule="auto" w:before="44"/>
        <w:ind w:left="181" w:right="0" w:firstLine="0"/>
        <w:jc w:val="both"/>
        <w:rPr>
          <w:rFonts w:ascii="宋体" w:hAnsi="宋体" w:cs="宋体" w:eastAsia="宋体" w:hint="default"/>
          <w:sz w:val="18"/>
          <w:szCs w:val="18"/>
        </w:rPr>
      </w:pPr>
      <w:r>
        <w:rPr>
          <w:rFonts w:ascii="宋体" w:hAnsi="宋体" w:cs="宋体" w:eastAsia="宋体" w:hint="default"/>
          <w:sz w:val="18"/>
          <w:szCs w:val="18"/>
        </w:rPr>
        <w:t>江苏光一贵仁股 权投资基金管理 有限公司</w:t>
      </w:r>
    </w:p>
    <w:p>
      <w:pPr>
        <w:spacing w:line="240" w:lineRule="auto" w:before="0"/>
        <w:rPr>
          <w:rFonts w:ascii="宋体" w:hAnsi="宋体" w:cs="宋体" w:eastAsia="宋体" w:hint="default"/>
          <w:sz w:val="18"/>
          <w:szCs w:val="18"/>
        </w:rPr>
      </w:pPr>
      <w:r>
        <w:rPr/>
        <w:br w:type="column"/>
      </w:r>
      <w:r>
        <w:rPr>
          <w:rFonts w:ascii="宋体"/>
          <w:sz w:val="18"/>
        </w:rPr>
      </w:r>
    </w:p>
    <w:p>
      <w:pPr>
        <w:tabs>
          <w:tab w:pos="1111" w:val="left" w:leader="none"/>
        </w:tabs>
        <w:spacing w:before="121"/>
        <w:ind w:left="71" w:right="-20" w:firstLine="0"/>
        <w:jc w:val="left"/>
        <w:rPr>
          <w:rFonts w:ascii="宋体" w:hAnsi="宋体" w:cs="宋体" w:eastAsia="宋体" w:hint="default"/>
          <w:sz w:val="18"/>
          <w:szCs w:val="18"/>
        </w:rPr>
      </w:pPr>
      <w:r>
        <w:rPr>
          <w:rFonts w:ascii="宋体" w:hAnsi="宋体" w:cs="宋体" w:eastAsia="宋体" w:hint="default"/>
          <w:sz w:val="18"/>
          <w:szCs w:val="18"/>
        </w:rPr>
        <w:t>江苏南京</w:t>
        <w:tab/>
        <w:t>江苏南京</w:t>
      </w:r>
    </w:p>
    <w:p>
      <w:pPr>
        <w:spacing w:line="240" w:lineRule="auto" w:before="4"/>
        <w:rPr>
          <w:rFonts w:ascii="宋体" w:hAnsi="宋体" w:cs="宋体" w:eastAsia="宋体" w:hint="default"/>
          <w:sz w:val="15"/>
          <w:szCs w:val="15"/>
        </w:rPr>
      </w:pPr>
      <w:r>
        <w:rPr/>
        <w:br w:type="column"/>
      </w:r>
      <w:r>
        <w:rPr>
          <w:rFonts w:ascii="宋体"/>
          <w:sz w:val="15"/>
        </w:rPr>
      </w:r>
    </w:p>
    <w:p>
      <w:pPr>
        <w:spacing w:line="316" w:lineRule="auto" w:before="0"/>
        <w:ind w:left="40" w:right="-20" w:firstLine="0"/>
        <w:jc w:val="left"/>
        <w:rPr>
          <w:rFonts w:ascii="宋体" w:hAnsi="宋体" w:cs="宋体" w:eastAsia="宋体" w:hint="default"/>
          <w:sz w:val="18"/>
          <w:szCs w:val="18"/>
        </w:rPr>
      </w:pPr>
      <w:r>
        <w:rPr>
          <w:rFonts w:ascii="宋体" w:hAnsi="宋体" w:cs="宋体" w:eastAsia="宋体" w:hint="default"/>
          <w:sz w:val="18"/>
          <w:szCs w:val="18"/>
        </w:rPr>
        <w:t>受托管理私募股权投资基金，投资管理及相 关咨询服务。</w:t>
      </w:r>
    </w:p>
    <w:p>
      <w:pPr>
        <w:spacing w:line="240" w:lineRule="auto" w:before="0"/>
        <w:rPr>
          <w:rFonts w:ascii="宋体" w:hAnsi="宋体" w:cs="宋体" w:eastAsia="宋体" w:hint="default"/>
          <w:sz w:val="18"/>
          <w:szCs w:val="18"/>
        </w:rPr>
      </w:pPr>
      <w:r>
        <w:rPr/>
        <w:br w:type="column"/>
      </w:r>
      <w:r>
        <w:rPr>
          <w:rFonts w:ascii="宋体"/>
          <w:sz w:val="18"/>
        </w:rPr>
      </w:r>
    </w:p>
    <w:p>
      <w:pPr>
        <w:tabs>
          <w:tab w:pos="1941" w:val="left" w:leader="none"/>
        </w:tabs>
        <w:spacing w:before="121"/>
        <w:ind w:left="181" w:right="0" w:firstLine="0"/>
        <w:jc w:val="left"/>
        <w:rPr>
          <w:rFonts w:ascii="宋体" w:hAnsi="宋体" w:cs="宋体" w:eastAsia="宋体" w:hint="default"/>
          <w:sz w:val="18"/>
          <w:szCs w:val="18"/>
        </w:rPr>
      </w:pPr>
      <w:r>
        <w:rPr>
          <w:rFonts w:ascii="宋体" w:hAnsi="宋体" w:cs="宋体" w:eastAsia="宋体" w:hint="default"/>
          <w:sz w:val="18"/>
          <w:szCs w:val="18"/>
        </w:rPr>
        <w:t>100.00%</w:t>
        <w:tab/>
      </w:r>
      <w:r>
        <w:rPr>
          <w:rFonts w:ascii="宋体" w:hAnsi="宋体" w:cs="宋体" w:eastAsia="宋体" w:hint="default"/>
          <w:sz w:val="18"/>
          <w:szCs w:val="18"/>
        </w:rPr>
        <w:t>投资成立</w:t>
      </w:r>
    </w:p>
    <w:p>
      <w:pPr>
        <w:spacing w:after="0"/>
        <w:jc w:val="left"/>
        <w:rPr>
          <w:rFonts w:ascii="宋体" w:hAnsi="宋体" w:cs="宋体" w:eastAsia="宋体" w:hint="default"/>
          <w:sz w:val="18"/>
          <w:szCs w:val="18"/>
        </w:rPr>
        <w:sectPr>
          <w:type w:val="continuous"/>
          <w:pgSz w:w="11910" w:h="16840"/>
          <w:pgMar w:top="1580" w:bottom="700" w:left="980" w:right="0"/>
          <w:cols w:num="4" w:equalWidth="0">
            <w:col w:w="1442" w:space="40"/>
            <w:col w:w="1832" w:space="40"/>
            <w:col w:w="3461" w:space="130"/>
            <w:col w:w="3985"/>
          </w:cols>
        </w:sectPr>
      </w:pPr>
    </w:p>
    <w:p>
      <w:pPr>
        <w:spacing w:line="319" w:lineRule="auto" w:before="113"/>
        <w:ind w:left="181"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南京领航光一科 技产业投资合伙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9"/>
          <w:szCs w:val="19"/>
        </w:rPr>
      </w:pPr>
    </w:p>
    <w:p>
      <w:pPr>
        <w:tabs>
          <w:tab w:pos="1111" w:val="left" w:leader="none"/>
          <w:tab w:pos="6807" w:val="left" w:leader="none"/>
        </w:tabs>
        <w:spacing w:before="0"/>
        <w:ind w:left="71" w:right="0" w:firstLine="0"/>
        <w:jc w:val="left"/>
        <w:rPr>
          <w:rFonts w:ascii="宋体" w:hAnsi="宋体" w:cs="宋体" w:eastAsia="宋体" w:hint="default"/>
          <w:sz w:val="18"/>
          <w:szCs w:val="18"/>
        </w:rPr>
      </w:pPr>
      <w:r>
        <w:rPr>
          <w:rFonts w:ascii="宋体" w:hAnsi="宋体" w:cs="宋体" w:eastAsia="宋体" w:hint="default"/>
          <w:sz w:val="18"/>
          <w:szCs w:val="18"/>
        </w:rPr>
        <w:t>江苏南京</w:t>
        <w:tab/>
        <w:t>江苏南京</w:t>
      </w:r>
      <w:r>
        <w:rPr>
          <w:rFonts w:ascii="宋体" w:hAnsi="宋体" w:cs="宋体" w:eastAsia="宋体" w:hint="default"/>
          <w:spacing w:val="-10"/>
          <w:sz w:val="18"/>
          <w:szCs w:val="18"/>
        </w:rPr>
        <w:t> </w:t>
      </w:r>
      <w:r>
        <w:rPr>
          <w:rFonts w:ascii="宋体" w:hAnsi="宋体" w:cs="宋体" w:eastAsia="宋体" w:hint="default"/>
          <w:sz w:val="18"/>
          <w:szCs w:val="18"/>
        </w:rPr>
        <w:t>科技产业投资</w:t>
      </w:r>
      <w:r>
        <w:rPr>
          <w:rFonts w:ascii="Times New Roman" w:hAnsi="Times New Roman" w:cs="Times New Roman" w:eastAsia="Times New Roman" w:hint="default"/>
          <w:sz w:val="18"/>
          <w:szCs w:val="18"/>
        </w:rPr>
        <w:t>;</w:t>
      </w:r>
      <w:r>
        <w:rPr>
          <w:rFonts w:ascii="宋体" w:hAnsi="宋体" w:cs="宋体" w:eastAsia="宋体" w:hint="default"/>
          <w:sz w:val="18"/>
          <w:szCs w:val="18"/>
        </w:rPr>
        <w:t>科技项目投资咨询</w:t>
        <w:tab/>
      </w:r>
      <w:r>
        <w:rPr>
          <w:rFonts w:ascii="宋体" w:hAnsi="宋体" w:cs="宋体" w:eastAsia="宋体" w:hint="default"/>
          <w:sz w:val="18"/>
          <w:szCs w:val="18"/>
        </w:rPr>
        <w:t>0.50%</w:t>
      </w:r>
      <w:r>
        <w:rPr>
          <w:rFonts w:ascii="宋体" w:hAnsi="宋体" w:cs="宋体" w:eastAsia="宋体" w:hint="default"/>
          <w:spacing w:val="56"/>
          <w:sz w:val="18"/>
          <w:szCs w:val="18"/>
        </w:rPr>
        <w:t> </w:t>
      </w:r>
      <w:r>
        <w:rPr>
          <w:rFonts w:ascii="宋体" w:hAnsi="宋体" w:cs="宋体" w:eastAsia="宋体" w:hint="default"/>
          <w:sz w:val="18"/>
          <w:szCs w:val="18"/>
        </w:rPr>
        <w:t>投资设立</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442" w:space="40"/>
            <w:col w:w="9448"/>
          </w:cols>
        </w:sectPr>
      </w:pPr>
    </w:p>
    <w:p>
      <w:pPr>
        <w:spacing w:line="319" w:lineRule="auto" w:before="90"/>
        <w:ind w:left="181" w:right="-20" w:firstLine="0"/>
        <w:jc w:val="left"/>
        <w:rPr>
          <w:rFonts w:ascii="宋体" w:hAnsi="宋体" w:cs="宋体" w:eastAsia="宋体" w:hint="default"/>
          <w:sz w:val="18"/>
          <w:szCs w:val="18"/>
        </w:rPr>
      </w:pPr>
      <w:r>
        <w:rPr>
          <w:rFonts w:ascii="宋体" w:hAnsi="宋体" w:cs="宋体" w:eastAsia="宋体" w:hint="default"/>
          <w:sz w:val="18"/>
          <w:szCs w:val="18"/>
        </w:rPr>
        <w:t>江苏光一德能电 气工程有限公司</w:t>
      </w:r>
    </w:p>
    <w:p>
      <w:pPr>
        <w:spacing w:line="240" w:lineRule="auto" w:before="11"/>
        <w:rPr>
          <w:rFonts w:ascii="宋体" w:hAnsi="宋体" w:cs="宋体" w:eastAsia="宋体" w:hint="default"/>
          <w:sz w:val="18"/>
          <w:szCs w:val="18"/>
        </w:rPr>
      </w:pPr>
      <w:r>
        <w:rPr/>
        <w:br w:type="column"/>
      </w:r>
      <w:r>
        <w:rPr>
          <w:rFonts w:ascii="宋体"/>
          <w:sz w:val="18"/>
        </w:rPr>
      </w:r>
    </w:p>
    <w:p>
      <w:pPr>
        <w:tabs>
          <w:tab w:pos="1111" w:val="left" w:leader="none"/>
        </w:tabs>
        <w:spacing w:before="0"/>
        <w:ind w:left="71" w:right="-20" w:firstLine="0"/>
        <w:jc w:val="left"/>
        <w:rPr>
          <w:rFonts w:ascii="宋体" w:hAnsi="宋体" w:cs="宋体" w:eastAsia="宋体" w:hint="default"/>
          <w:sz w:val="18"/>
          <w:szCs w:val="18"/>
        </w:rPr>
      </w:pPr>
      <w:r>
        <w:rPr>
          <w:rFonts w:ascii="宋体" w:hAnsi="宋体" w:cs="宋体" w:eastAsia="宋体" w:hint="default"/>
          <w:sz w:val="18"/>
          <w:szCs w:val="18"/>
        </w:rPr>
        <w:t>江苏南京</w:t>
        <w:tab/>
        <w:t>江苏南京</w:t>
      </w:r>
    </w:p>
    <w:p>
      <w:pPr>
        <w:spacing w:line="302" w:lineRule="auto" w:before="90"/>
        <w:ind w:left="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承装</w:t>
      </w:r>
      <w:r>
        <w:rPr>
          <w:rFonts w:ascii="Times New Roman" w:hAnsi="Times New Roman" w:cs="Times New Roman" w:eastAsia="Times New Roman" w:hint="default"/>
          <w:sz w:val="18"/>
          <w:szCs w:val="18"/>
        </w:rPr>
        <w:t>(</w:t>
      </w:r>
      <w:r>
        <w:rPr>
          <w:rFonts w:ascii="宋体" w:hAnsi="宋体" w:cs="宋体" w:eastAsia="宋体" w:hint="default"/>
          <w:sz w:val="18"/>
          <w:szCs w:val="18"/>
        </w:rPr>
        <w:t>修</w:t>
      </w:r>
      <w:r>
        <w:rPr>
          <w:rFonts w:ascii="Times New Roman" w:hAnsi="Times New Roman" w:cs="Times New Roman" w:eastAsia="Times New Roman" w:hint="default"/>
          <w:sz w:val="18"/>
          <w:szCs w:val="18"/>
        </w:rPr>
        <w:t>)</w:t>
      </w:r>
      <w:r>
        <w:rPr>
          <w:rFonts w:ascii="宋体" w:hAnsi="宋体" w:cs="宋体" w:eastAsia="宋体" w:hint="default"/>
          <w:sz w:val="18"/>
          <w:szCs w:val="18"/>
        </w:rPr>
        <w:t>电力设施</w:t>
      </w:r>
      <w:r>
        <w:rPr>
          <w:rFonts w:ascii="Times New Roman" w:hAnsi="Times New Roman" w:cs="Times New Roman" w:eastAsia="Times New Roman" w:hint="default"/>
          <w:sz w:val="18"/>
          <w:szCs w:val="18"/>
        </w:rPr>
        <w:t>,</w:t>
      </w:r>
      <w:r>
        <w:rPr>
          <w:rFonts w:ascii="宋体" w:hAnsi="宋体" w:cs="宋体" w:eastAsia="宋体" w:hint="default"/>
          <w:sz w:val="18"/>
          <w:szCs w:val="18"/>
        </w:rPr>
        <w:t>电气工程、送变电工程、 机电设备安装工程的施工</w:t>
      </w:r>
      <w:r>
        <w:rPr>
          <w:rFonts w:ascii="Times New Roman" w:hAnsi="Times New Roman" w:cs="Times New Roman" w:eastAsia="Times New Roman" w:hint="default"/>
          <w:sz w:val="18"/>
          <w:szCs w:val="18"/>
        </w:rPr>
        <w:t>,</w:t>
      </w:r>
      <w:r>
        <w:rPr>
          <w:rFonts w:ascii="宋体" w:hAnsi="宋体" w:cs="宋体" w:eastAsia="宋体" w:hint="default"/>
          <w:sz w:val="18"/>
          <w:szCs w:val="18"/>
        </w:rPr>
        <w:t>电力技术咨询</w:t>
      </w:r>
    </w:p>
    <w:p>
      <w:pPr>
        <w:spacing w:line="240" w:lineRule="auto" w:before="11"/>
        <w:rPr>
          <w:rFonts w:ascii="宋体" w:hAnsi="宋体" w:cs="宋体" w:eastAsia="宋体" w:hint="default"/>
          <w:sz w:val="18"/>
          <w:szCs w:val="18"/>
        </w:rPr>
      </w:pPr>
      <w:r>
        <w:rPr/>
        <w:br w:type="column"/>
      </w:r>
      <w:r>
        <w:rPr>
          <w:rFonts w:ascii="宋体"/>
          <w:sz w:val="18"/>
        </w:rPr>
      </w:r>
    </w:p>
    <w:p>
      <w:pPr>
        <w:spacing w:before="0"/>
        <w:ind w:left="181" w:right="-20" w:firstLine="0"/>
        <w:jc w:val="left"/>
        <w:rPr>
          <w:rFonts w:ascii="宋体" w:hAnsi="宋体" w:cs="宋体" w:eastAsia="宋体" w:hint="default"/>
          <w:sz w:val="18"/>
          <w:szCs w:val="18"/>
        </w:rPr>
      </w:pPr>
      <w:r>
        <w:rPr>
          <w:rFonts w:ascii="宋体"/>
          <w:sz w:val="18"/>
        </w:rPr>
        <w:t>100.00%</w:t>
      </w:r>
    </w:p>
    <w:p>
      <w:pPr>
        <w:spacing w:line="319" w:lineRule="auto" w:before="90"/>
        <w:ind w:left="271" w:right="1211" w:hanging="90"/>
        <w:jc w:val="left"/>
        <w:rPr>
          <w:rFonts w:ascii="宋体" w:hAnsi="宋体" w:cs="宋体" w:eastAsia="宋体" w:hint="default"/>
          <w:sz w:val="18"/>
          <w:szCs w:val="18"/>
        </w:rPr>
      </w:pPr>
      <w:r>
        <w:rPr/>
        <w:br w:type="column"/>
      </w:r>
      <w:r>
        <w:rPr>
          <w:rFonts w:ascii="宋体" w:hAnsi="宋体" w:cs="宋体" w:eastAsia="宋体" w:hint="default"/>
          <w:sz w:val="18"/>
          <w:szCs w:val="18"/>
        </w:rPr>
        <w:t>非同一控制 企业合并</w:t>
      </w:r>
    </w:p>
    <w:p>
      <w:pPr>
        <w:spacing w:after="0" w:line="319" w:lineRule="auto"/>
        <w:jc w:val="left"/>
        <w:rPr>
          <w:rFonts w:ascii="宋体" w:hAnsi="宋体" w:cs="宋体" w:eastAsia="宋体" w:hint="default"/>
          <w:sz w:val="18"/>
          <w:szCs w:val="18"/>
        </w:rPr>
        <w:sectPr>
          <w:type w:val="continuous"/>
          <w:pgSz w:w="11910" w:h="16840"/>
          <w:pgMar w:top="1580" w:bottom="700" w:left="980" w:right="0"/>
          <w:cols w:num="5" w:equalWidth="0">
            <w:col w:w="1442" w:space="40"/>
            <w:col w:w="1832" w:space="40"/>
            <w:col w:w="3446" w:space="146"/>
            <w:col w:w="812" w:space="857"/>
            <w:col w:w="2315"/>
          </w:cols>
        </w:sectPr>
      </w:pPr>
    </w:p>
    <w:p>
      <w:pPr>
        <w:spacing w:line="196" w:lineRule="exact" w:before="106"/>
        <w:ind w:left="181" w:right="-20" w:firstLine="0"/>
        <w:jc w:val="left"/>
        <w:rPr>
          <w:rFonts w:ascii="宋体" w:hAnsi="宋体" w:cs="宋体" w:eastAsia="宋体" w:hint="default"/>
          <w:sz w:val="18"/>
          <w:szCs w:val="18"/>
        </w:rPr>
      </w:pPr>
      <w:r>
        <w:rPr>
          <w:rFonts w:ascii="宋体" w:hAnsi="宋体" w:cs="宋体" w:eastAsia="宋体" w:hint="default"/>
          <w:spacing w:val="-5"/>
          <w:sz w:val="18"/>
          <w:szCs w:val="18"/>
        </w:rPr>
        <w:t>光一数道（北京）</w:t>
      </w:r>
    </w:p>
    <w:p>
      <w:pPr>
        <w:tabs>
          <w:tab w:pos="2592" w:val="left" w:leader="none"/>
        </w:tabs>
        <w:spacing w:line="156" w:lineRule="exact" w:before="0"/>
        <w:ind w:left="1553" w:right="-20" w:firstLine="0"/>
        <w:jc w:val="left"/>
        <w:rPr>
          <w:rFonts w:ascii="宋体" w:hAnsi="宋体" w:cs="宋体" w:eastAsia="宋体" w:hint="default"/>
          <w:sz w:val="18"/>
          <w:szCs w:val="18"/>
        </w:rPr>
      </w:pPr>
      <w:r>
        <w:rPr>
          <w:rFonts w:ascii="宋体" w:hAnsi="宋体" w:cs="宋体" w:eastAsia="宋体" w:hint="default"/>
          <w:sz w:val="18"/>
          <w:szCs w:val="18"/>
        </w:rPr>
        <w:t>北京</w:t>
        <w:tab/>
        <w:t>北京</w:t>
      </w:r>
    </w:p>
    <w:p>
      <w:pPr>
        <w:spacing w:line="196"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科技有限公司</w:t>
      </w:r>
    </w:p>
    <w:p>
      <w:pPr>
        <w:spacing w:line="316" w:lineRule="auto" w:before="106"/>
        <w:ind w:left="181" w:right="-6" w:firstLine="0"/>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技术开发、技术咨询、技术服务、技术推广、</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技术转让；互联网信息服务</w:t>
      </w:r>
    </w:p>
    <w:p>
      <w:pPr>
        <w:spacing w:line="240" w:lineRule="auto" w:before="0"/>
        <w:rPr>
          <w:rFonts w:ascii="宋体" w:hAnsi="宋体" w:cs="宋体" w:eastAsia="宋体" w:hint="default"/>
          <w:sz w:val="20"/>
          <w:szCs w:val="20"/>
        </w:rPr>
      </w:pPr>
      <w:r>
        <w:rPr/>
        <w:br w:type="column"/>
      </w:r>
      <w:r>
        <w:rPr>
          <w:rFonts w:ascii="宋体"/>
          <w:sz w:val="20"/>
        </w:rPr>
      </w:r>
    </w:p>
    <w:p>
      <w:pPr>
        <w:tabs>
          <w:tab w:pos="1850" w:val="left" w:leader="none"/>
        </w:tabs>
        <w:spacing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70.00%</w:t>
        <w:tab/>
      </w:r>
      <w:r>
        <w:rPr>
          <w:rFonts w:ascii="宋体" w:hAnsi="宋体" w:cs="宋体" w:eastAsia="宋体" w:hint="default"/>
          <w:sz w:val="18"/>
          <w:szCs w:val="18"/>
        </w:rPr>
        <w:t>投资成立</w:t>
      </w:r>
    </w:p>
    <w:p>
      <w:pPr>
        <w:spacing w:after="0"/>
        <w:jc w:val="left"/>
        <w:rPr>
          <w:rFonts w:ascii="宋体" w:hAnsi="宋体" w:cs="宋体" w:eastAsia="宋体" w:hint="default"/>
          <w:sz w:val="18"/>
          <w:szCs w:val="18"/>
        </w:rPr>
        <w:sectPr>
          <w:type w:val="continuous"/>
          <w:pgSz w:w="11910" w:h="16840"/>
          <w:pgMar w:top="1580" w:bottom="700" w:left="980" w:right="0"/>
          <w:cols w:num="3" w:equalWidth="0">
            <w:col w:w="2953" w:space="258"/>
            <w:col w:w="3696" w:space="127"/>
            <w:col w:w="3896"/>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江苏德能电力设 计咨询有限公司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tabs>
          <w:tab w:pos="1111" w:val="left" w:leader="none"/>
        </w:tabs>
        <w:spacing w:before="0"/>
        <w:ind w:left="71" w:right="-20" w:firstLine="0"/>
        <w:jc w:val="left"/>
        <w:rPr>
          <w:rFonts w:ascii="宋体" w:hAnsi="宋体" w:cs="宋体" w:eastAsia="宋体" w:hint="default"/>
          <w:sz w:val="18"/>
          <w:szCs w:val="18"/>
        </w:rPr>
      </w:pPr>
      <w:r>
        <w:rPr>
          <w:rFonts w:ascii="宋体" w:hAnsi="宋体" w:cs="宋体" w:eastAsia="宋体" w:hint="default"/>
          <w:sz w:val="18"/>
          <w:szCs w:val="18"/>
        </w:rPr>
        <w:t>江苏南京</w:t>
        <w:tab/>
        <w:t>江苏南京</w:t>
      </w:r>
    </w:p>
    <w:p>
      <w:pPr>
        <w:spacing w:line="314" w:lineRule="auto" w:before="113"/>
        <w:ind w:left="40" w:right="0" w:firstLine="0"/>
        <w:jc w:val="both"/>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220KV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及以下输电、变电、配电工程设计， 电力工程项目规划咨询，电力技术咨询，电 力工程项目可行性研究，编制电力工程项目 建议书，制定接入系统方案，电网规划、设 计服务，编制电力工程项目设计、施工概预 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spacing w:before="0"/>
        <w:ind w:left="181" w:right="-20" w:firstLine="0"/>
        <w:jc w:val="left"/>
        <w:rPr>
          <w:rFonts w:ascii="宋体" w:hAnsi="宋体" w:cs="宋体" w:eastAsia="宋体" w:hint="default"/>
          <w:sz w:val="18"/>
          <w:szCs w:val="18"/>
        </w:rPr>
      </w:pPr>
      <w:r>
        <w:rPr>
          <w:rFonts w:ascii="宋体"/>
          <w:sz w:val="18"/>
        </w:rPr>
        <w:t>60.00%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line="316" w:lineRule="auto" w:before="0"/>
        <w:ind w:left="181" w:right="1211" w:firstLine="0"/>
        <w:jc w:val="left"/>
        <w:rPr>
          <w:rFonts w:ascii="宋体" w:hAnsi="宋体" w:cs="宋体" w:eastAsia="宋体" w:hint="default"/>
          <w:sz w:val="18"/>
          <w:szCs w:val="18"/>
        </w:rPr>
      </w:pPr>
      <w:r>
        <w:rPr>
          <w:rFonts w:ascii="宋体" w:hAnsi="宋体" w:cs="宋体" w:eastAsia="宋体" w:hint="default"/>
          <w:sz w:val="18"/>
          <w:szCs w:val="18"/>
        </w:rPr>
        <w:t>非同一控制 下企业合并</w:t>
      </w:r>
    </w:p>
    <w:p>
      <w:pPr>
        <w:spacing w:after="0" w:line="316" w:lineRule="auto"/>
        <w:jc w:val="left"/>
        <w:rPr>
          <w:rFonts w:ascii="宋体" w:hAnsi="宋体" w:cs="宋体" w:eastAsia="宋体" w:hint="default"/>
          <w:sz w:val="18"/>
          <w:szCs w:val="18"/>
        </w:rPr>
        <w:sectPr>
          <w:type w:val="continuous"/>
          <w:pgSz w:w="11910" w:h="16840"/>
          <w:pgMar w:top="1580" w:bottom="700" w:left="980" w:right="0"/>
          <w:cols w:num="5" w:equalWidth="0">
            <w:col w:w="1442" w:space="40"/>
            <w:col w:w="1832" w:space="40"/>
            <w:col w:w="3496" w:space="186"/>
            <w:col w:w="722" w:space="857"/>
            <w:col w:w="2315"/>
          </w:cols>
        </w:sectPr>
      </w:pPr>
    </w:p>
    <w:p>
      <w:pPr>
        <w:spacing w:line="319" w:lineRule="auto" w:before="115"/>
        <w:ind w:left="181" w:right="-20" w:firstLine="0"/>
        <w:jc w:val="left"/>
        <w:rPr>
          <w:rFonts w:ascii="宋体" w:hAnsi="宋体" w:cs="宋体" w:eastAsia="宋体" w:hint="default"/>
          <w:sz w:val="18"/>
          <w:szCs w:val="18"/>
        </w:rPr>
      </w:pPr>
      <w:r>
        <w:rPr>
          <w:rFonts w:ascii="宋体" w:hAnsi="宋体" w:cs="宋体" w:eastAsia="宋体" w:hint="default"/>
          <w:sz w:val="18"/>
          <w:szCs w:val="18"/>
        </w:rPr>
        <w:t>南京云商天下信 息技术有限公司</w:t>
      </w:r>
    </w:p>
    <w:p>
      <w:pPr>
        <w:spacing w:line="240" w:lineRule="auto" w:before="10"/>
        <w:rPr>
          <w:rFonts w:ascii="宋体" w:hAnsi="宋体" w:cs="宋体" w:eastAsia="宋体" w:hint="default"/>
          <w:sz w:val="20"/>
          <w:szCs w:val="20"/>
        </w:rPr>
      </w:pPr>
      <w:r>
        <w:rPr/>
        <w:br w:type="column"/>
      </w:r>
      <w:r>
        <w:rPr>
          <w:rFonts w:ascii="宋体"/>
          <w:sz w:val="20"/>
        </w:rPr>
      </w:r>
    </w:p>
    <w:p>
      <w:pPr>
        <w:tabs>
          <w:tab w:pos="1111" w:val="left" w:leader="none"/>
        </w:tabs>
        <w:spacing w:before="0"/>
        <w:ind w:left="71" w:right="-20" w:firstLine="0"/>
        <w:jc w:val="left"/>
        <w:rPr>
          <w:rFonts w:ascii="宋体" w:hAnsi="宋体" w:cs="宋体" w:eastAsia="宋体" w:hint="default"/>
          <w:sz w:val="18"/>
          <w:szCs w:val="18"/>
        </w:rPr>
      </w:pPr>
      <w:r>
        <w:rPr>
          <w:rFonts w:ascii="宋体" w:hAnsi="宋体" w:cs="宋体" w:eastAsia="宋体" w:hint="default"/>
          <w:sz w:val="18"/>
          <w:szCs w:val="18"/>
        </w:rPr>
        <w:t>江苏南京</w:t>
        <w:tab/>
        <w:t>江苏南京</w:t>
      </w:r>
    </w:p>
    <w:p>
      <w:pPr>
        <w:spacing w:line="319" w:lineRule="auto" w:before="115"/>
        <w:ind w:left="40" w:right="-6" w:firstLine="0"/>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电子产品开发、销售、技术咨询、技术咨询、</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技术转让；</w:t>
      </w:r>
    </w:p>
    <w:p>
      <w:pPr>
        <w:spacing w:line="240" w:lineRule="auto" w:before="10"/>
        <w:rPr>
          <w:rFonts w:ascii="宋体" w:hAnsi="宋体" w:cs="宋体" w:eastAsia="宋体" w:hint="default"/>
          <w:sz w:val="20"/>
          <w:szCs w:val="20"/>
        </w:rPr>
      </w:pPr>
      <w:r>
        <w:rPr/>
        <w:br w:type="column"/>
      </w:r>
      <w:r>
        <w:rPr>
          <w:rFonts w:ascii="宋体"/>
          <w:sz w:val="20"/>
        </w:rPr>
      </w:r>
    </w:p>
    <w:p>
      <w:pPr>
        <w:spacing w:before="0"/>
        <w:ind w:left="181" w:right="-20" w:firstLine="0"/>
        <w:jc w:val="left"/>
        <w:rPr>
          <w:rFonts w:ascii="宋体" w:hAnsi="宋体" w:cs="宋体" w:eastAsia="宋体" w:hint="default"/>
          <w:sz w:val="18"/>
          <w:szCs w:val="18"/>
        </w:rPr>
      </w:pPr>
      <w:r>
        <w:rPr>
          <w:rFonts w:ascii="宋体"/>
          <w:sz w:val="18"/>
        </w:rPr>
        <w:t>51.00%</w:t>
      </w:r>
    </w:p>
    <w:p>
      <w:pPr>
        <w:spacing w:line="319" w:lineRule="auto" w:before="115"/>
        <w:ind w:left="181" w:right="1211" w:firstLine="0"/>
        <w:jc w:val="left"/>
        <w:rPr>
          <w:rFonts w:ascii="宋体" w:hAnsi="宋体" w:cs="宋体" w:eastAsia="宋体" w:hint="default"/>
          <w:sz w:val="18"/>
          <w:szCs w:val="18"/>
        </w:rPr>
      </w:pPr>
      <w:r>
        <w:rPr/>
        <w:br w:type="column"/>
      </w:r>
      <w:r>
        <w:rPr>
          <w:rFonts w:ascii="宋体" w:hAnsi="宋体" w:cs="宋体" w:eastAsia="宋体" w:hint="default"/>
          <w:sz w:val="18"/>
          <w:szCs w:val="18"/>
        </w:rPr>
        <w:t>非同一控制 下企业合并</w:t>
      </w:r>
    </w:p>
    <w:p>
      <w:pPr>
        <w:spacing w:after="0" w:line="319" w:lineRule="auto"/>
        <w:jc w:val="left"/>
        <w:rPr>
          <w:rFonts w:ascii="宋体" w:hAnsi="宋体" w:cs="宋体" w:eastAsia="宋体" w:hint="default"/>
          <w:sz w:val="18"/>
          <w:szCs w:val="18"/>
        </w:rPr>
        <w:sectPr>
          <w:type w:val="continuous"/>
          <w:pgSz w:w="11910" w:h="16840"/>
          <w:pgMar w:top="1580" w:bottom="700" w:left="980" w:right="0"/>
          <w:cols w:num="5" w:equalWidth="0">
            <w:col w:w="1442" w:space="40"/>
            <w:col w:w="1832" w:space="40"/>
            <w:col w:w="3555" w:space="127"/>
            <w:col w:w="722" w:space="857"/>
            <w:col w:w="2315"/>
          </w:cols>
        </w:sectPr>
      </w:pPr>
    </w:p>
    <w:p>
      <w:pPr>
        <w:spacing w:line="316" w:lineRule="auto" w:before="112"/>
        <w:ind w:left="181" w:right="-20" w:firstLine="0"/>
        <w:jc w:val="left"/>
        <w:rPr>
          <w:rFonts w:ascii="宋体" w:hAnsi="宋体" w:cs="宋体" w:eastAsia="宋体" w:hint="default"/>
          <w:sz w:val="18"/>
          <w:szCs w:val="18"/>
        </w:rPr>
      </w:pPr>
      <w:r>
        <w:rPr>
          <w:rFonts w:ascii="宋体" w:hAnsi="宋体" w:cs="宋体" w:eastAsia="宋体" w:hint="default"/>
          <w:sz w:val="18"/>
          <w:szCs w:val="18"/>
        </w:rPr>
        <w:t>贵州健康云科技 有限公司</w:t>
      </w:r>
    </w:p>
    <w:p>
      <w:pPr>
        <w:spacing w:line="240" w:lineRule="auto" w:before="6"/>
        <w:rPr>
          <w:rFonts w:ascii="宋体" w:hAnsi="宋体" w:cs="宋体" w:eastAsia="宋体" w:hint="default"/>
          <w:sz w:val="20"/>
          <w:szCs w:val="20"/>
        </w:rPr>
      </w:pPr>
      <w:r>
        <w:rPr/>
        <w:br w:type="column"/>
      </w:r>
      <w:r>
        <w:rPr>
          <w:rFonts w:ascii="宋体"/>
          <w:sz w:val="20"/>
        </w:rPr>
      </w:r>
    </w:p>
    <w:p>
      <w:pPr>
        <w:tabs>
          <w:tab w:pos="1111" w:val="left" w:leader="none"/>
        </w:tabs>
        <w:spacing w:before="0"/>
        <w:ind w:left="71" w:right="-20" w:firstLine="0"/>
        <w:jc w:val="left"/>
        <w:rPr>
          <w:rFonts w:ascii="宋体" w:hAnsi="宋体" w:cs="宋体" w:eastAsia="宋体" w:hint="default"/>
          <w:sz w:val="18"/>
          <w:szCs w:val="18"/>
        </w:rPr>
      </w:pPr>
      <w:r>
        <w:rPr>
          <w:rFonts w:ascii="宋体" w:hAnsi="宋体" w:cs="宋体" w:eastAsia="宋体" w:hint="default"/>
          <w:sz w:val="18"/>
          <w:szCs w:val="18"/>
        </w:rPr>
        <w:t>贵州贵阳</w:t>
        <w:tab/>
        <w:t>贵州贵阳</w:t>
      </w:r>
    </w:p>
    <w:p>
      <w:pPr>
        <w:spacing w:line="316" w:lineRule="auto" w:before="112"/>
        <w:ind w:left="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咨询服务；计算机软硬件产品开发、销售、 咨询、服务等</w:t>
      </w:r>
    </w:p>
    <w:p>
      <w:pPr>
        <w:spacing w:line="240" w:lineRule="auto" w:before="6"/>
        <w:rPr>
          <w:rFonts w:ascii="宋体" w:hAnsi="宋体" w:cs="宋体" w:eastAsia="宋体" w:hint="default"/>
          <w:sz w:val="20"/>
          <w:szCs w:val="20"/>
        </w:rPr>
      </w:pPr>
      <w:r>
        <w:rPr/>
        <w:br w:type="column"/>
      </w:r>
      <w:r>
        <w:rPr>
          <w:rFonts w:ascii="宋体"/>
          <w:sz w:val="20"/>
        </w:rPr>
      </w:r>
    </w:p>
    <w:p>
      <w:pPr>
        <w:spacing w:before="0"/>
        <w:ind w:left="181" w:right="-20" w:firstLine="0"/>
        <w:jc w:val="left"/>
        <w:rPr>
          <w:rFonts w:ascii="宋体" w:hAnsi="宋体" w:cs="宋体" w:eastAsia="宋体" w:hint="default"/>
          <w:sz w:val="18"/>
          <w:szCs w:val="18"/>
        </w:rPr>
      </w:pPr>
      <w:r>
        <w:rPr>
          <w:rFonts w:ascii="宋体"/>
          <w:sz w:val="18"/>
        </w:rPr>
        <w:t>51.00%</w:t>
      </w:r>
    </w:p>
    <w:p>
      <w:pPr>
        <w:spacing w:line="316" w:lineRule="auto" w:before="112"/>
        <w:ind w:left="16" w:right="1211" w:firstLine="0"/>
        <w:jc w:val="left"/>
        <w:rPr>
          <w:rFonts w:ascii="宋体" w:hAnsi="宋体" w:cs="宋体" w:eastAsia="宋体" w:hint="default"/>
          <w:sz w:val="18"/>
          <w:szCs w:val="18"/>
        </w:rPr>
      </w:pPr>
      <w:r>
        <w:rPr/>
        <w:br w:type="column"/>
      </w:r>
      <w:r>
        <w:rPr>
          <w:rFonts w:ascii="宋体" w:hAnsi="宋体" w:cs="宋体" w:eastAsia="宋体" w:hint="default"/>
          <w:sz w:val="18"/>
          <w:szCs w:val="18"/>
        </w:rPr>
        <w:t>非同一控制 下企业合并</w:t>
      </w:r>
    </w:p>
    <w:p>
      <w:pPr>
        <w:spacing w:after="0" w:line="316" w:lineRule="auto"/>
        <w:jc w:val="left"/>
        <w:rPr>
          <w:rFonts w:ascii="宋体" w:hAnsi="宋体" w:cs="宋体" w:eastAsia="宋体" w:hint="default"/>
          <w:sz w:val="18"/>
          <w:szCs w:val="18"/>
        </w:rPr>
        <w:sectPr>
          <w:type w:val="continuous"/>
          <w:pgSz w:w="11910" w:h="16840"/>
          <w:pgMar w:top="1580" w:bottom="700" w:left="980" w:right="0"/>
          <w:cols w:num="5" w:equalWidth="0">
            <w:col w:w="1442" w:space="40"/>
            <w:col w:w="1832" w:space="40"/>
            <w:col w:w="3461" w:space="1203"/>
            <w:col w:w="722" w:space="40"/>
            <w:col w:w="2150"/>
          </w:cols>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line="319"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湖北索瑞电气有 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6"/>
          <w:szCs w:val="26"/>
        </w:rPr>
      </w:pPr>
    </w:p>
    <w:p>
      <w:pPr>
        <w:tabs>
          <w:tab w:pos="1111" w:val="left" w:leader="none"/>
        </w:tabs>
        <w:spacing w:before="0"/>
        <w:ind w:left="71" w:right="-20" w:firstLine="0"/>
        <w:jc w:val="left"/>
        <w:rPr>
          <w:rFonts w:ascii="宋体" w:hAnsi="宋体" w:cs="宋体" w:eastAsia="宋体" w:hint="default"/>
          <w:sz w:val="18"/>
          <w:szCs w:val="18"/>
        </w:rPr>
      </w:pPr>
      <w:r>
        <w:rPr>
          <w:rFonts w:ascii="宋体" w:hAnsi="宋体" w:cs="宋体" w:eastAsia="宋体" w:hint="default"/>
          <w:sz w:val="18"/>
          <w:szCs w:val="18"/>
        </w:rPr>
        <w:t>湖北荆州</w:t>
        <w:tab/>
        <w:t>湖北荆州</w:t>
      </w:r>
    </w:p>
    <w:p>
      <w:pPr>
        <w:spacing w:line="319" w:lineRule="auto" w:before="113"/>
        <w:ind w:left="40" w:right="-6" w:firstLine="0"/>
        <w:jc w:val="left"/>
        <w:rPr>
          <w:rFonts w:ascii="宋体" w:hAnsi="宋体" w:cs="宋体" w:eastAsia="宋体" w:hint="default"/>
          <w:sz w:val="18"/>
          <w:szCs w:val="18"/>
        </w:rPr>
      </w:pPr>
      <w:r>
        <w:rPr/>
        <w:br w:type="column"/>
      </w:r>
      <w:r>
        <w:rPr>
          <w:rFonts w:ascii="宋体" w:hAnsi="宋体" w:cs="宋体" w:eastAsia="宋体" w:hint="default"/>
          <w:sz w:val="18"/>
          <w:szCs w:val="18"/>
        </w:rPr>
        <w:t>电能计量箱的设计、生产和销售，高低压电 气成套开关设备及控制设备的设计、生产和 </w:t>
      </w:r>
      <w:r>
        <w:rPr>
          <w:rFonts w:ascii="宋体" w:hAnsi="宋体" w:cs="宋体" w:eastAsia="宋体" w:hint="default"/>
          <w:spacing w:val="-5"/>
          <w:sz w:val="18"/>
          <w:szCs w:val="18"/>
        </w:rPr>
        <w:t>销售，电力电子产品技术开发、应用、销售，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电力工程安装服务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6"/>
          <w:szCs w:val="26"/>
        </w:rPr>
      </w:pPr>
    </w:p>
    <w:p>
      <w:pPr>
        <w:spacing w:before="0"/>
        <w:ind w:left="178" w:right="-20" w:firstLine="0"/>
        <w:jc w:val="left"/>
        <w:rPr>
          <w:rFonts w:ascii="宋体" w:hAnsi="宋体" w:cs="宋体" w:eastAsia="宋体" w:hint="default"/>
          <w:sz w:val="18"/>
          <w:szCs w:val="18"/>
        </w:rPr>
      </w:pPr>
      <w:r>
        <w:rPr>
          <w:rFonts w:ascii="宋体"/>
          <w:sz w:val="18"/>
        </w:rPr>
        <w:t>100.00%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4"/>
          <w:szCs w:val="14"/>
        </w:rPr>
      </w:pPr>
    </w:p>
    <w:p>
      <w:pPr>
        <w:spacing w:line="319" w:lineRule="auto" w:before="0"/>
        <w:ind w:left="181" w:right="1211" w:firstLine="0"/>
        <w:jc w:val="left"/>
        <w:rPr>
          <w:rFonts w:ascii="宋体" w:hAnsi="宋体" w:cs="宋体" w:eastAsia="宋体" w:hint="default"/>
          <w:sz w:val="18"/>
          <w:szCs w:val="18"/>
        </w:rPr>
      </w:pPr>
      <w:r>
        <w:rPr>
          <w:rFonts w:ascii="宋体" w:hAnsi="宋体" w:cs="宋体" w:eastAsia="宋体" w:hint="default"/>
          <w:sz w:val="18"/>
          <w:szCs w:val="18"/>
        </w:rPr>
        <w:t>非同一控制 下企业合并</w:t>
      </w:r>
    </w:p>
    <w:p>
      <w:pPr>
        <w:spacing w:after="0" w:line="319" w:lineRule="auto"/>
        <w:jc w:val="left"/>
        <w:rPr>
          <w:rFonts w:ascii="宋体" w:hAnsi="宋体" w:cs="宋体" w:eastAsia="宋体" w:hint="default"/>
          <w:sz w:val="18"/>
          <w:szCs w:val="18"/>
        </w:rPr>
        <w:sectPr>
          <w:type w:val="continuous"/>
          <w:pgSz w:w="11910" w:h="16840"/>
          <w:pgMar w:top="1580" w:bottom="700" w:left="980" w:right="0"/>
          <w:cols w:num="5" w:equalWidth="0">
            <w:col w:w="1442" w:space="40"/>
            <w:col w:w="1832" w:space="40"/>
            <w:col w:w="3555" w:space="40"/>
            <w:col w:w="809" w:space="857"/>
            <w:col w:w="2315"/>
          </w:cols>
        </w:sectPr>
      </w:pPr>
    </w:p>
    <w:p>
      <w:pPr>
        <w:spacing w:line="240" w:lineRule="auto" w:before="5"/>
        <w:rPr>
          <w:rFonts w:ascii="宋体" w:hAnsi="宋体" w:cs="宋体" w:eastAsia="宋体" w:hint="default"/>
          <w:sz w:val="20"/>
          <w:szCs w:val="20"/>
        </w:rPr>
      </w:pPr>
    </w:p>
    <w:p>
      <w:pPr>
        <w:spacing w:line="319"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湖北鼎瑞科技有 限公司</w:t>
      </w:r>
    </w:p>
    <w:p>
      <w:pPr>
        <w:tabs>
          <w:tab w:pos="1111" w:val="left" w:leader="none"/>
        </w:tabs>
        <w:spacing w:line="316" w:lineRule="auto" w:before="110"/>
        <w:ind w:left="71" w:right="0" w:firstLine="1839"/>
        <w:jc w:val="left"/>
        <w:rPr>
          <w:rFonts w:ascii="宋体" w:hAnsi="宋体" w:cs="宋体" w:eastAsia="宋体" w:hint="default"/>
          <w:sz w:val="18"/>
          <w:szCs w:val="18"/>
        </w:rPr>
      </w:pPr>
      <w:r>
        <w:rPr/>
        <w:br w:type="column"/>
      </w:r>
      <w:r>
        <w:rPr>
          <w:rFonts w:ascii="宋体" w:hAnsi="宋体" w:cs="宋体" w:eastAsia="宋体" w:hint="default"/>
          <w:sz w:val="18"/>
          <w:szCs w:val="18"/>
        </w:rPr>
        <w:t>高低压电器及成套设备、塑料制品的生产、 湖北荆州</w:t>
        <w:tab/>
        <w:t>湖北荆州</w:t>
      </w:r>
      <w:r>
        <w:rPr>
          <w:rFonts w:ascii="宋体" w:hAnsi="宋体" w:cs="宋体" w:eastAsia="宋体" w:hint="default"/>
          <w:spacing w:val="-10"/>
          <w:sz w:val="18"/>
          <w:szCs w:val="18"/>
        </w:rPr>
        <w:t> </w:t>
      </w:r>
      <w:r>
        <w:rPr>
          <w:rFonts w:ascii="宋体" w:hAnsi="宋体" w:cs="宋体" w:eastAsia="宋体" w:hint="default"/>
          <w:sz w:val="18"/>
          <w:szCs w:val="18"/>
        </w:rPr>
        <w:t>销售；电力系统技术开发及应用；电子产品</w:t>
      </w:r>
    </w:p>
    <w:p>
      <w:pPr>
        <w:spacing w:before="20"/>
        <w:ind w:left="1892" w:right="2138" w:firstLine="0"/>
        <w:jc w:val="center"/>
        <w:rPr>
          <w:rFonts w:ascii="宋体" w:hAnsi="宋体" w:cs="宋体" w:eastAsia="宋体" w:hint="default"/>
          <w:sz w:val="18"/>
          <w:szCs w:val="18"/>
        </w:rPr>
      </w:pPr>
      <w:r>
        <w:rPr>
          <w:rFonts w:ascii="宋体" w:hAnsi="宋体" w:cs="宋体" w:eastAsia="宋体" w:hint="default"/>
          <w:sz w:val="18"/>
          <w:szCs w:val="18"/>
        </w:rPr>
        <w:t>技术开发和销售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4"/>
          <w:szCs w:val="14"/>
        </w:rPr>
      </w:pPr>
    </w:p>
    <w:p>
      <w:pPr>
        <w:spacing w:before="0"/>
        <w:ind w:left="181" w:right="-20" w:firstLine="0"/>
        <w:jc w:val="left"/>
        <w:rPr>
          <w:rFonts w:ascii="宋体" w:hAnsi="宋体" w:cs="宋体" w:eastAsia="宋体" w:hint="default"/>
          <w:sz w:val="18"/>
          <w:szCs w:val="18"/>
        </w:rPr>
      </w:pPr>
      <w:r>
        <w:rPr>
          <w:rFonts w:ascii="宋体"/>
          <w:sz w:val="18"/>
        </w:rPr>
        <w:t>100.00%</w:t>
      </w:r>
    </w:p>
    <w:p>
      <w:pPr>
        <w:spacing w:line="240" w:lineRule="auto" w:before="5"/>
        <w:rPr>
          <w:rFonts w:ascii="宋体" w:hAnsi="宋体" w:cs="宋体" w:eastAsia="宋体" w:hint="default"/>
          <w:sz w:val="20"/>
          <w:szCs w:val="20"/>
        </w:rPr>
      </w:pPr>
      <w:r>
        <w:rPr/>
        <w:br w:type="column"/>
      </w:r>
      <w:r>
        <w:rPr>
          <w:rFonts w:ascii="宋体"/>
          <w:sz w:val="20"/>
        </w:rPr>
      </w:r>
    </w:p>
    <w:p>
      <w:pPr>
        <w:spacing w:line="319" w:lineRule="auto" w:before="0"/>
        <w:ind w:left="16" w:right="1211" w:firstLine="0"/>
        <w:jc w:val="left"/>
        <w:rPr>
          <w:rFonts w:ascii="宋体" w:hAnsi="宋体" w:cs="宋体" w:eastAsia="宋体" w:hint="default"/>
          <w:sz w:val="18"/>
          <w:szCs w:val="18"/>
        </w:rPr>
      </w:pPr>
      <w:r>
        <w:rPr>
          <w:rFonts w:ascii="宋体" w:hAnsi="宋体" w:cs="宋体" w:eastAsia="宋体" w:hint="default"/>
          <w:sz w:val="18"/>
          <w:szCs w:val="18"/>
        </w:rPr>
        <w:t>非同一控制 下企业合并</w:t>
      </w:r>
    </w:p>
    <w:p>
      <w:pPr>
        <w:spacing w:after="0" w:line="319" w:lineRule="auto"/>
        <w:jc w:val="left"/>
        <w:rPr>
          <w:rFonts w:ascii="宋体" w:hAnsi="宋体" w:cs="宋体" w:eastAsia="宋体" w:hint="default"/>
          <w:sz w:val="18"/>
          <w:szCs w:val="18"/>
        </w:rPr>
        <w:sectPr>
          <w:type w:val="continuous"/>
          <w:pgSz w:w="11910" w:h="16840"/>
          <w:pgMar w:top="1580" w:bottom="700" w:left="980" w:right="0"/>
          <w:cols w:num="4" w:equalWidth="0">
            <w:col w:w="1442" w:space="40"/>
            <w:col w:w="5332" w:space="1113"/>
            <w:col w:w="812" w:space="40"/>
            <w:col w:w="2151"/>
          </w:cols>
        </w:sectPr>
      </w:pP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580" w:bottom="700" w:left="980" w:right="0"/>
        </w:sectPr>
      </w:pPr>
    </w:p>
    <w:p>
      <w:pPr>
        <w:spacing w:line="240" w:lineRule="auto" w:before="0"/>
        <w:rPr>
          <w:rFonts w:ascii="宋体" w:hAnsi="宋体" w:cs="宋体" w:eastAsia="宋体" w:hint="default"/>
          <w:sz w:val="18"/>
          <w:szCs w:val="18"/>
        </w:rPr>
      </w:pPr>
    </w:p>
    <w:p>
      <w:pPr>
        <w:spacing w:line="316" w:lineRule="auto" w:before="121"/>
        <w:ind w:left="181" w:right="-20" w:firstLine="0"/>
        <w:jc w:val="left"/>
        <w:rPr>
          <w:rFonts w:ascii="宋体" w:hAnsi="宋体" w:cs="宋体" w:eastAsia="宋体" w:hint="default"/>
          <w:sz w:val="18"/>
          <w:szCs w:val="18"/>
        </w:rPr>
      </w:pPr>
      <w:r>
        <w:rPr>
          <w:rFonts w:ascii="宋体" w:hAnsi="宋体" w:cs="宋体" w:eastAsia="宋体" w:hint="default"/>
          <w:sz w:val="18"/>
          <w:szCs w:val="18"/>
        </w:rPr>
        <w:t>武汉睿博电气有 限责任公司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tabs>
          <w:tab w:pos="1111" w:val="left" w:leader="none"/>
        </w:tabs>
        <w:spacing w:before="0"/>
        <w:ind w:left="71" w:right="-20" w:firstLine="0"/>
        <w:jc w:val="left"/>
        <w:rPr>
          <w:rFonts w:ascii="宋体" w:hAnsi="宋体" w:cs="宋体" w:eastAsia="宋体" w:hint="default"/>
          <w:sz w:val="18"/>
          <w:szCs w:val="18"/>
        </w:rPr>
      </w:pPr>
      <w:r>
        <w:rPr>
          <w:rFonts w:ascii="宋体" w:hAnsi="宋体" w:cs="宋体" w:eastAsia="宋体" w:hint="default"/>
          <w:sz w:val="18"/>
          <w:szCs w:val="18"/>
        </w:rPr>
        <w:t>湖北武汉</w:t>
        <w:tab/>
        <w:t>湖北武汉</w:t>
      </w:r>
    </w:p>
    <w:p>
      <w:pPr>
        <w:spacing w:line="316" w:lineRule="auto" w:before="44"/>
        <w:ind w:left="40"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高低压电器及成套设备、塑料制品、五金钣 金加工制品生产、销售；电力电子产品技术 开发、应用、销售；光纤复合网络系统技术 研发及应用。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before="0"/>
        <w:ind w:left="181" w:right="-20" w:firstLine="0"/>
        <w:jc w:val="left"/>
        <w:rPr>
          <w:rFonts w:ascii="宋体" w:hAnsi="宋体" w:cs="宋体" w:eastAsia="宋体" w:hint="default"/>
          <w:sz w:val="18"/>
          <w:szCs w:val="18"/>
        </w:rPr>
      </w:pPr>
      <w:r>
        <w:rPr>
          <w:rFonts w:ascii="宋体"/>
          <w:sz w:val="18"/>
        </w:rPr>
        <w:t>100.00%</w:t>
      </w:r>
    </w:p>
    <w:p>
      <w:pPr>
        <w:spacing w:line="240" w:lineRule="auto" w:before="0"/>
        <w:rPr>
          <w:rFonts w:ascii="宋体" w:hAnsi="宋体" w:cs="宋体" w:eastAsia="宋体" w:hint="default"/>
          <w:sz w:val="18"/>
          <w:szCs w:val="18"/>
        </w:rPr>
      </w:pPr>
      <w:r>
        <w:rPr/>
        <w:br w:type="column"/>
      </w:r>
      <w:r>
        <w:rPr>
          <w:rFonts w:ascii="宋体"/>
          <w:sz w:val="18"/>
        </w:rPr>
      </w:r>
    </w:p>
    <w:p>
      <w:pPr>
        <w:spacing w:line="316" w:lineRule="auto" w:before="121"/>
        <w:ind w:left="16" w:right="1211" w:firstLine="0"/>
        <w:jc w:val="left"/>
        <w:rPr>
          <w:rFonts w:ascii="宋体" w:hAnsi="宋体" w:cs="宋体" w:eastAsia="宋体" w:hint="default"/>
          <w:sz w:val="18"/>
          <w:szCs w:val="18"/>
        </w:rPr>
      </w:pPr>
      <w:r>
        <w:rPr>
          <w:rFonts w:ascii="宋体" w:hAnsi="宋体" w:cs="宋体" w:eastAsia="宋体" w:hint="default"/>
          <w:sz w:val="18"/>
          <w:szCs w:val="18"/>
        </w:rPr>
        <w:t>非同一控制 下企业合并</w:t>
      </w:r>
    </w:p>
    <w:p>
      <w:pPr>
        <w:spacing w:after="0" w:line="316" w:lineRule="auto"/>
        <w:jc w:val="left"/>
        <w:rPr>
          <w:rFonts w:ascii="宋体" w:hAnsi="宋体" w:cs="宋体" w:eastAsia="宋体" w:hint="default"/>
          <w:sz w:val="18"/>
          <w:szCs w:val="18"/>
        </w:rPr>
        <w:sectPr>
          <w:type w:val="continuous"/>
          <w:pgSz w:w="11910" w:h="16840"/>
          <w:pgMar w:top="1580" w:bottom="700" w:left="980" w:right="0"/>
          <w:cols w:num="5" w:equalWidth="0">
            <w:col w:w="1442" w:space="40"/>
            <w:col w:w="1832" w:space="40"/>
            <w:col w:w="3461" w:space="1113"/>
            <w:col w:w="812" w:space="40"/>
            <w:col w:w="2150"/>
          </w:cols>
        </w:sect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580" w:bottom="700" w:left="980" w:right="0"/>
        </w:sectPr>
      </w:pPr>
    </w:p>
    <w:p>
      <w:pPr>
        <w:spacing w:line="240" w:lineRule="auto" w:before="0"/>
        <w:rPr>
          <w:rFonts w:ascii="宋体" w:hAnsi="宋体" w:cs="宋体" w:eastAsia="宋体" w:hint="default"/>
          <w:sz w:val="18"/>
          <w:szCs w:val="18"/>
        </w:rPr>
      </w:pPr>
    </w:p>
    <w:p>
      <w:pPr>
        <w:spacing w:line="319" w:lineRule="auto" w:before="121"/>
        <w:ind w:left="181" w:right="-20" w:firstLine="0"/>
        <w:jc w:val="left"/>
        <w:rPr>
          <w:rFonts w:ascii="宋体" w:hAnsi="宋体" w:cs="宋体" w:eastAsia="宋体" w:hint="default"/>
          <w:sz w:val="18"/>
          <w:szCs w:val="18"/>
        </w:rPr>
      </w:pPr>
      <w:r>
        <w:rPr>
          <w:rFonts w:ascii="宋体" w:hAnsi="宋体" w:cs="宋体" w:eastAsia="宋体" w:hint="default"/>
          <w:sz w:val="18"/>
          <w:szCs w:val="18"/>
        </w:rPr>
        <w:t>荆州市山源科技 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1"/>
          <w:szCs w:val="21"/>
        </w:rPr>
      </w:pPr>
    </w:p>
    <w:p>
      <w:pPr>
        <w:tabs>
          <w:tab w:pos="1111" w:val="left" w:leader="none"/>
        </w:tabs>
        <w:spacing w:before="0"/>
        <w:ind w:left="71" w:right="-20" w:firstLine="0"/>
        <w:jc w:val="left"/>
        <w:rPr>
          <w:rFonts w:ascii="宋体" w:hAnsi="宋体" w:cs="宋体" w:eastAsia="宋体" w:hint="default"/>
          <w:sz w:val="18"/>
          <w:szCs w:val="18"/>
        </w:rPr>
      </w:pPr>
      <w:r>
        <w:rPr>
          <w:rFonts w:ascii="宋体" w:hAnsi="宋体" w:cs="宋体" w:eastAsia="宋体" w:hint="default"/>
          <w:sz w:val="18"/>
          <w:szCs w:val="18"/>
        </w:rPr>
        <w:t>湖北荆州</w:t>
        <w:tab/>
        <w:t>湖北荆州</w:t>
      </w:r>
    </w:p>
    <w:p>
      <w:pPr>
        <w:spacing w:line="319" w:lineRule="auto" w:before="44"/>
        <w:ind w:left="40"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高低压电器及成套设备、塑料制品生产、销 售；五金钣金制品加工、销售；电力电子产 品技术开发、应用、销售；光纤复合网络系 统技术研发及应用。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1"/>
          <w:szCs w:val="21"/>
        </w:rPr>
      </w:pPr>
    </w:p>
    <w:p>
      <w:pPr>
        <w:spacing w:before="0"/>
        <w:ind w:left="181" w:right="-20" w:firstLine="0"/>
        <w:jc w:val="left"/>
        <w:rPr>
          <w:rFonts w:ascii="宋体" w:hAnsi="宋体" w:cs="宋体" w:eastAsia="宋体" w:hint="default"/>
          <w:sz w:val="18"/>
          <w:szCs w:val="18"/>
        </w:rPr>
      </w:pPr>
      <w:r>
        <w:rPr>
          <w:rFonts w:ascii="宋体"/>
          <w:sz w:val="18"/>
        </w:rPr>
        <w:t>100.00%</w:t>
      </w:r>
    </w:p>
    <w:p>
      <w:pPr>
        <w:spacing w:line="240" w:lineRule="auto" w:before="0"/>
        <w:rPr>
          <w:rFonts w:ascii="宋体" w:hAnsi="宋体" w:cs="宋体" w:eastAsia="宋体" w:hint="default"/>
          <w:sz w:val="18"/>
          <w:szCs w:val="18"/>
        </w:rPr>
      </w:pPr>
      <w:r>
        <w:rPr/>
        <w:br w:type="column"/>
      </w:r>
      <w:r>
        <w:rPr>
          <w:rFonts w:ascii="宋体"/>
          <w:sz w:val="18"/>
        </w:rPr>
      </w:r>
    </w:p>
    <w:p>
      <w:pPr>
        <w:spacing w:line="319" w:lineRule="auto" w:before="121"/>
        <w:ind w:left="16" w:right="1211" w:firstLine="0"/>
        <w:jc w:val="left"/>
        <w:rPr>
          <w:rFonts w:ascii="宋体" w:hAnsi="宋体" w:cs="宋体" w:eastAsia="宋体" w:hint="default"/>
          <w:sz w:val="18"/>
          <w:szCs w:val="18"/>
        </w:rPr>
      </w:pPr>
      <w:r>
        <w:rPr>
          <w:rFonts w:ascii="宋体" w:hAnsi="宋体" w:cs="宋体" w:eastAsia="宋体" w:hint="default"/>
          <w:sz w:val="18"/>
          <w:szCs w:val="18"/>
        </w:rPr>
        <w:t>非同一控制 下企业合并</w:t>
      </w:r>
    </w:p>
    <w:p>
      <w:pPr>
        <w:spacing w:after="0" w:line="319" w:lineRule="auto"/>
        <w:jc w:val="left"/>
        <w:rPr>
          <w:rFonts w:ascii="宋体" w:hAnsi="宋体" w:cs="宋体" w:eastAsia="宋体" w:hint="default"/>
          <w:sz w:val="18"/>
          <w:szCs w:val="18"/>
        </w:rPr>
        <w:sectPr>
          <w:type w:val="continuous"/>
          <w:pgSz w:w="11910" w:h="16840"/>
          <w:pgMar w:top="1580" w:bottom="700" w:left="980" w:right="0"/>
          <w:cols w:num="5" w:equalWidth="0">
            <w:col w:w="1442" w:space="40"/>
            <w:col w:w="1832" w:space="40"/>
            <w:col w:w="3461" w:space="1113"/>
            <w:col w:w="812" w:space="40"/>
            <w:col w:w="2150"/>
          </w:cols>
        </w:sectPr>
      </w:pPr>
    </w:p>
    <w:p>
      <w:pPr>
        <w:spacing w:line="240" w:lineRule="auto" w:before="7"/>
        <w:rPr>
          <w:rFonts w:ascii="宋体" w:hAnsi="宋体" w:cs="宋体" w:eastAsia="宋体" w:hint="default"/>
          <w:sz w:val="16"/>
          <w:szCs w:val="16"/>
        </w:rPr>
      </w:pPr>
      <w:r>
        <w:rPr/>
        <w:pict>
          <v:group style="position:absolute;margin-left:55.919998pt;margin-top:71.249985pt;width:480.15pt;height:696.25pt;mso-position-horizontal-relative:page;mso-position-vertical-relative:page;z-index:-903664" coordorigin="1118,1425" coordsize="9603,13925">
            <v:group style="position:absolute;left:1148;top:1470;width:1351;height:204" coordorigin="1148,1470" coordsize="1351,204">
              <v:shape style="position:absolute;left:1148;top:1470;width:1351;height:204" coordorigin="1148,1470" coordsize="1351,204" path="m1148,1674l2499,1674,2499,1470,1148,1470,1148,1674xe" filled="true" fillcolor="#d2d2d2" stroked="false">
                <v:path arrowok="t"/>
                <v:fill type="solid"/>
              </v:shape>
            </v:group>
            <v:group style="position:absolute;left:1155;top:1674;width:2;height:392" coordorigin="1155,1674" coordsize="2,392">
              <v:shape style="position:absolute;left:1155;top:1674;width:2;height:392" coordorigin="1155,1674" coordsize="0,392" path="m1155,1674l1155,2065e" filled="false" stroked="true" strokeweight=".66pt" strokecolor="#d2d2d2">
                <v:path arrowok="t"/>
              </v:shape>
            </v:group>
            <v:group style="position:absolute;left:2488;top:1674;width:2;height:392" coordorigin="2488,1674" coordsize="2,392">
              <v:shape style="position:absolute;left:2488;top:1674;width:2;height:392" coordorigin="2488,1674" coordsize="0,392" path="m2488,1674l2488,2065e" filled="false" stroked="true" strokeweight="1.08pt" strokecolor="#d2d2d2">
                <v:path arrowok="t"/>
              </v:shape>
            </v:group>
            <v:group style="position:absolute;left:1148;top:2065;width:1351;height:204" coordorigin="1148,2065" coordsize="1351,204">
              <v:shape style="position:absolute;left:1148;top:2065;width:1351;height:204" coordorigin="1148,2065" coordsize="1351,204" path="m1148,2269l2499,2269,2499,2065,1148,2065,1148,2269xe" filled="true" fillcolor="#d2d2d2" stroked="false">
                <v:path arrowok="t"/>
                <v:fill type="solid"/>
              </v:shape>
            </v:group>
            <v:group style="position:absolute;left:1162;top:1674;width:1316;height:392" coordorigin="1162,1674" coordsize="1316,392">
              <v:shape style="position:absolute;left:1162;top:1674;width:1316;height:392" coordorigin="1162,1674" coordsize="1316,392" path="m1162,2065l2477,2065,2477,1674,1162,1674,1162,2065xe" filled="true" fillcolor="#d2d2d2" stroked="false">
                <v:path arrowok="t"/>
                <v:fill type="solid"/>
              </v:shape>
            </v:group>
            <v:group style="position:absolute;left:2512;top:1470;width:1026;height:204" coordorigin="2512,1470" coordsize="1026,204">
              <v:shape style="position:absolute;left:2512;top:1470;width:1026;height:204" coordorigin="2512,1470" coordsize="1026,204" path="m2512,1674l3538,1674,3538,1470,2512,1470,2512,1674xe" filled="true" fillcolor="#d2d2d2" stroked="false">
                <v:path arrowok="t"/>
                <v:fill type="solid"/>
              </v:shape>
            </v:group>
            <v:group style="position:absolute;left:2523;top:1674;width:2;height:392" coordorigin="2523,1674" coordsize="2,392">
              <v:shape style="position:absolute;left:2523;top:1674;width:2;height:392" coordorigin="2523,1674" coordsize="0,392" path="m2523,1674l2523,2065e" filled="false" stroked="true" strokeweight="1.08pt" strokecolor="#d2d2d2">
                <v:path arrowok="t"/>
              </v:shape>
            </v:group>
            <v:group style="position:absolute;left:3527;top:1674;width:2;height:392" coordorigin="3527,1674" coordsize="2,392">
              <v:shape style="position:absolute;left:3527;top:1674;width:2;height:392" coordorigin="3527,1674" coordsize="0,392" path="m3527,1674l3527,2065e" filled="false" stroked="true" strokeweight="1.08pt" strokecolor="#d2d2d2">
                <v:path arrowok="t"/>
              </v:shape>
            </v:group>
            <v:group style="position:absolute;left:2512;top:2065;width:1026;height:204" coordorigin="2512,2065" coordsize="1026,204">
              <v:shape style="position:absolute;left:2512;top:2065;width:1026;height:204" coordorigin="2512,2065" coordsize="1026,204" path="m2512,2269l3538,2269,3538,2065,2512,2065,2512,2269xe" filled="true" fillcolor="#d2d2d2" stroked="false">
                <v:path arrowok="t"/>
                <v:fill type="solid"/>
              </v:shape>
            </v:group>
            <v:group style="position:absolute;left:2534;top:1674;width:983;height:392" coordorigin="2534,1674" coordsize="983,392">
              <v:shape style="position:absolute;left:2534;top:1674;width:983;height:392" coordorigin="2534,1674" coordsize="983,392" path="m2534,2065l3516,2065,3516,1674,2534,1674,2534,2065xe" filled="true" fillcolor="#d2d2d2" stroked="false">
                <v:path arrowok="t"/>
                <v:fill type="solid"/>
              </v:shape>
            </v:group>
            <v:group style="position:absolute;left:3551;top:1470;width:788;height:204" coordorigin="3551,1470" coordsize="788,204">
              <v:shape style="position:absolute;left:3551;top:1470;width:788;height:204" coordorigin="3551,1470" coordsize="788,204" path="m3551,1674l4338,1674,4338,1470,3551,1470,3551,1674xe" filled="true" fillcolor="#d2d2d2" stroked="false">
                <v:path arrowok="t"/>
                <v:fill type="solid"/>
              </v:shape>
            </v:group>
            <v:group style="position:absolute;left:3562;top:1674;width:2;height:392" coordorigin="3562,1674" coordsize="2,392">
              <v:shape style="position:absolute;left:3562;top:1674;width:2;height:392" coordorigin="3562,1674" coordsize="0,392" path="m3562,1674l3562,2065e" filled="false" stroked="true" strokeweight="1.08pt" strokecolor="#d2d2d2">
                <v:path arrowok="t"/>
              </v:shape>
            </v:group>
            <v:group style="position:absolute;left:4328;top:1674;width:2;height:392" coordorigin="4328,1674" coordsize="2,392">
              <v:shape style="position:absolute;left:4328;top:1674;width:2;height:392" coordorigin="4328,1674" coordsize="0,392" path="m4328,1674l4328,2065e" filled="false" stroked="true" strokeweight="1.02pt" strokecolor="#d2d2d2">
                <v:path arrowok="t"/>
              </v:shape>
            </v:group>
            <v:group style="position:absolute;left:3551;top:2065;width:788;height:204" coordorigin="3551,2065" coordsize="788,204">
              <v:shape style="position:absolute;left:3551;top:2065;width:788;height:204" coordorigin="3551,2065" coordsize="788,204" path="m3551,2269l4338,2269,4338,2065,3551,2065,3551,2269xe" filled="true" fillcolor="#d2d2d2" stroked="false">
                <v:path arrowok="t"/>
                <v:fill type="solid"/>
              </v:shape>
            </v:group>
            <v:group style="position:absolute;left:3573;top:1674;width:746;height:392" coordorigin="3573,1674" coordsize="746,392">
              <v:shape style="position:absolute;left:3573;top:1674;width:746;height:392" coordorigin="3573,1674" coordsize="746,392" path="m3573,2065l4318,2065,4318,1674,3573,1674,3573,2065xe" filled="true" fillcolor="#d2d2d2" stroked="false">
                <v:path arrowok="t"/>
                <v:fill type="solid"/>
              </v:shape>
            </v:group>
            <v:group style="position:absolute;left:4353;top:1470;width:3466;height:204" coordorigin="4353,1470" coordsize="3466,204">
              <v:shape style="position:absolute;left:4353;top:1470;width:3466;height:204" coordorigin="4353,1470" coordsize="3466,204" path="m4353,1674l7819,1674,7819,1470,4353,1470,4353,1674xe" filled="true" fillcolor="#d2d2d2" stroked="false">
                <v:path arrowok="t"/>
                <v:fill type="solid"/>
              </v:shape>
            </v:group>
            <v:group style="position:absolute;left:4363;top:1674;width:2;height:392" coordorigin="4363,1674" coordsize="2,392">
              <v:shape style="position:absolute;left:4363;top:1674;width:2;height:392" coordorigin="4363,1674" coordsize="0,392" path="m4363,1674l4363,2065e" filled="false" stroked="true" strokeweight="1.02pt" strokecolor="#d2d2d2">
                <v:path arrowok="t"/>
              </v:shape>
            </v:group>
            <v:group style="position:absolute;left:7809;top:1674;width:2;height:392" coordorigin="7809,1674" coordsize="2,392">
              <v:shape style="position:absolute;left:7809;top:1674;width:2;height:392" coordorigin="7809,1674" coordsize="0,392" path="m7809,1674l7809,2065e" filled="false" stroked="true" strokeweight="1.02pt" strokecolor="#d2d2d2">
                <v:path arrowok="t"/>
              </v:shape>
            </v:group>
            <v:group style="position:absolute;left:4353;top:2065;width:3466;height:204" coordorigin="4353,2065" coordsize="3466,204">
              <v:shape style="position:absolute;left:4353;top:2065;width:3466;height:204" coordorigin="4353,2065" coordsize="3466,204" path="m4353,2269l7819,2269,7819,2065,4353,2065,4353,2269xe" filled="true" fillcolor="#d2d2d2" stroked="false">
                <v:path arrowok="t"/>
                <v:fill type="solid"/>
              </v:shape>
            </v:group>
            <v:group style="position:absolute;left:4373;top:1674;width:3426;height:392" coordorigin="4373,1674" coordsize="3426,392">
              <v:shape style="position:absolute;left:4373;top:1674;width:3426;height:392" coordorigin="4373,1674" coordsize="3426,392" path="m4373,2065l7798,2065,7798,1674,4373,1674,4373,2065xe" filled="true" fillcolor="#d2d2d2" stroked="false">
                <v:path arrowok="t"/>
                <v:fill type="solid"/>
              </v:shape>
            </v:group>
            <v:group style="position:absolute;left:7843;top:1470;width:2;height:393" coordorigin="7843,1470" coordsize="2,393">
              <v:shape style="position:absolute;left:7843;top:1470;width:2;height:393" coordorigin="7843,1470" coordsize="0,393" path="m7843,1470l7843,1862e" filled="false" stroked="true" strokeweight="1.02pt" strokecolor="#d2d2d2">
                <v:path arrowok="t"/>
              </v:shape>
            </v:group>
            <v:group style="position:absolute;left:9729;top:1470;width:2;height:393" coordorigin="9729,1470" coordsize="2,393">
              <v:shape style="position:absolute;left:9729;top:1470;width:2;height:393" coordorigin="9729,1470" coordsize="0,393" path="m9729,1470l9729,1862e" filled="false" stroked="true" strokeweight="1.02pt" strokecolor="#d2d2d2">
                <v:path arrowok="t"/>
              </v:shape>
            </v:group>
            <v:group style="position:absolute;left:7854;top:1470;width:1866;height:393" coordorigin="7854,1470" coordsize="1866,393">
              <v:shape style="position:absolute;left:7854;top:1470;width:1866;height:393" coordorigin="7854,1470" coordsize="1866,393" path="m7854,1862l9719,1862,9719,1470,7854,1470,7854,1862xe" filled="true" fillcolor="#d2d2d2" stroked="false">
                <v:path arrowok="t"/>
                <v:fill type="solid"/>
              </v:shape>
            </v:group>
            <v:group style="position:absolute;left:9754;top:1470;width:938;height:204" coordorigin="9754,1470" coordsize="938,204">
              <v:shape style="position:absolute;left:9754;top:1470;width:938;height:204" coordorigin="9754,1470" coordsize="938,204" path="m9754,1674l10691,1674,10691,1470,9754,1470,9754,1674xe" filled="true" fillcolor="#d2d2d2" stroked="false">
                <v:path arrowok="t"/>
                <v:fill type="solid"/>
              </v:shape>
            </v:group>
            <v:group style="position:absolute;left:9764;top:1674;width:2;height:392" coordorigin="9764,1674" coordsize="2,392">
              <v:shape style="position:absolute;left:9764;top:1674;width:2;height:392" coordorigin="9764,1674" coordsize="0,392" path="m9764,1674l9764,2065e" filled="false" stroked="true" strokeweight="1.02pt" strokecolor="#d2d2d2">
                <v:path arrowok="t"/>
              </v:shape>
            </v:group>
            <v:group style="position:absolute;left:10685;top:1674;width:2;height:392" coordorigin="10685,1674" coordsize="2,392">
              <v:shape style="position:absolute;left:10685;top:1674;width:2;height:392" coordorigin="10685,1674" coordsize="0,392" path="m10685,1674l10685,2065e" filled="false" stroked="true" strokeweight=".599980pt" strokecolor="#d2d2d2">
                <v:path arrowok="t"/>
              </v:shape>
            </v:group>
            <v:group style="position:absolute;left:9754;top:2065;width:938;height:204" coordorigin="9754,2065" coordsize="938,204">
              <v:shape style="position:absolute;left:9754;top:2065;width:938;height:204" coordorigin="9754,2065" coordsize="938,204" path="m9754,2269l10691,2269,10691,2065,9754,2065,9754,2269xe" filled="true" fillcolor="#d2d2d2" stroked="false">
                <v:path arrowok="t"/>
                <v:fill type="solid"/>
              </v:shape>
            </v:group>
            <v:group style="position:absolute;left:9774;top:1674;width:905;height:392" coordorigin="9774,1674" coordsize="905,392">
              <v:shape style="position:absolute;left:9774;top:1674;width:905;height:392" coordorigin="9774,1674" coordsize="905,392" path="m9774,2065l10679,2065,10679,1674,9774,1674,9774,2065xe" filled="true" fillcolor="#d2d2d2" stroked="false">
                <v:path arrowok="t"/>
                <v:fill type="solid"/>
              </v:shape>
            </v:group>
            <v:group style="position:absolute;left:1148;top:1440;width:1351;height:30" coordorigin="1148,1440" coordsize="1351,30">
              <v:shape style="position:absolute;left:1148;top:1440;width:1351;height:30" coordorigin="1148,1440" coordsize="1351,30" path="m1148,1470l2499,1470,2499,1440,1148,1440,1148,1470xe" filled="true" fillcolor="#000000" stroked="false">
                <v:path arrowok="t"/>
                <v:fill type="solid"/>
              </v:shape>
            </v:group>
            <v:group style="position:absolute;left:2499;top:1455;width:30;height:2" coordorigin="2499,1455" coordsize="30,2">
              <v:shape style="position:absolute;left:2499;top:1455;width:30;height:2" coordorigin="2499,1455" coordsize="30,0" path="m2499,1455l2529,1455e" filled="false" stroked="true" strokeweight="1.5pt" strokecolor="#000000">
                <v:path arrowok="t"/>
              </v:shape>
            </v:group>
            <v:group style="position:absolute;left:2529;top:1440;width:1008;height:30" coordorigin="2529,1440" coordsize="1008,30">
              <v:shape style="position:absolute;left:2529;top:1440;width:1008;height:30" coordorigin="2529,1440" coordsize="1008,30" path="m2529,1470l3537,1470,3537,1440,2529,1440,2529,1470xe" filled="true" fillcolor="#000000" stroked="false">
                <v:path arrowok="t"/>
                <v:fill type="solid"/>
              </v:shape>
            </v:group>
            <v:group style="position:absolute;left:3537;top:1455;width:30;height:2" coordorigin="3537,1455" coordsize="30,2">
              <v:shape style="position:absolute;left:3537;top:1455;width:30;height:2" coordorigin="3537,1455" coordsize="30,0" path="m3537,1455l3567,1455e" filled="false" stroked="true" strokeweight="1.5pt" strokecolor="#000000">
                <v:path arrowok="t"/>
              </v:shape>
            </v:group>
            <v:group style="position:absolute;left:3567;top:1440;width:772;height:30" coordorigin="3567,1440" coordsize="772,30">
              <v:shape style="position:absolute;left:3567;top:1440;width:772;height:30" coordorigin="3567,1440" coordsize="772,30" path="m3567,1470l4338,1470,4338,1440,3567,1440,3567,1470xe" filled="true" fillcolor="#000000" stroked="false">
                <v:path arrowok="t"/>
                <v:fill type="solid"/>
              </v:shape>
            </v:group>
            <v:group style="position:absolute;left:4338;top:1455;width:30;height:2" coordorigin="4338,1455" coordsize="30,2">
              <v:shape style="position:absolute;left:4338;top:1455;width:30;height:2" coordorigin="4338,1455" coordsize="30,0" path="m4338,1455l4368,1455e" filled="false" stroked="true" strokeweight="1.5pt" strokecolor="#000000">
                <v:path arrowok="t"/>
              </v:shape>
            </v:group>
            <v:group style="position:absolute;left:4368;top:1440;width:3451;height:30" coordorigin="4368,1440" coordsize="3451,30">
              <v:shape style="position:absolute;left:4368;top:1440;width:3451;height:30" coordorigin="4368,1440" coordsize="3451,30" path="m4368,1470l7819,1470,7819,1440,4368,1440,4368,1470xe" filled="true" fillcolor="#000000" stroked="false">
                <v:path arrowok="t"/>
                <v:fill type="solid"/>
              </v:shape>
            </v:group>
            <v:group style="position:absolute;left:7819;top:1455;width:30;height:2" coordorigin="7819,1455" coordsize="30,2">
              <v:shape style="position:absolute;left:7819;top:1455;width:30;height:2" coordorigin="7819,1455" coordsize="30,0" path="m7819,1455l7849,1455e" filled="false" stroked="true" strokeweight="1.5pt" strokecolor="#000000">
                <v:path arrowok="t"/>
              </v:shape>
            </v:group>
            <v:group style="position:absolute;left:7849;top:1455;width:1891;height:2" coordorigin="7849,1455" coordsize="1891,2">
              <v:shape style="position:absolute;left:7849;top:1455;width:1891;height:2" coordorigin="7849,1455" coordsize="1891,0" path="m7849,1455l9739,1455e" filled="false" stroked="true" strokeweight="1.5pt" strokecolor="#000000">
                <v:path arrowok="t"/>
              </v:shape>
            </v:group>
            <v:group style="position:absolute;left:9739;top:1455;width:30;height:2" coordorigin="9739,1455" coordsize="30,2">
              <v:shape style="position:absolute;left:9739;top:1455;width:30;height:2" coordorigin="9739,1455" coordsize="30,0" path="m9739,1455l9769,1455e" filled="false" stroked="true" strokeweight="1.5pt" strokecolor="#000000">
                <v:path arrowok="t"/>
              </v:shape>
            </v:group>
            <v:group style="position:absolute;left:9769;top:1440;width:922;height:30" coordorigin="9769,1440" coordsize="922,30">
              <v:shape style="position:absolute;left:9769;top:1440;width:922;height:30" coordorigin="9769,1440" coordsize="922,30" path="m9769,1470l10691,1470,10691,1440,9769,1440,9769,1470xe" filled="true" fillcolor="#000000" stroked="false">
                <v:path arrowok="t"/>
                <v:fill type="solid"/>
              </v:shape>
            </v:group>
            <v:group style="position:absolute;left:7843;top:1877;width:2;height:393" coordorigin="7843,1877" coordsize="2,393">
              <v:shape style="position:absolute;left:7843;top:1877;width:2;height:393" coordorigin="7843,1877" coordsize="0,393" path="m7843,1877l7843,2269e" filled="false" stroked="true" strokeweight="1.02pt" strokecolor="#d2d2d2">
                <v:path arrowok="t"/>
              </v:shape>
            </v:group>
            <v:group style="position:absolute;left:8747;top:1877;width:2;height:393" coordorigin="8747,1877" coordsize="2,393">
              <v:shape style="position:absolute;left:8747;top:1877;width:2;height:393" coordorigin="8747,1877" coordsize="0,393" path="m8747,1877l8747,2269e" filled="false" stroked="true" strokeweight="1.08pt" strokecolor="#d2d2d2">
                <v:path arrowok="t"/>
              </v:shape>
            </v:group>
            <v:group style="position:absolute;left:7854;top:1877;width:883;height:393" coordorigin="7854,1877" coordsize="883,393">
              <v:shape style="position:absolute;left:7854;top:1877;width:883;height:393" coordorigin="7854,1877" coordsize="883,393" path="m7854,2269l8736,2269,8736,1877,7854,1877,7854,2269xe" filled="true" fillcolor="#d2d2d2" stroked="false">
                <v:path arrowok="t"/>
                <v:fill type="solid"/>
              </v:shape>
            </v:group>
            <v:group style="position:absolute;left:8782;top:1877;width:2;height:393" coordorigin="8782,1877" coordsize="2,393">
              <v:shape style="position:absolute;left:8782;top:1877;width:2;height:393" coordorigin="8782,1877" coordsize="0,393" path="m8782,1877l8782,2269e" filled="false" stroked="true" strokeweight="1.08pt" strokecolor="#d2d2d2">
                <v:path arrowok="t"/>
              </v:shape>
            </v:group>
            <v:group style="position:absolute;left:9729;top:1877;width:2;height:393" coordorigin="9729,1877" coordsize="2,393">
              <v:shape style="position:absolute;left:9729;top:1877;width:2;height:393" coordorigin="9729,1877" coordsize="0,393" path="m9729,1877l9729,2269e" filled="false" stroked="true" strokeweight="1.02pt" strokecolor="#d2d2d2">
                <v:path arrowok="t"/>
              </v:shape>
            </v:group>
            <v:group style="position:absolute;left:8792;top:1877;width:927;height:393" coordorigin="8792,1877" coordsize="927,393">
              <v:shape style="position:absolute;left:8792;top:1877;width:927;height:393" coordorigin="8792,1877" coordsize="927,393" path="m8792,2269l9719,2269,9719,1877,8792,1877,8792,2269xe" filled="true" fillcolor="#d2d2d2" stroked="false">
                <v:path arrowok="t"/>
                <v:fill type="solid"/>
              </v:shape>
            </v:group>
            <v:group style="position:absolute;left:7833;top:1870;width:925;height:2" coordorigin="7833,1870" coordsize="925,2">
              <v:shape style="position:absolute;left:7833;top:1870;width:925;height:2" coordorigin="7833,1870" coordsize="925,0" path="m7833,1870l8758,1870e" filled="false" stroked="true" strokeweight=".72pt" strokecolor="#000000">
                <v:path arrowok="t"/>
              </v:shape>
            </v:group>
            <v:group style="position:absolute;left:7833;top:1877;width:925;height:2" coordorigin="7833,1877" coordsize="925,2">
              <v:shape style="position:absolute;left:7833;top:1877;width:925;height:2" coordorigin="7833,1877" coordsize="925,0" path="m7833,1877l8758,1877e" filled="false" stroked="true" strokeweight=".060005pt" strokecolor="#d2d2d2">
                <v:path arrowok="t"/>
              </v:shape>
            </v:group>
            <v:group style="position:absolute;left:8772;top:1870;width:968;height:2" coordorigin="8772,1870" coordsize="968,2">
              <v:shape style="position:absolute;left:8772;top:1870;width:968;height:2" coordorigin="8772,1870" coordsize="968,0" path="m8772,1870l9739,1870e" filled="false" stroked="true" strokeweight=".72pt" strokecolor="#000000">
                <v:path arrowok="t"/>
              </v:shape>
            </v:group>
            <v:group style="position:absolute;left:8772;top:1877;width:968;height:2" coordorigin="8772,1877" coordsize="968,2">
              <v:shape style="position:absolute;left:8772;top:1877;width:968;height:2" coordorigin="8772,1877" coordsize="968,0" path="m8772,1877l9739,1877e" filled="false" stroked="true" strokeweight=".060005pt" strokecolor="#d2d2d2">
                <v:path arrowok="t"/>
              </v:shape>
            </v:group>
            <v:group style="position:absolute;left:1148;top:2276;width:1351;height:2" coordorigin="1148,2276" coordsize="1351,2">
              <v:shape style="position:absolute;left:1148;top:2276;width:1351;height:2" coordorigin="1148,2276" coordsize="1351,0" path="m1148,2276l2499,2276e" filled="false" stroked="true" strokeweight=".72pt" strokecolor="#000000">
                <v:path arrowok="t"/>
              </v:shape>
            </v:group>
            <v:group style="position:absolute;left:2513;top:2276;width:1024;height:2" coordorigin="2513,2276" coordsize="1024,2">
              <v:shape style="position:absolute;left:2513;top:2276;width:1024;height:2" coordorigin="2513,2276" coordsize="1024,0" path="m2513,2276l3537,2276e" filled="false" stroked="true" strokeweight=".72pt" strokecolor="#000000">
                <v:path arrowok="t"/>
              </v:shape>
            </v:group>
            <v:group style="position:absolute;left:3551;top:2276;width:788;height:2" coordorigin="3551,2276" coordsize="788,2">
              <v:shape style="position:absolute;left:3551;top:2276;width:788;height:2" coordorigin="3551,2276" coordsize="788,0" path="m3551,2276l4338,2276e" filled="false" stroked="true" strokeweight=".72pt" strokecolor="#000000">
                <v:path arrowok="t"/>
              </v:shape>
            </v:group>
            <v:group style="position:absolute;left:4353;top:2276;width:3466;height:2" coordorigin="4353,2276" coordsize="3466,2">
              <v:shape style="position:absolute;left:4353;top:2276;width:3466;height:2" coordorigin="4353,2276" coordsize="3466,0" path="m4353,2276l7819,2276e" filled="false" stroked="true" strokeweight=".72pt" strokecolor="#000000">
                <v:path arrowok="t"/>
              </v:shape>
            </v:group>
            <v:group style="position:absolute;left:7833;top:2276;width:925;height:2" coordorigin="7833,2276" coordsize="925,2">
              <v:shape style="position:absolute;left:7833;top:2276;width:925;height:2" coordorigin="7833,2276" coordsize="925,0" path="m7833,2276l8758,2276e" filled="false" stroked="true" strokeweight=".72pt" strokecolor="#000000">
                <v:path arrowok="t"/>
              </v:shape>
            </v:group>
            <v:group style="position:absolute;left:8772;top:2276;width:968;height:2" coordorigin="8772,2276" coordsize="968,2">
              <v:shape style="position:absolute;left:8772;top:2276;width:968;height:2" coordorigin="8772,2276" coordsize="968,0" path="m8772,2276l9739,2276e" filled="false" stroked="true" strokeweight=".72pt" strokecolor="#000000">
                <v:path arrowok="t"/>
              </v:shape>
            </v:group>
            <v:group style="position:absolute;left:9754;top:2276;width:938;height:2" coordorigin="9754,2276" coordsize="938,2">
              <v:shape style="position:absolute;left:9754;top:2276;width:938;height:2" coordorigin="9754,2276" coordsize="938,0" path="m9754,2276l10691,2276e" filled="false" stroked="true" strokeweight=".72pt" strokecolor="#000000">
                <v:path arrowok="t"/>
              </v:shape>
            </v:group>
            <v:group style="position:absolute;left:1148;top:2644;width:1351;height:2" coordorigin="1148,2644" coordsize="1351,2">
              <v:shape style="position:absolute;left:1148;top:2644;width:1351;height:2" coordorigin="1148,2644" coordsize="1351,0" path="m1148,2644l2499,2644e" filled="false" stroked="true" strokeweight=".72pt" strokecolor="#000000">
                <v:path arrowok="t"/>
              </v:shape>
            </v:group>
            <v:group style="position:absolute;left:2513;top:2644;width:1024;height:2" coordorigin="2513,2644" coordsize="1024,2">
              <v:shape style="position:absolute;left:2513;top:2644;width:1024;height:2" coordorigin="2513,2644" coordsize="1024,0" path="m2513,2644l3537,2644e" filled="false" stroked="true" strokeweight=".72pt" strokecolor="#000000">
                <v:path arrowok="t"/>
              </v:shape>
            </v:group>
            <v:group style="position:absolute;left:3551;top:2644;width:788;height:2" coordorigin="3551,2644" coordsize="788,2">
              <v:shape style="position:absolute;left:3551;top:2644;width:788;height:2" coordorigin="3551,2644" coordsize="788,0" path="m3551,2644l4338,2644e" filled="false" stroked="true" strokeweight=".72pt" strokecolor="#000000">
                <v:path arrowok="t"/>
              </v:shape>
            </v:group>
            <v:group style="position:absolute;left:4353;top:2644;width:3466;height:2" coordorigin="4353,2644" coordsize="3466,2">
              <v:shape style="position:absolute;left:4353;top:2644;width:3466;height:2" coordorigin="4353,2644" coordsize="3466,0" path="m4353,2644l7819,2644e" filled="false" stroked="true" strokeweight=".72pt" strokecolor="#000000">
                <v:path arrowok="t"/>
              </v:shape>
            </v:group>
            <v:group style="position:absolute;left:7833;top:2644;width:925;height:2" coordorigin="7833,2644" coordsize="925,2">
              <v:shape style="position:absolute;left:7833;top:2644;width:925;height:2" coordorigin="7833,2644" coordsize="925,0" path="m7833,2644l8758,2644e" filled="false" stroked="true" strokeweight=".72pt" strokecolor="#000000">
                <v:path arrowok="t"/>
              </v:shape>
            </v:group>
            <v:group style="position:absolute;left:8772;top:2644;width:968;height:2" coordorigin="8772,2644" coordsize="968,2">
              <v:shape style="position:absolute;left:8772;top:2644;width:968;height:2" coordorigin="8772,2644" coordsize="968,0" path="m8772,2644l9739,2644e" filled="false" stroked="true" strokeweight=".72pt" strokecolor="#000000">
                <v:path arrowok="t"/>
              </v:shape>
            </v:group>
            <v:group style="position:absolute;left:9754;top:2644;width:938;height:2" coordorigin="9754,2644" coordsize="938,2">
              <v:shape style="position:absolute;left:9754;top:2644;width:938;height:2" coordorigin="9754,2644" coordsize="938,0" path="m9754,2644l10691,2644e" filled="false" stroked="true" strokeweight=".72pt" strokecolor="#000000">
                <v:path arrowok="t"/>
              </v:shape>
            </v:group>
            <v:group style="position:absolute;left:1148;top:3675;width:1351;height:2" coordorigin="1148,3675" coordsize="1351,2">
              <v:shape style="position:absolute;left:1148;top:3675;width:1351;height:2" coordorigin="1148,3675" coordsize="1351,0" path="m1148,3675l2499,3675e" filled="false" stroked="true" strokeweight=".72pt" strokecolor="#000000">
                <v:path arrowok="t"/>
              </v:shape>
            </v:group>
            <v:group style="position:absolute;left:2513;top:3675;width:1024;height:2" coordorigin="2513,3675" coordsize="1024,2">
              <v:shape style="position:absolute;left:2513;top:3675;width:1024;height:2" coordorigin="2513,3675" coordsize="1024,0" path="m2513,3675l3537,3675e" filled="false" stroked="true" strokeweight=".72pt" strokecolor="#000000">
                <v:path arrowok="t"/>
              </v:shape>
            </v:group>
            <v:group style="position:absolute;left:3551;top:3675;width:788;height:2" coordorigin="3551,3675" coordsize="788,2">
              <v:shape style="position:absolute;left:3551;top:3675;width:788;height:2" coordorigin="3551,3675" coordsize="788,0" path="m3551,3675l4338,3675e" filled="false" stroked="true" strokeweight=".72pt" strokecolor="#000000">
                <v:path arrowok="t"/>
              </v:shape>
            </v:group>
            <v:group style="position:absolute;left:4353;top:3675;width:3466;height:2" coordorigin="4353,3675" coordsize="3466,2">
              <v:shape style="position:absolute;left:4353;top:3675;width:3466;height:2" coordorigin="4353,3675" coordsize="3466,0" path="m4353,3675l7819,3675e" filled="false" stroked="true" strokeweight=".72pt" strokecolor="#000000">
                <v:path arrowok="t"/>
              </v:shape>
            </v:group>
            <v:group style="position:absolute;left:7833;top:3675;width:925;height:2" coordorigin="7833,3675" coordsize="925,2">
              <v:shape style="position:absolute;left:7833;top:3675;width:925;height:2" coordorigin="7833,3675" coordsize="925,0" path="m7833,3675l8758,3675e" filled="false" stroked="true" strokeweight=".72pt" strokecolor="#000000">
                <v:path arrowok="t"/>
              </v:shape>
            </v:group>
            <v:group style="position:absolute;left:8772;top:3675;width:968;height:2" coordorigin="8772,3675" coordsize="968,2">
              <v:shape style="position:absolute;left:8772;top:3675;width:968;height:2" coordorigin="8772,3675" coordsize="968,0" path="m8772,3675l9739,3675e" filled="false" stroked="true" strokeweight=".72pt" strokecolor="#000000">
                <v:path arrowok="t"/>
              </v:shape>
            </v:group>
            <v:group style="position:absolute;left:9754;top:3675;width:938;height:2" coordorigin="9754,3675" coordsize="938,2">
              <v:shape style="position:absolute;left:9754;top:3675;width:938;height:2" coordorigin="9754,3675" coordsize="938,0" path="m9754,3675l10691,3675e" filled="false" stroked="true" strokeweight=".72pt" strokecolor="#000000">
                <v:path arrowok="t"/>
              </v:shape>
            </v:group>
            <v:group style="position:absolute;left:1148;top:4706;width:1351;height:2" coordorigin="1148,4706" coordsize="1351,2">
              <v:shape style="position:absolute;left:1148;top:4706;width:1351;height:2" coordorigin="1148,4706" coordsize="1351,0" path="m1148,4706l2499,4706e" filled="false" stroked="true" strokeweight=".72pt" strokecolor="#000000">
                <v:path arrowok="t"/>
              </v:shape>
            </v:group>
            <v:group style="position:absolute;left:2513;top:4706;width:1024;height:2" coordorigin="2513,4706" coordsize="1024,2">
              <v:shape style="position:absolute;left:2513;top:4706;width:1024;height:2" coordorigin="2513,4706" coordsize="1024,0" path="m2513,4706l3537,4706e" filled="false" stroked="true" strokeweight=".72pt" strokecolor="#000000">
                <v:path arrowok="t"/>
              </v:shape>
            </v:group>
            <v:group style="position:absolute;left:3551;top:4706;width:788;height:2" coordorigin="3551,4706" coordsize="788,2">
              <v:shape style="position:absolute;left:3551;top:4706;width:788;height:2" coordorigin="3551,4706" coordsize="788,0" path="m3551,4706l4338,4706e" filled="false" stroked="true" strokeweight=".72pt" strokecolor="#000000">
                <v:path arrowok="t"/>
              </v:shape>
            </v:group>
            <v:group style="position:absolute;left:4353;top:4706;width:3466;height:2" coordorigin="4353,4706" coordsize="3466,2">
              <v:shape style="position:absolute;left:4353;top:4706;width:3466;height:2" coordorigin="4353,4706" coordsize="3466,0" path="m4353,4706l7819,4706e" filled="false" stroked="true" strokeweight=".72pt" strokecolor="#000000">
                <v:path arrowok="t"/>
              </v:shape>
            </v:group>
            <v:group style="position:absolute;left:7833;top:4706;width:925;height:2" coordorigin="7833,4706" coordsize="925,2">
              <v:shape style="position:absolute;left:7833;top:4706;width:925;height:2" coordorigin="7833,4706" coordsize="925,0" path="m7833,4706l8758,4706e" filled="false" stroked="true" strokeweight=".72pt" strokecolor="#000000">
                <v:path arrowok="t"/>
              </v:shape>
            </v:group>
            <v:group style="position:absolute;left:8772;top:4706;width:968;height:2" coordorigin="8772,4706" coordsize="968,2">
              <v:shape style="position:absolute;left:8772;top:4706;width:968;height:2" coordorigin="8772,4706" coordsize="968,0" path="m8772,4706l9739,4706e" filled="false" stroked="true" strokeweight=".72pt" strokecolor="#000000">
                <v:path arrowok="t"/>
              </v:shape>
            </v:group>
            <v:group style="position:absolute;left:9754;top:4706;width:938;height:2" coordorigin="9754,4706" coordsize="938,2">
              <v:shape style="position:absolute;left:9754;top:4706;width:938;height:2" coordorigin="9754,4706" coordsize="938,0" path="m9754,4706l10691,4706e" filled="false" stroked="true" strokeweight=".72pt" strokecolor="#000000">
                <v:path arrowok="t"/>
              </v:shape>
            </v:group>
            <v:group style="position:absolute;left:2512;top:5433;width:1026;height:156" coordorigin="2512,5433" coordsize="1026,156">
              <v:shape style="position:absolute;left:2512;top:5433;width:1026;height:156" coordorigin="2512,5433" coordsize="1026,156" path="m2512,5589l3538,5589,3538,5433,2512,5433,2512,5589xe" filled="true" fillcolor="#ffffff" stroked="false">
                <v:path arrowok="t"/>
                <v:fill type="solid"/>
              </v:shape>
            </v:group>
            <v:group style="position:absolute;left:2523;top:5589;width:2;height:392" coordorigin="2523,5589" coordsize="2,392">
              <v:shape style="position:absolute;left:2523;top:5589;width:2;height:392" coordorigin="2523,5589" coordsize="0,392" path="m2523,5589l2523,5980e" filled="false" stroked="true" strokeweight="1.08pt" strokecolor="#ffffff">
                <v:path arrowok="t"/>
              </v:shape>
            </v:group>
            <v:group style="position:absolute;left:2534;top:5589;width:983;height:392" coordorigin="2534,5589" coordsize="983,392">
              <v:shape style="position:absolute;left:2534;top:5589;width:983;height:392" coordorigin="2534,5589" coordsize="983,392" path="m2534,5980l3516,5980,3516,5589,2534,5589,2534,5980xe" filled="true" fillcolor="#ffffff" stroked="false">
                <v:path arrowok="t"/>
                <v:fill type="solid"/>
              </v:shape>
            </v:group>
            <v:group style="position:absolute;left:1148;top:5424;width:1351;height:2" coordorigin="1148,5424" coordsize="1351,2">
              <v:shape style="position:absolute;left:1148;top:5424;width:1351;height:2" coordorigin="1148,5424" coordsize="1351,0" path="m1148,5424l2499,5424e" filled="false" stroked="true" strokeweight=".72pt" strokecolor="#000000">
                <v:path arrowok="t"/>
              </v:shape>
            </v:group>
            <v:group style="position:absolute;left:2513;top:5424;width:1024;height:2" coordorigin="2513,5424" coordsize="1024,2">
              <v:shape style="position:absolute;left:2513;top:5424;width:1024;height:2" coordorigin="2513,5424" coordsize="1024,0" path="m2513,5424l3537,5424e" filled="false" stroked="true" strokeweight=".72pt" strokecolor="#000000">
                <v:path arrowok="t"/>
              </v:shape>
            </v:group>
            <v:group style="position:absolute;left:3551;top:5424;width:788;height:2" coordorigin="3551,5424" coordsize="788,2">
              <v:shape style="position:absolute;left:3551;top:5424;width:788;height:2" coordorigin="3551,5424" coordsize="788,0" path="m3551,5424l4338,5424e" filled="false" stroked="true" strokeweight=".72pt" strokecolor="#000000">
                <v:path arrowok="t"/>
              </v:shape>
            </v:group>
            <v:group style="position:absolute;left:7833;top:5433;width:925;height:156" coordorigin="7833,5433" coordsize="925,156">
              <v:shape style="position:absolute;left:7833;top:5433;width:925;height:156" coordorigin="7833,5433" coordsize="925,156" path="m7833,5589l8758,5589,8758,5433,7833,5433,7833,5589xe" filled="true" fillcolor="#ffffff" stroked="false">
                <v:path arrowok="t"/>
                <v:fill type="solid"/>
              </v:shape>
            </v:group>
            <v:group style="position:absolute;left:7843;top:5589;width:2;height:392" coordorigin="7843,5589" coordsize="2,392">
              <v:shape style="position:absolute;left:7843;top:5589;width:2;height:392" coordorigin="7843,5589" coordsize="0,392" path="m7843,5589l7843,5980e" filled="false" stroked="true" strokeweight="1.02pt" strokecolor="#ffffff">
                <v:path arrowok="t"/>
              </v:shape>
            </v:group>
            <v:group style="position:absolute;left:7854;top:5589;width:883;height:392" coordorigin="7854,5589" coordsize="883,392">
              <v:shape style="position:absolute;left:7854;top:5589;width:883;height:392" coordorigin="7854,5589" coordsize="883,392" path="m7854,5980l8736,5980,8736,5589,7854,5589,7854,5980xe" filled="true" fillcolor="#ffffff" stroked="false">
                <v:path arrowok="t"/>
                <v:fill type="solid"/>
              </v:shape>
            </v:group>
            <v:group style="position:absolute;left:4353;top:5424;width:3466;height:2" coordorigin="4353,5424" coordsize="3466,2">
              <v:shape style="position:absolute;left:4353;top:5424;width:3466;height:2" coordorigin="4353,5424" coordsize="3466,0" path="m4353,5424l7819,5424e" filled="false" stroked="true" strokeweight=".72pt" strokecolor="#000000">
                <v:path arrowok="t"/>
              </v:shape>
            </v:group>
            <v:group style="position:absolute;left:7833;top:5424;width:925;height:2" coordorigin="7833,5424" coordsize="925,2">
              <v:shape style="position:absolute;left:7833;top:5424;width:925;height:2" coordorigin="7833,5424" coordsize="925,0" path="m7833,5424l8758,5424e" filled="false" stroked="true" strokeweight=".72pt" strokecolor="#000000">
                <v:path arrowok="t"/>
              </v:shape>
            </v:group>
            <v:group style="position:absolute;left:8772;top:5424;width:968;height:2" coordorigin="8772,5424" coordsize="968,2">
              <v:shape style="position:absolute;left:8772;top:5424;width:968;height:2" coordorigin="8772,5424" coordsize="968,0" path="m8772,5424l9739,5424e" filled="false" stroked="true" strokeweight=".72pt" strokecolor="#000000">
                <v:path arrowok="t"/>
              </v:shape>
            </v:group>
            <v:group style="position:absolute;left:9754;top:5424;width:938;height:2" coordorigin="9754,5424" coordsize="938,2">
              <v:shape style="position:absolute;left:9754;top:5424;width:938;height:2" coordorigin="9754,5424" coordsize="938,0" path="m9754,5424l10691,5424e" filled="false" stroked="true" strokeweight=".72pt" strokecolor="#000000">
                <v:path arrowok="t"/>
              </v:shape>
            </v:group>
            <v:group style="position:absolute;left:1148;top:6143;width:1351;height:2" coordorigin="1148,6143" coordsize="1351,2">
              <v:shape style="position:absolute;left:1148;top:6143;width:1351;height:2" coordorigin="1148,6143" coordsize="1351,0" path="m1148,6143l2499,6143e" filled="false" stroked="true" strokeweight=".72pt" strokecolor="#000000">
                <v:path arrowok="t"/>
              </v:shape>
            </v:group>
            <v:group style="position:absolute;left:2513;top:6143;width:1024;height:2" coordorigin="2513,6143" coordsize="1024,2">
              <v:shape style="position:absolute;left:2513;top:6143;width:1024;height:2" coordorigin="2513,6143" coordsize="1024,0" path="m2513,6143l3537,6143e" filled="false" stroked="true" strokeweight=".72pt" strokecolor="#000000">
                <v:path arrowok="t"/>
              </v:shape>
            </v:group>
            <v:group style="position:absolute;left:3551;top:6143;width:788;height:2" coordorigin="3551,6143" coordsize="788,2">
              <v:shape style="position:absolute;left:3551;top:6143;width:788;height:2" coordorigin="3551,6143" coordsize="788,0" path="m3551,6143l4338,6143e" filled="false" stroked="true" strokeweight=".72pt" strokecolor="#000000">
                <v:path arrowok="t"/>
              </v:shape>
            </v:group>
            <v:group style="position:absolute;left:4353;top:6143;width:3466;height:2" coordorigin="4353,6143" coordsize="3466,2">
              <v:shape style="position:absolute;left:4353;top:6143;width:3466;height:2" coordorigin="4353,6143" coordsize="3466,0" path="m4353,6143l7819,6143e" filled="false" stroked="true" strokeweight=".72pt" strokecolor="#000000">
                <v:path arrowok="t"/>
              </v:shape>
            </v:group>
            <v:group style="position:absolute;left:7833;top:6143;width:925;height:2" coordorigin="7833,6143" coordsize="925,2">
              <v:shape style="position:absolute;left:7833;top:6143;width:925;height:2" coordorigin="7833,6143" coordsize="925,0" path="m7833,6143l8758,6143e" filled="false" stroked="true" strokeweight=".72pt" strokecolor="#000000">
                <v:path arrowok="t"/>
              </v:shape>
            </v:group>
            <v:group style="position:absolute;left:8772;top:6143;width:968;height:2" coordorigin="8772,6143" coordsize="968,2">
              <v:shape style="position:absolute;left:8772;top:6143;width:968;height:2" coordorigin="8772,6143" coordsize="968,0" path="m8772,6143l9739,6143e" filled="false" stroked="true" strokeweight=".72pt" strokecolor="#000000">
                <v:path arrowok="t"/>
              </v:shape>
            </v:group>
            <v:group style="position:absolute;left:9754;top:6143;width:938;height:2" coordorigin="9754,6143" coordsize="938,2">
              <v:shape style="position:absolute;left:9754;top:6143;width:938;height:2" coordorigin="9754,6143" coordsize="938,0" path="m9754,6143l10691,6143e" filled="false" stroked="true" strokeweight=".72pt" strokecolor="#000000">
                <v:path arrowok="t"/>
              </v:shape>
            </v:group>
            <v:group style="position:absolute;left:7833;top:8118;width:925;height:156" coordorigin="7833,8118" coordsize="925,156">
              <v:shape style="position:absolute;left:7833;top:8118;width:925;height:156" coordorigin="7833,8118" coordsize="925,156" path="m7833,8274l8758,8274,8758,8118,7833,8118,7833,8274xe" filled="true" fillcolor="#ffffff" stroked="false">
                <v:path arrowok="t"/>
                <v:fill type="solid"/>
              </v:shape>
            </v:group>
            <v:group style="position:absolute;left:7843;top:8274;width:2;height:393" coordorigin="7843,8274" coordsize="2,393">
              <v:shape style="position:absolute;left:7843;top:8274;width:2;height:393" coordorigin="7843,8274" coordsize="0,393" path="m7843,8274l7843,8667e" filled="false" stroked="true" strokeweight="1.02pt" strokecolor="#ffffff">
                <v:path arrowok="t"/>
              </v:shape>
            </v:group>
            <v:group style="position:absolute;left:7854;top:8274;width:883;height:393" coordorigin="7854,8274" coordsize="883,393">
              <v:shape style="position:absolute;left:7854;top:8274;width:883;height:393" coordorigin="7854,8274" coordsize="883,393" path="m7854,8667l8736,8667,8736,8274,7854,8274,7854,8667xe" filled="true" fillcolor="#ffffff" stroked="false">
                <v:path arrowok="t"/>
                <v:fill type="solid"/>
              </v:shape>
            </v:group>
            <v:group style="position:absolute;left:1148;top:8110;width:1351;height:2" coordorigin="1148,8110" coordsize="1351,2">
              <v:shape style="position:absolute;left:1148;top:8110;width:1351;height:2" coordorigin="1148,8110" coordsize="1351,0" path="m1148,8110l2499,8110e" filled="false" stroked="true" strokeweight=".72pt" strokecolor="#000000">
                <v:path arrowok="t"/>
              </v:shape>
            </v:group>
            <v:group style="position:absolute;left:2513;top:8110;width:1024;height:2" coordorigin="2513,8110" coordsize="1024,2">
              <v:shape style="position:absolute;left:2513;top:8110;width:1024;height:2" coordorigin="2513,8110" coordsize="1024,0" path="m2513,8110l3537,8110e" filled="false" stroked="true" strokeweight=".72pt" strokecolor="#000000">
                <v:path arrowok="t"/>
              </v:shape>
            </v:group>
            <v:group style="position:absolute;left:3551;top:8110;width:788;height:2" coordorigin="3551,8110" coordsize="788,2">
              <v:shape style="position:absolute;left:3551;top:8110;width:788;height:2" coordorigin="3551,8110" coordsize="788,0" path="m3551,8110l4338,8110e" filled="false" stroked="true" strokeweight=".72pt" strokecolor="#000000">
                <v:path arrowok="t"/>
              </v:shape>
            </v:group>
            <v:group style="position:absolute;left:4353;top:8110;width:3466;height:2" coordorigin="4353,8110" coordsize="3466,2">
              <v:shape style="position:absolute;left:4353;top:8110;width:3466;height:2" coordorigin="4353,8110" coordsize="3466,0" path="m4353,8110l7819,8110e" filled="false" stroked="true" strokeweight=".72pt" strokecolor="#000000">
                <v:path arrowok="t"/>
              </v:shape>
            </v:group>
            <v:group style="position:absolute;left:7833;top:8110;width:925;height:2" coordorigin="7833,8110" coordsize="925,2">
              <v:shape style="position:absolute;left:7833;top:8110;width:925;height:2" coordorigin="7833,8110" coordsize="925,0" path="m7833,8110l8758,8110e" filled="false" stroked="true" strokeweight=".72pt" strokecolor="#000000">
                <v:path arrowok="t"/>
              </v:shape>
            </v:group>
            <v:group style="position:absolute;left:8772;top:8110;width:968;height:2" coordorigin="8772,8110" coordsize="968,2">
              <v:shape style="position:absolute;left:8772;top:8110;width:968;height:2" coordorigin="8772,8110" coordsize="968,0" path="m8772,8110l9739,8110e" filled="false" stroked="true" strokeweight=".72pt" strokecolor="#000000">
                <v:path arrowok="t"/>
              </v:shape>
            </v:group>
            <v:group style="position:absolute;left:9754;top:8110;width:938;height:2" coordorigin="9754,8110" coordsize="938,2">
              <v:shape style="position:absolute;left:9754;top:8110;width:938;height:2" coordorigin="9754,8110" coordsize="938,0" path="m9754,8110l10691,8110e" filled="false" stroked="true" strokeweight=".72pt" strokecolor="#000000">
                <v:path arrowok="t"/>
              </v:shape>
            </v:group>
            <v:group style="position:absolute;left:1148;top:8830;width:1351;height:2" coordorigin="1148,8830" coordsize="1351,2">
              <v:shape style="position:absolute;left:1148;top:8830;width:1351;height:2" coordorigin="1148,8830" coordsize="1351,0" path="m1148,8830l2499,8830e" filled="false" stroked="true" strokeweight=".72pt" strokecolor="#000000">
                <v:path arrowok="t"/>
              </v:shape>
            </v:group>
            <v:group style="position:absolute;left:2513;top:8830;width:1024;height:2" coordorigin="2513,8830" coordsize="1024,2">
              <v:shape style="position:absolute;left:2513;top:8830;width:1024;height:2" coordorigin="2513,8830" coordsize="1024,0" path="m2513,8830l3537,8830e" filled="false" stroked="true" strokeweight=".72pt" strokecolor="#000000">
                <v:path arrowok="t"/>
              </v:shape>
            </v:group>
            <v:group style="position:absolute;left:3551;top:8830;width:788;height:2" coordorigin="3551,8830" coordsize="788,2">
              <v:shape style="position:absolute;left:3551;top:8830;width:788;height:2" coordorigin="3551,8830" coordsize="788,0" path="m3551,8830l4338,8830e" filled="false" stroked="true" strokeweight=".72pt" strokecolor="#000000">
                <v:path arrowok="t"/>
              </v:shape>
            </v:group>
            <v:group style="position:absolute;left:4353;top:8830;width:3466;height:2" coordorigin="4353,8830" coordsize="3466,2">
              <v:shape style="position:absolute;left:4353;top:8830;width:3466;height:2" coordorigin="4353,8830" coordsize="3466,0" path="m4353,8830l7819,8830e" filled="false" stroked="true" strokeweight=".72pt" strokecolor="#000000">
                <v:path arrowok="t"/>
              </v:shape>
            </v:group>
            <v:group style="position:absolute;left:7833;top:8830;width:925;height:2" coordorigin="7833,8830" coordsize="925,2">
              <v:shape style="position:absolute;left:7833;top:8830;width:925;height:2" coordorigin="7833,8830" coordsize="925,0" path="m7833,8830l8758,8830e" filled="false" stroked="true" strokeweight=".72pt" strokecolor="#000000">
                <v:path arrowok="t"/>
              </v:shape>
            </v:group>
            <v:group style="position:absolute;left:8772;top:8830;width:968;height:2" coordorigin="8772,8830" coordsize="968,2">
              <v:shape style="position:absolute;left:8772;top:8830;width:968;height:2" coordorigin="8772,8830" coordsize="968,0" path="m8772,8830l9739,8830e" filled="false" stroked="true" strokeweight=".72pt" strokecolor="#000000">
                <v:path arrowok="t"/>
              </v:shape>
            </v:group>
            <v:group style="position:absolute;left:9754;top:8830;width:938;height:2" coordorigin="9754,8830" coordsize="938,2">
              <v:shape style="position:absolute;left:9754;top:8830;width:938;height:2" coordorigin="9754,8830" coordsize="938,0" path="m9754,8830l10691,8830e" filled="false" stroked="true" strokeweight=".72pt" strokecolor="#000000">
                <v:path arrowok="t"/>
              </v:shape>
            </v:group>
            <v:group style="position:absolute;left:7843;top:10024;width:2;height:393" coordorigin="7843,10024" coordsize="2,393">
              <v:shape style="position:absolute;left:7843;top:10024;width:2;height:393" coordorigin="7843,10024" coordsize="0,393" path="m7843,10024l7843,10417e" filled="false" stroked="true" strokeweight="1.02pt" strokecolor="#ffffff">
                <v:path arrowok="t"/>
              </v:shape>
            </v:group>
            <v:group style="position:absolute;left:7833;top:10417;width:925;height:468" coordorigin="7833,10417" coordsize="925,468">
              <v:shape style="position:absolute;left:7833;top:10417;width:925;height:468" coordorigin="7833,10417" coordsize="925,468" path="m7833,10885l8758,10885,8758,10417,7833,10417,7833,10885xe" filled="true" fillcolor="#ffffff" stroked="false">
                <v:path arrowok="t"/>
                <v:fill type="solid"/>
              </v:shape>
            </v:group>
            <v:group style="position:absolute;left:7854;top:10024;width:883;height:393" coordorigin="7854,10024" coordsize="883,393">
              <v:shape style="position:absolute;left:7854;top:10024;width:883;height:393" coordorigin="7854,10024" coordsize="883,393" path="m7854,10417l8736,10417,8736,10024,7854,10024,7854,10417xe" filled="true" fillcolor="#ffffff" stroked="false">
                <v:path arrowok="t"/>
                <v:fill type="solid"/>
              </v:shape>
            </v:group>
            <v:group style="position:absolute;left:1148;top:10892;width:1351;height:2" coordorigin="1148,10892" coordsize="1351,2">
              <v:shape style="position:absolute;left:1148;top:10892;width:1351;height:2" coordorigin="1148,10892" coordsize="1351,0" path="m1148,10892l2499,10892e" filled="false" stroked="true" strokeweight=".71997pt" strokecolor="#000000">
                <v:path arrowok="t"/>
              </v:shape>
            </v:group>
            <v:group style="position:absolute;left:2513;top:10892;width:1024;height:2" coordorigin="2513,10892" coordsize="1024,2">
              <v:shape style="position:absolute;left:2513;top:10892;width:1024;height:2" coordorigin="2513,10892" coordsize="1024,0" path="m2513,10892l3537,10892e" filled="false" stroked="true" strokeweight=".71997pt" strokecolor="#000000">
                <v:path arrowok="t"/>
              </v:shape>
            </v:group>
            <v:group style="position:absolute;left:3551;top:10892;width:788;height:2" coordorigin="3551,10892" coordsize="788,2">
              <v:shape style="position:absolute;left:3551;top:10892;width:788;height:2" coordorigin="3551,10892" coordsize="788,0" path="m3551,10892l4338,10892e" filled="false" stroked="true" strokeweight=".71997pt" strokecolor="#000000">
                <v:path arrowok="t"/>
              </v:shape>
            </v:group>
            <v:group style="position:absolute;left:4353;top:10892;width:3466;height:2" coordorigin="4353,10892" coordsize="3466,2">
              <v:shape style="position:absolute;left:4353;top:10892;width:3466;height:2" coordorigin="4353,10892" coordsize="3466,0" path="m4353,10892l7819,10892e" filled="false" stroked="true" strokeweight=".71997pt" strokecolor="#000000">
                <v:path arrowok="t"/>
              </v:shape>
            </v:group>
            <v:group style="position:absolute;left:7833;top:10892;width:925;height:2" coordorigin="7833,10892" coordsize="925,2">
              <v:shape style="position:absolute;left:7833;top:10892;width:925;height:2" coordorigin="7833,10892" coordsize="925,0" path="m7833,10892l8758,10892e" filled="false" stroked="true" strokeweight=".71997pt" strokecolor="#000000">
                <v:path arrowok="t"/>
              </v:shape>
            </v:group>
            <v:group style="position:absolute;left:8772;top:10892;width:968;height:2" coordorigin="8772,10892" coordsize="968,2">
              <v:shape style="position:absolute;left:8772;top:10892;width:968;height:2" coordorigin="8772,10892" coordsize="968,0" path="m8772,10892l9739,10892e" filled="false" stroked="true" strokeweight=".71997pt" strokecolor="#000000">
                <v:path arrowok="t"/>
              </v:shape>
            </v:group>
            <v:group style="position:absolute;left:9754;top:10892;width:938;height:2" coordorigin="9754,10892" coordsize="938,2">
              <v:shape style="position:absolute;left:9754;top:10892;width:938;height:2" coordorigin="9754,10892" coordsize="938,0" path="m9754,10892l10691,10892e" filled="false" stroked="true" strokeweight=".71997pt" strokecolor="#000000">
                <v:path arrowok="t"/>
              </v:shape>
            </v:group>
            <v:group style="position:absolute;left:1148;top:9549;width:1351;height:2" coordorigin="1148,9549" coordsize="1351,2">
              <v:shape style="position:absolute;left:1148;top:9549;width:1351;height:2" coordorigin="1148,9549" coordsize="1351,0" path="m1148,9549l2499,9549e" filled="false" stroked="true" strokeweight=".72pt" strokecolor="#000000">
                <v:path arrowok="t"/>
              </v:shape>
            </v:group>
            <v:group style="position:absolute;left:2513;top:9549;width:1024;height:2" coordorigin="2513,9549" coordsize="1024,2">
              <v:shape style="position:absolute;left:2513;top:9549;width:1024;height:2" coordorigin="2513,9549" coordsize="1024,0" path="m2513,9549l3537,9549e" filled="false" stroked="true" strokeweight=".72pt" strokecolor="#000000">
                <v:path arrowok="t"/>
              </v:shape>
            </v:group>
            <v:group style="position:absolute;left:3551;top:9549;width:788;height:2" coordorigin="3551,9549" coordsize="788,2">
              <v:shape style="position:absolute;left:3551;top:9549;width:788;height:2" coordorigin="3551,9549" coordsize="788,0" path="m3551,9549l4338,9549e" filled="false" stroked="true" strokeweight=".72pt" strokecolor="#000000">
                <v:path arrowok="t"/>
              </v:shape>
            </v:group>
            <v:group style="position:absolute;left:4353;top:9549;width:3466;height:2" coordorigin="4353,9549" coordsize="3466,2">
              <v:shape style="position:absolute;left:4353;top:9549;width:3466;height:2" coordorigin="4353,9549" coordsize="3466,0" path="m4353,9549l7819,9549e" filled="false" stroked="true" strokeweight=".72pt" strokecolor="#000000">
                <v:path arrowok="t"/>
              </v:shape>
            </v:group>
            <v:group style="position:absolute;left:7833;top:9549;width:925;height:2" coordorigin="7833,9549" coordsize="925,2">
              <v:shape style="position:absolute;left:7833;top:9549;width:925;height:2" coordorigin="7833,9549" coordsize="925,0" path="m7833,9549l8758,9549e" filled="false" stroked="true" strokeweight=".72pt" strokecolor="#000000">
                <v:path arrowok="t"/>
              </v:shape>
            </v:group>
            <v:group style="position:absolute;left:8772;top:9549;width:968;height:2" coordorigin="8772,9549" coordsize="968,2">
              <v:shape style="position:absolute;left:8772;top:9549;width:968;height:2" coordorigin="8772,9549" coordsize="968,0" path="m8772,9549l9739,9549e" filled="false" stroked="true" strokeweight=".72pt" strokecolor="#000000">
                <v:path arrowok="t"/>
              </v:shape>
            </v:group>
            <v:group style="position:absolute;left:9754;top:9549;width:938;height:2" coordorigin="9754,9549" coordsize="938,2">
              <v:shape style="position:absolute;left:9754;top:9549;width:938;height:2" coordorigin="9754,9549" coordsize="938,0" path="m9754,9549l10691,9549e" filled="false" stroked="true" strokeweight=".72pt" strokecolor="#000000">
                <v:path arrowok="t"/>
              </v:shape>
            </v:group>
            <v:group style="position:absolute;left:1148;top:11923;width:1351;height:2" coordorigin="1148,11923" coordsize="1351,2">
              <v:shape style="position:absolute;left:1148;top:11923;width:1351;height:2" coordorigin="1148,11923" coordsize="1351,0" path="m1148,11923l2499,11923e" filled="false" stroked="true" strokeweight=".72003pt" strokecolor="#000000">
                <v:path arrowok="t"/>
              </v:shape>
            </v:group>
            <v:group style="position:absolute;left:2513;top:11923;width:1024;height:2" coordorigin="2513,11923" coordsize="1024,2">
              <v:shape style="position:absolute;left:2513;top:11923;width:1024;height:2" coordorigin="2513,11923" coordsize="1024,0" path="m2513,11923l3537,11923e" filled="false" stroked="true" strokeweight=".72003pt" strokecolor="#000000">
                <v:path arrowok="t"/>
              </v:shape>
            </v:group>
            <v:group style="position:absolute;left:3551;top:11923;width:788;height:2" coordorigin="3551,11923" coordsize="788,2">
              <v:shape style="position:absolute;left:3551;top:11923;width:788;height:2" coordorigin="3551,11923" coordsize="788,0" path="m3551,11923l4338,11923e" filled="false" stroked="true" strokeweight=".72003pt" strokecolor="#000000">
                <v:path arrowok="t"/>
              </v:shape>
            </v:group>
            <v:group style="position:absolute;left:4353;top:11923;width:3466;height:2" coordorigin="4353,11923" coordsize="3466,2">
              <v:shape style="position:absolute;left:4353;top:11923;width:3466;height:2" coordorigin="4353,11923" coordsize="3466,0" path="m4353,11923l7819,11923e" filled="false" stroked="true" strokeweight=".72003pt" strokecolor="#000000">
                <v:path arrowok="t"/>
              </v:shape>
            </v:group>
            <v:group style="position:absolute;left:7833;top:11923;width:925;height:2" coordorigin="7833,11923" coordsize="925,2">
              <v:shape style="position:absolute;left:7833;top:11923;width:925;height:2" coordorigin="7833,11923" coordsize="925,0" path="m7833,11923l8758,11923e" filled="false" stroked="true" strokeweight=".72003pt" strokecolor="#000000">
                <v:path arrowok="t"/>
              </v:shape>
            </v:group>
            <v:group style="position:absolute;left:8772;top:11923;width:968;height:2" coordorigin="8772,11923" coordsize="968,2">
              <v:shape style="position:absolute;left:8772;top:11923;width:968;height:2" coordorigin="8772,11923" coordsize="968,0" path="m8772,11923l9739,11923e" filled="false" stroked="true" strokeweight=".72003pt" strokecolor="#000000">
                <v:path arrowok="t"/>
              </v:shape>
            </v:group>
            <v:group style="position:absolute;left:9754;top:11923;width:938;height:2" coordorigin="9754,11923" coordsize="938,2">
              <v:shape style="position:absolute;left:9754;top:11923;width:938;height:2" coordorigin="9754,11923" coordsize="938,0" path="m9754,11923l10691,11923e" filled="false" stroked="true" strokeweight=".72003pt" strokecolor="#000000">
                <v:path arrowok="t"/>
              </v:shape>
            </v:group>
            <v:group style="position:absolute;left:1148;top:13266;width:1351;height:2" coordorigin="1148,13266" coordsize="1351,2">
              <v:shape style="position:absolute;left:1148;top:13266;width:1351;height:2" coordorigin="1148,13266" coordsize="1351,0" path="m1148,13266l2499,13266e" filled="false" stroked="true" strokeweight=".72003pt" strokecolor="#000000">
                <v:path arrowok="t"/>
              </v:shape>
            </v:group>
            <v:group style="position:absolute;left:2513;top:13266;width:1024;height:2" coordorigin="2513,13266" coordsize="1024,2">
              <v:shape style="position:absolute;left:2513;top:13266;width:1024;height:2" coordorigin="2513,13266" coordsize="1024,0" path="m2513,13266l3537,13266e" filled="false" stroked="true" strokeweight=".72003pt" strokecolor="#000000">
                <v:path arrowok="t"/>
              </v:shape>
            </v:group>
            <v:group style="position:absolute;left:3551;top:13266;width:788;height:2" coordorigin="3551,13266" coordsize="788,2">
              <v:shape style="position:absolute;left:3551;top:13266;width:788;height:2" coordorigin="3551,13266" coordsize="788,0" path="m3551,13266l4338,13266e" filled="false" stroked="true" strokeweight=".72003pt" strokecolor="#000000">
                <v:path arrowok="t"/>
              </v:shape>
            </v:group>
            <v:group style="position:absolute;left:4353;top:13266;width:3466;height:2" coordorigin="4353,13266" coordsize="3466,2">
              <v:shape style="position:absolute;left:4353;top:13266;width:3466;height:2" coordorigin="4353,13266" coordsize="3466,0" path="m4353,13266l7819,13266e" filled="false" stroked="true" strokeweight=".72003pt" strokecolor="#000000">
                <v:path arrowok="t"/>
              </v:shape>
            </v:group>
            <v:group style="position:absolute;left:7833;top:13266;width:925;height:2" coordorigin="7833,13266" coordsize="925,2">
              <v:shape style="position:absolute;left:7833;top:13266;width:925;height:2" coordorigin="7833,13266" coordsize="925,0" path="m7833,13266l8758,13266e" filled="false" stroked="true" strokeweight=".72003pt" strokecolor="#000000">
                <v:path arrowok="t"/>
              </v:shape>
            </v:group>
            <v:group style="position:absolute;left:8772;top:13266;width:968;height:2" coordorigin="8772,13266" coordsize="968,2">
              <v:shape style="position:absolute;left:8772;top:13266;width:968;height:2" coordorigin="8772,13266" coordsize="968,0" path="m8772,13266l9739,13266e" filled="false" stroked="true" strokeweight=".72003pt" strokecolor="#000000">
                <v:path arrowok="t"/>
              </v:shape>
            </v:group>
            <v:group style="position:absolute;left:9754;top:13266;width:938;height:2" coordorigin="9754,13266" coordsize="938,2">
              <v:shape style="position:absolute;left:9754;top:13266;width:938;height:2" coordorigin="9754,13266" coordsize="938,0" path="m9754,13266l10691,13266e" filled="false" stroked="true" strokeweight=".72003pt" strokecolor="#000000">
                <v:path arrowok="t"/>
              </v:shape>
            </v:group>
            <v:group style="position:absolute;left:7843;top:14914;width:2;height:392" coordorigin="7843,14914" coordsize="2,392">
              <v:shape style="position:absolute;left:7843;top:14914;width:2;height:392" coordorigin="7843,14914" coordsize="0,392" path="m7843,14914l7843,15305e" filled="false" stroked="true" strokeweight="1.02pt" strokecolor="#ffffff">
                <v:path arrowok="t"/>
              </v:shape>
            </v:group>
            <v:group style="position:absolute;left:7854;top:14914;width:883;height:392" coordorigin="7854,14914" coordsize="883,392">
              <v:shape style="position:absolute;left:7854;top:14914;width:883;height:392" coordorigin="7854,14914" coordsize="883,392" path="m7854,15305l8736,15305,8736,14914,7854,14914,7854,15305xe" filled="true" fillcolor="#ffffff" stroked="false">
                <v:path arrowok="t"/>
                <v:fill type="solid"/>
              </v:shape>
            </v:group>
            <v:group style="position:absolute;left:1148;top:14905;width:1351;height:2" coordorigin="1148,14905" coordsize="1351,2">
              <v:shape style="position:absolute;left:1148;top:14905;width:1351;height:2" coordorigin="1148,14905" coordsize="1351,0" path="m1148,14905l2499,14905e" filled="false" stroked="true" strokeweight=".72003pt" strokecolor="#000000">
                <v:path arrowok="t"/>
              </v:shape>
            </v:group>
            <v:group style="position:absolute;left:2513;top:14905;width:1024;height:2" coordorigin="2513,14905" coordsize="1024,2">
              <v:shape style="position:absolute;left:2513;top:14905;width:1024;height:2" coordorigin="2513,14905" coordsize="1024,0" path="m2513,14905l3537,14905e" filled="false" stroked="true" strokeweight=".72003pt" strokecolor="#000000">
                <v:path arrowok="t"/>
              </v:shape>
            </v:group>
            <v:group style="position:absolute;left:3551;top:14905;width:788;height:2" coordorigin="3551,14905" coordsize="788,2">
              <v:shape style="position:absolute;left:3551;top:14905;width:788;height:2" coordorigin="3551,14905" coordsize="788,0" path="m3551,14905l4338,14905e" filled="false" stroked="true" strokeweight=".72003pt" strokecolor="#000000">
                <v:path arrowok="t"/>
              </v:shape>
            </v:group>
            <v:group style="position:absolute;left:4353;top:14905;width:3466;height:2" coordorigin="4353,14905" coordsize="3466,2">
              <v:shape style="position:absolute;left:4353;top:14905;width:3466;height:2" coordorigin="4353,14905" coordsize="3466,0" path="m4353,14905l7819,14905e" filled="false" stroked="true" strokeweight=".72003pt" strokecolor="#000000">
                <v:path arrowok="t"/>
              </v:shape>
            </v:group>
            <v:group style="position:absolute;left:7833;top:14905;width:925;height:2" coordorigin="7833,14905" coordsize="925,2">
              <v:shape style="position:absolute;left:7833;top:14905;width:925;height:2" coordorigin="7833,14905" coordsize="925,0" path="m7833,14905l8758,14905e" filled="false" stroked="true" strokeweight=".72003pt" strokecolor="#000000">
                <v:path arrowok="t"/>
              </v:shape>
            </v:group>
            <v:group style="position:absolute;left:8772;top:14905;width:968;height:2" coordorigin="8772,14905" coordsize="968,2">
              <v:shape style="position:absolute;left:8772;top:14905;width:968;height:2" coordorigin="8772,14905" coordsize="968,0" path="m8772,14905l9739,14905e" filled="false" stroked="true" strokeweight=".72003pt" strokecolor="#000000">
                <v:path arrowok="t"/>
              </v:shape>
            </v:group>
            <v:group style="position:absolute;left:9754;top:14905;width:938;height:2" coordorigin="9754,14905" coordsize="938,2">
              <v:shape style="position:absolute;left:9754;top:14905;width:938;height:2" coordorigin="9754,14905" coordsize="938,0" path="m9754,14905l10691,14905e" filled="false" stroked="true" strokeweight=".72003pt" strokecolor="#000000">
                <v:path arrowok="t"/>
              </v:shape>
            </v:group>
            <v:group style="position:absolute;left:1133;top:1440;width:2;height:13895" coordorigin="1133,1440" coordsize="2,13895">
              <v:shape style="position:absolute;left:1133;top:1440;width:2;height:13895" coordorigin="1133,1440" coordsize="0,13895" path="m1133,1440l1133,15335e" filled="false" stroked="true" strokeweight="1.5pt" strokecolor="#000000">
                <v:path arrowok="t"/>
              </v:shape>
            </v:group>
            <v:group style="position:absolute;left:1148;top:15320;width:1351;height:2" coordorigin="1148,15320" coordsize="1351,2">
              <v:shape style="position:absolute;left:1148;top:15320;width:1351;height:2" coordorigin="1148,15320" coordsize="1351,0" path="m1148,15320l2499,15320e" filled="false" stroked="true" strokeweight="1.5pt" strokecolor="#000000">
                <v:path arrowok="t"/>
              </v:shape>
            </v:group>
            <v:group style="position:absolute;left:2506;top:1470;width:2;height:13835" coordorigin="2506,1470" coordsize="2,13835">
              <v:shape style="position:absolute;left:2506;top:1470;width:2;height:13835" coordorigin="2506,1470" coordsize="0,13835" path="m2506,1470l2506,15305e" filled="false" stroked="true" strokeweight=".72pt" strokecolor="#000000">
                <v:path arrowok="t"/>
              </v:shape>
            </v:group>
            <v:group style="position:absolute;left:2499;top:15320;width:30;height:2" coordorigin="2499,15320" coordsize="30,2">
              <v:shape style="position:absolute;left:2499;top:15320;width:30;height:2" coordorigin="2499,15320" coordsize="30,0" path="m2499,15320l2529,15320e" filled="false" stroked="true" strokeweight="1.5pt" strokecolor="#000000">
                <v:path arrowok="t"/>
              </v:shape>
            </v:group>
            <v:group style="position:absolute;left:2529;top:15320;width:1008;height:2" coordorigin="2529,15320" coordsize="1008,2">
              <v:shape style="position:absolute;left:2529;top:15320;width:1008;height:2" coordorigin="2529,15320" coordsize="1008,0" path="m2529,15320l3537,15320e" filled="false" stroked="true" strokeweight="1.5pt" strokecolor="#000000">
                <v:path arrowok="t"/>
              </v:shape>
            </v:group>
            <v:group style="position:absolute;left:3544;top:1470;width:2;height:13835" coordorigin="3544,1470" coordsize="2,13835">
              <v:shape style="position:absolute;left:3544;top:1470;width:2;height:13835" coordorigin="3544,1470" coordsize="0,13835" path="m3544,1470l3544,15305e" filled="false" stroked="true" strokeweight=".72pt" strokecolor="#000000">
                <v:path arrowok="t"/>
              </v:shape>
            </v:group>
            <v:group style="position:absolute;left:3537;top:15320;width:30;height:2" coordorigin="3537,15320" coordsize="30,2">
              <v:shape style="position:absolute;left:3537;top:15320;width:30;height:2" coordorigin="3537,15320" coordsize="30,0" path="m3537,15320l3567,15320e" filled="false" stroked="true" strokeweight="1.5pt" strokecolor="#000000">
                <v:path arrowok="t"/>
              </v:shape>
            </v:group>
            <v:group style="position:absolute;left:3567;top:15320;width:772;height:2" coordorigin="3567,15320" coordsize="772,2">
              <v:shape style="position:absolute;left:3567;top:15320;width:772;height:2" coordorigin="3567,15320" coordsize="772,0" path="m3567,15320l4338,15320e" filled="false" stroked="true" strokeweight="1.5pt" strokecolor="#000000">
                <v:path arrowok="t"/>
              </v:shape>
            </v:group>
            <v:group style="position:absolute;left:4346;top:1470;width:2;height:13835" coordorigin="4346,1470" coordsize="2,13835">
              <v:shape style="position:absolute;left:4346;top:1470;width:2;height:13835" coordorigin="4346,1470" coordsize="0,13835" path="m4346,1470l4346,15305e" filled="false" stroked="true" strokeweight=".72pt" strokecolor="#000000">
                <v:path arrowok="t"/>
              </v:shape>
            </v:group>
            <v:group style="position:absolute;left:4338;top:15320;width:30;height:2" coordorigin="4338,15320" coordsize="30,2">
              <v:shape style="position:absolute;left:4338;top:15320;width:30;height:2" coordorigin="4338,15320" coordsize="30,0" path="m4338,15320l4368,15320e" filled="false" stroked="true" strokeweight="1.5pt" strokecolor="#000000">
                <v:path arrowok="t"/>
              </v:shape>
            </v:group>
            <v:group style="position:absolute;left:4368;top:15320;width:3451;height:2" coordorigin="4368,15320" coordsize="3451,2">
              <v:shape style="position:absolute;left:4368;top:15320;width:3451;height:2" coordorigin="4368,15320" coordsize="3451,0" path="m4368,15320l7819,15320e" filled="false" stroked="true" strokeweight="1.5pt" strokecolor="#000000">
                <v:path arrowok="t"/>
              </v:shape>
            </v:group>
            <v:group style="position:absolute;left:7826;top:1470;width:2;height:13835" coordorigin="7826,1470" coordsize="2,13835">
              <v:shape style="position:absolute;left:7826;top:1470;width:2;height:13835" coordorigin="7826,1470" coordsize="0,13835" path="m7826,1470l7826,15305e" filled="false" stroked="true" strokeweight=".72pt" strokecolor="#000000">
                <v:path arrowok="t"/>
              </v:shape>
            </v:group>
            <v:group style="position:absolute;left:7819;top:15320;width:30;height:2" coordorigin="7819,15320" coordsize="30,2">
              <v:shape style="position:absolute;left:7819;top:15320;width:30;height:2" coordorigin="7819,15320" coordsize="30,0" path="m7819,15320l7849,15320e" filled="false" stroked="true" strokeweight="1.5pt" strokecolor="#000000">
                <v:path arrowok="t"/>
              </v:shape>
            </v:group>
            <v:group style="position:absolute;left:7849;top:15320;width:909;height:2" coordorigin="7849,15320" coordsize="909,2">
              <v:shape style="position:absolute;left:7849;top:15320;width:909;height:2" coordorigin="7849,15320" coordsize="909,0" path="m7849,15320l8758,15320e" filled="false" stroked="true" strokeweight="1.5pt" strokecolor="#000000">
                <v:path arrowok="t"/>
              </v:shape>
            </v:group>
            <v:group style="position:absolute;left:8765;top:1862;width:2;height:13443" coordorigin="8765,1862" coordsize="2,13443">
              <v:shape style="position:absolute;left:8765;top:1862;width:2;height:13443" coordorigin="8765,1862" coordsize="0,13443" path="m8765,1862l8765,15305e" filled="false" stroked="true" strokeweight=".71997pt" strokecolor="#000000">
                <v:path arrowok="t"/>
              </v:shape>
            </v:group>
            <v:group style="position:absolute;left:8758;top:15320;width:30;height:2" coordorigin="8758,15320" coordsize="30,2">
              <v:shape style="position:absolute;left:8758;top:15320;width:30;height:2" coordorigin="8758,15320" coordsize="30,0" path="m8758,15320l8788,15320e" filled="false" stroked="true" strokeweight="1.5pt" strokecolor="#000000">
                <v:path arrowok="t"/>
              </v:shape>
            </v:group>
            <v:group style="position:absolute;left:8788;top:15320;width:952;height:2" coordorigin="8788,15320" coordsize="952,2">
              <v:shape style="position:absolute;left:8788;top:15320;width:952;height:2" coordorigin="8788,15320" coordsize="952,0" path="m8788,15320l9739,15320e" filled="false" stroked="true" strokeweight="1.5pt" strokecolor="#000000">
                <v:path arrowok="t"/>
              </v:shape>
            </v:group>
            <v:group style="position:absolute;left:9746;top:1470;width:2;height:13835" coordorigin="9746,1470" coordsize="2,13835">
              <v:shape style="position:absolute;left:9746;top:1470;width:2;height:13835" coordorigin="9746,1470" coordsize="0,13835" path="m9746,1470l9746,15305e" filled="false" stroked="true" strokeweight=".72pt" strokecolor="#000000">
                <v:path arrowok="t"/>
              </v:shape>
            </v:group>
            <v:group style="position:absolute;left:9739;top:15320;width:30;height:2" coordorigin="9739,15320" coordsize="30,2">
              <v:shape style="position:absolute;left:9739;top:15320;width:30;height:2" coordorigin="9739,15320" coordsize="30,0" path="m9739,15320l9769,15320e" filled="false" stroked="true" strokeweight="1.5pt" strokecolor="#000000">
                <v:path arrowok="t"/>
              </v:shape>
            </v:group>
            <v:group style="position:absolute;left:9769;top:15320;width:922;height:2" coordorigin="9769,15320" coordsize="922,2">
              <v:shape style="position:absolute;left:9769;top:15320;width:922;height:2" coordorigin="9769,15320" coordsize="922,0" path="m9769,15320l10691,15320e" filled="false" stroked="true" strokeweight="1.5pt" strokecolor="#000000">
                <v:path arrowok="t"/>
              </v:shape>
            </v:group>
            <v:group style="position:absolute;left:10706;top:1440;width:2;height:13895" coordorigin="10706,1440" coordsize="2,13895">
              <v:shape style="position:absolute;left:10706;top:1440;width:2;height:13895" coordorigin="10706,1440" coordsize="0,13895" path="m10706,1440l10706,15335e" filled="false" stroked="true" strokeweight="1.5pt" strokecolor="#000000">
                <v:path arrowok="t"/>
              </v:shape>
            </v:group>
            <w10:wrap type="none"/>
          </v:group>
        </w:pict>
      </w:r>
    </w:p>
    <w:p>
      <w:pPr>
        <w:tabs>
          <w:tab w:pos="2592" w:val="left" w:leader="none"/>
          <w:tab w:pos="8108" w:val="left" w:leader="none"/>
        </w:tabs>
        <w:spacing w:before="43"/>
        <w:ind w:left="181" w:right="1122" w:firstLine="0"/>
        <w:jc w:val="left"/>
        <w:rPr>
          <w:rFonts w:ascii="宋体" w:hAnsi="宋体" w:cs="宋体" w:eastAsia="宋体" w:hint="default"/>
          <w:sz w:val="18"/>
          <w:szCs w:val="18"/>
        </w:rPr>
      </w:pPr>
      <w:r>
        <w:rPr>
          <w:rFonts w:ascii="宋体" w:hAnsi="宋体" w:cs="宋体" w:eastAsia="宋体" w:hint="default"/>
          <w:sz w:val="18"/>
          <w:szCs w:val="18"/>
        </w:rPr>
        <w:t>湖北瑞云软件科</w:t>
      </w:r>
      <w:r>
        <w:rPr>
          <w:rFonts w:ascii="宋体" w:hAnsi="宋体" w:cs="宋体" w:eastAsia="宋体" w:hint="default"/>
          <w:spacing w:val="22"/>
          <w:sz w:val="18"/>
          <w:szCs w:val="18"/>
        </w:rPr>
        <w:t> </w:t>
      </w:r>
      <w:r>
        <w:rPr>
          <w:rFonts w:ascii="宋体" w:hAnsi="宋体" w:cs="宋体" w:eastAsia="宋体" w:hint="default"/>
          <w:position w:val="2"/>
          <w:sz w:val="18"/>
          <w:szCs w:val="18"/>
        </w:rPr>
        <w:t>湖北荆州</w:t>
        <w:tab/>
        <w:t>湖北荆州</w:t>
      </w:r>
      <w:r>
        <w:rPr>
          <w:rFonts w:ascii="宋体" w:hAnsi="宋体" w:cs="宋体" w:eastAsia="宋体" w:hint="default"/>
          <w:spacing w:val="3"/>
          <w:position w:val="2"/>
          <w:sz w:val="18"/>
          <w:szCs w:val="18"/>
        </w:rPr>
        <w:t> </w:t>
      </w:r>
      <w:r>
        <w:rPr>
          <w:rFonts w:ascii="宋体" w:hAnsi="宋体" w:cs="宋体" w:eastAsia="宋体" w:hint="default"/>
          <w:spacing w:val="-5"/>
          <w:sz w:val="18"/>
          <w:szCs w:val="18"/>
        </w:rPr>
        <w:t>计算机软件、硬件产品的开发、设计、销售、</w:t>
        <w:tab/>
      </w:r>
      <w:r>
        <w:rPr>
          <w:rFonts w:ascii="宋体" w:hAnsi="宋体" w:cs="宋体" w:eastAsia="宋体" w:hint="default"/>
          <w:position w:val="2"/>
          <w:sz w:val="18"/>
          <w:szCs w:val="18"/>
        </w:rPr>
        <w:t>100.00%</w:t>
      </w:r>
      <w:r>
        <w:rPr>
          <w:rFonts w:ascii="宋体" w:hAnsi="宋体" w:cs="宋体" w:eastAsia="宋体" w:hint="default"/>
          <w:spacing w:val="-34"/>
          <w:position w:val="2"/>
          <w:sz w:val="18"/>
          <w:szCs w:val="18"/>
        </w:rPr>
        <w:t> </w:t>
      </w:r>
      <w:r>
        <w:rPr>
          <w:rFonts w:ascii="宋体" w:hAnsi="宋体" w:cs="宋体" w:eastAsia="宋体" w:hint="default"/>
          <w:sz w:val="18"/>
          <w:szCs w:val="18"/>
        </w:rPr>
        <w:t>非同一控制</w:t>
      </w:r>
    </w:p>
    <w:p>
      <w:pPr>
        <w:spacing w:after="0"/>
        <w:jc w:val="left"/>
        <w:rPr>
          <w:rFonts w:ascii="宋体" w:hAnsi="宋体" w:cs="宋体" w:eastAsia="宋体" w:hint="default"/>
          <w:sz w:val="18"/>
          <w:szCs w:val="18"/>
        </w:rPr>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373"/>
        <w:gridCol w:w="1038"/>
        <w:gridCol w:w="802"/>
        <w:gridCol w:w="3480"/>
        <w:gridCol w:w="939"/>
        <w:gridCol w:w="982"/>
        <w:gridCol w:w="959"/>
      </w:tblGrid>
      <w:tr>
        <w:trPr>
          <w:trHeight w:val="415" w:hRule="exact"/>
        </w:trPr>
        <w:tc>
          <w:tcPr>
            <w:tcW w:w="137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38"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02"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480"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920"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59"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7" w:hRule="exact"/>
        </w:trPr>
        <w:tc>
          <w:tcPr>
            <w:tcW w:w="1373" w:type="dxa"/>
            <w:vMerge/>
            <w:tcBorders>
              <w:left w:val="single" w:sz="12" w:space="0" w:color="000000"/>
              <w:bottom w:val="single" w:sz="6" w:space="0" w:color="000000"/>
              <w:right w:val="single" w:sz="6" w:space="0" w:color="000000"/>
            </w:tcBorders>
            <w:shd w:val="clear" w:color="auto" w:fill="D2D2D2"/>
          </w:tcPr>
          <w:p>
            <w:pPr/>
          </w:p>
        </w:tc>
        <w:tc>
          <w:tcPr>
            <w:tcW w:w="1038" w:type="dxa"/>
            <w:vMerge/>
            <w:tcBorders>
              <w:left w:val="single" w:sz="6" w:space="0" w:color="000000"/>
              <w:bottom w:val="single" w:sz="6" w:space="0" w:color="000000"/>
              <w:right w:val="single" w:sz="6" w:space="0" w:color="000000"/>
            </w:tcBorders>
            <w:shd w:val="clear" w:color="auto" w:fill="D2D2D2"/>
          </w:tcPr>
          <w:p>
            <w:pPr/>
          </w:p>
        </w:tc>
        <w:tc>
          <w:tcPr>
            <w:tcW w:w="802" w:type="dxa"/>
            <w:vMerge/>
            <w:tcBorders>
              <w:left w:val="single" w:sz="6" w:space="0" w:color="000000"/>
              <w:bottom w:val="single" w:sz="6" w:space="0" w:color="000000"/>
              <w:right w:val="single" w:sz="6" w:space="0" w:color="000000"/>
            </w:tcBorders>
            <w:shd w:val="clear" w:color="auto" w:fill="D2D2D2"/>
          </w:tcPr>
          <w:p>
            <w:pPr/>
          </w:p>
        </w:tc>
        <w:tc>
          <w:tcPr>
            <w:tcW w:w="3480" w:type="dxa"/>
            <w:vMerge/>
            <w:tcBorders>
              <w:left w:val="single" w:sz="6" w:space="0" w:color="000000"/>
              <w:bottom w:val="single" w:sz="6" w:space="0" w:color="000000"/>
              <w:right w:val="single" w:sz="6" w:space="0" w:color="000000"/>
            </w:tcBorders>
            <w:shd w:val="clear" w:color="auto" w:fill="D2D2D2"/>
          </w:tcPr>
          <w:p>
            <w:pPr/>
          </w:p>
        </w:tc>
        <w:tc>
          <w:tcPr>
            <w:tcW w:w="9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59" w:type="dxa"/>
            <w:vMerge/>
            <w:tcBorders>
              <w:left w:val="single" w:sz="6" w:space="0" w:color="000000"/>
              <w:bottom w:val="single" w:sz="6" w:space="0" w:color="000000"/>
              <w:right w:val="single" w:sz="12" w:space="0" w:color="000000"/>
            </w:tcBorders>
            <w:shd w:val="clear" w:color="auto" w:fill="D2D2D2"/>
          </w:tcPr>
          <w:p>
            <w:pPr/>
          </w:p>
        </w:tc>
      </w:tr>
      <w:tr>
        <w:trPr>
          <w:trHeight w:val="1311" w:hRule="exact"/>
        </w:trPr>
        <w:tc>
          <w:tcPr>
            <w:tcW w:w="13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038" w:type="dxa"/>
            <w:tcBorders>
              <w:top w:val="single" w:sz="6" w:space="0" w:color="000000"/>
              <w:left w:val="single" w:sz="6" w:space="0" w:color="000000"/>
              <w:bottom w:val="single" w:sz="12" w:space="0" w:color="000000"/>
              <w:right w:val="single" w:sz="6" w:space="0" w:color="000000"/>
            </w:tcBorders>
          </w:tcPr>
          <w:p>
            <w:pPr/>
          </w:p>
        </w:tc>
        <w:tc>
          <w:tcPr>
            <w:tcW w:w="802" w:type="dxa"/>
            <w:tcBorders>
              <w:top w:val="single" w:sz="6" w:space="0" w:color="000000"/>
              <w:left w:val="single" w:sz="6" w:space="0" w:color="000000"/>
              <w:bottom w:val="single" w:sz="12" w:space="0" w:color="000000"/>
              <w:right w:val="single" w:sz="6" w:space="0" w:color="000000"/>
            </w:tcBorders>
          </w:tcPr>
          <w:p>
            <w:pPr/>
          </w:p>
        </w:tc>
        <w:tc>
          <w:tcPr>
            <w:tcW w:w="3480"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10"/>
              <w:ind w:left="20"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技术服务；计算机系统集成设计、施工；网 </w:t>
            </w:r>
            <w:r>
              <w:rPr>
                <w:rFonts w:ascii="宋体" w:hAnsi="宋体" w:cs="宋体" w:eastAsia="宋体" w:hint="default"/>
                <w:spacing w:val="-9"/>
                <w:sz w:val="18"/>
                <w:szCs w:val="18"/>
              </w:rPr>
              <w:t>络工程技术咨询服务（电信业务除外）；电子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产品的研发、生产（上述经营范围中设计资 质证经营的凭有效资质证经营</w:t>
            </w:r>
            <w:r>
              <w:rPr>
                <w:rFonts w:ascii="Times New Roman" w:hAnsi="Times New Roman" w:cs="Times New Roman" w:eastAsia="Times New Roman" w:hint="default"/>
                <w:sz w:val="18"/>
                <w:szCs w:val="18"/>
              </w:rPr>
              <w:t>)</w:t>
            </w:r>
          </w:p>
        </w:tc>
        <w:tc>
          <w:tcPr>
            <w:tcW w:w="939" w:type="dxa"/>
            <w:tcBorders>
              <w:top w:val="single" w:sz="6" w:space="0" w:color="000000"/>
              <w:left w:val="single" w:sz="6" w:space="0" w:color="000000"/>
              <w:bottom w:val="single" w:sz="12" w:space="0" w:color="000000"/>
              <w:right w:val="single" w:sz="6" w:space="0" w:color="000000"/>
            </w:tcBorders>
          </w:tcPr>
          <w:p>
            <w:pPr/>
          </w:p>
        </w:tc>
        <w:tc>
          <w:tcPr>
            <w:tcW w:w="982" w:type="dxa"/>
            <w:tcBorders>
              <w:top w:val="single" w:sz="6" w:space="0" w:color="000000"/>
              <w:left w:val="single" w:sz="6" w:space="0" w:color="000000"/>
              <w:bottom w:val="single" w:sz="12" w:space="0" w:color="000000"/>
              <w:right w:val="single" w:sz="6" w:space="0" w:color="000000"/>
            </w:tcBorders>
          </w:tcPr>
          <w:p>
            <w:pPr/>
          </w:p>
        </w:tc>
        <w:tc>
          <w:tcPr>
            <w:tcW w:w="9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bl>
    <w:p>
      <w:pPr>
        <w:pStyle w:val="BodyText"/>
        <w:spacing w:line="408" w:lineRule="auto" w:before="63"/>
        <w:ind w:left="574" w:right="1122" w:hanging="420"/>
        <w:jc w:val="left"/>
      </w:pPr>
      <w:r>
        <w:rPr/>
        <w:t>在子公司的持股比例不同于表决权比例的说明： </w:t>
      </w:r>
      <w:r>
        <w:rPr>
          <w:spacing w:val="-1"/>
        </w:rPr>
        <w:t>南京领航光一科技产业投资合伙企业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为公司设立的结构化主体，持股比例与实际表决权比</w:t>
      </w:r>
    </w:p>
    <w:p>
      <w:pPr>
        <w:pStyle w:val="BodyText"/>
        <w:spacing w:line="408" w:lineRule="auto"/>
        <w:ind w:right="5712"/>
        <w:jc w:val="left"/>
      </w:pPr>
      <w:r>
        <w:rPr/>
        <w:t>例不同。 对于纳入合并范围的重要的结构化主体，控制的依据：</w:t>
      </w:r>
    </w:p>
    <w:p>
      <w:pPr>
        <w:pStyle w:val="BodyText"/>
        <w:spacing w:line="408" w:lineRule="auto"/>
        <w:ind w:right="1122" w:firstLine="420"/>
        <w:jc w:val="left"/>
        <w:rPr>
          <w:sz w:val="18"/>
          <w:szCs w:val="18"/>
        </w:rPr>
      </w:pPr>
      <w:r>
        <w:rPr>
          <w:spacing w:val="-6"/>
        </w:rPr>
        <w:t>对于纳入合并范围的重要的结构化主体，本公司拥有对其的绝对、完全、独占的投资标的主导选择权，</w:t>
      </w:r>
      <w:r>
        <w:rPr/>
        <w:t> 优先级合伙人无权撤销公司投资标的选取的权力，公司能够对其实施控制，因此纳入合并范围。</w:t>
      </w:r>
      <w:r>
        <w:rPr>
          <w:sz w:val="18"/>
          <w:szCs w:val="18"/>
        </w:rPr>
        <w:t>：</w:t>
      </w:r>
    </w:p>
    <w:p>
      <w:pPr>
        <w:pStyle w:val="Heading4"/>
        <w:spacing w:line="240" w:lineRule="auto" w:before="46"/>
        <w:ind w:right="1122"/>
        <w:jc w:val="left"/>
        <w:rPr>
          <w:b w:val="0"/>
          <w:bCs w:val="0"/>
        </w:rPr>
      </w:pPr>
      <w:bookmarkStart w:name="（2）重要的非全资子公司" w:id="402"/>
      <w:bookmarkEnd w:id="402"/>
      <w:r>
        <w:rPr>
          <w:b w:val="0"/>
          <w:bCs w:val="0"/>
        </w:rPr>
      </w:r>
      <w:r>
        <w:rPr/>
        <w:t>（</w:t>
      </w:r>
      <w:r>
        <w:rPr>
          <w:rFonts w:ascii="宋体" w:hAnsi="宋体" w:cs="宋体" w:eastAsia="宋体" w:hint="default"/>
        </w:rPr>
        <w:t>2</w:t>
      </w:r>
      <w:r>
        <w:rPr/>
        <w:t>）重要的非全资子公司</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695"/>
        <w:gridCol w:w="1276"/>
        <w:gridCol w:w="2268"/>
        <w:gridCol w:w="1420"/>
        <w:gridCol w:w="1912"/>
      </w:tblGrid>
      <w:tr>
        <w:trPr>
          <w:trHeight w:val="773" w:hRule="exact"/>
        </w:trPr>
        <w:tc>
          <w:tcPr>
            <w:tcW w:w="269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8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6"/>
              <w:ind w:left="272" w:right="273"/>
              <w:jc w:val="left"/>
              <w:rPr>
                <w:rFonts w:ascii="宋体" w:hAnsi="宋体" w:cs="宋体" w:eastAsia="宋体" w:hint="default"/>
                <w:sz w:val="18"/>
                <w:szCs w:val="18"/>
              </w:rPr>
            </w:pPr>
            <w:r>
              <w:rPr>
                <w:rFonts w:ascii="宋体" w:hAnsi="宋体" w:cs="宋体" w:eastAsia="宋体" w:hint="default"/>
                <w:sz w:val="18"/>
                <w:szCs w:val="18"/>
              </w:rPr>
              <w:t>少数股东 持股比例</w:t>
            </w:r>
          </w:p>
        </w:tc>
        <w:tc>
          <w:tcPr>
            <w:tcW w:w="22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142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5"/>
              <w:ind w:left="74" w:right="75"/>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91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12" w:hRule="exact"/>
        </w:trPr>
        <w:tc>
          <w:tcPr>
            <w:tcW w:w="269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701" w:right="0"/>
              <w:jc w:val="left"/>
              <w:rPr>
                <w:rFonts w:ascii="宋体" w:hAnsi="宋体" w:cs="宋体" w:eastAsia="宋体" w:hint="default"/>
                <w:sz w:val="18"/>
                <w:szCs w:val="18"/>
              </w:rPr>
            </w:pPr>
            <w:r>
              <w:rPr>
                <w:rFonts w:ascii="宋体"/>
                <w:sz w:val="18"/>
              </w:rPr>
              <w:t>40.00%</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-750,008.08</w:t>
            </w:r>
          </w:p>
        </w:tc>
        <w:tc>
          <w:tcPr>
            <w:tcW w:w="1420" w:type="dxa"/>
            <w:tcBorders>
              <w:top w:val="single" w:sz="4" w:space="0" w:color="000000"/>
              <w:left w:val="single" w:sz="4" w:space="0" w:color="000000"/>
              <w:bottom w:val="single" w:sz="12" w:space="0" w:color="000000"/>
              <w:right w:val="single" w:sz="4" w:space="0" w:color="000000"/>
            </w:tcBorders>
          </w:tcPr>
          <w:p>
            <w:pPr/>
          </w:p>
        </w:tc>
        <w:tc>
          <w:tcPr>
            <w:tcW w:w="191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3,176,331.24</w:t>
            </w:r>
          </w:p>
        </w:tc>
      </w:tr>
    </w:tbl>
    <w:p>
      <w:pPr>
        <w:pStyle w:val="Heading4"/>
        <w:spacing w:line="240" w:lineRule="auto" w:before="63"/>
        <w:ind w:right="1122"/>
        <w:jc w:val="left"/>
        <w:rPr>
          <w:b w:val="0"/>
          <w:bCs w:val="0"/>
        </w:rPr>
      </w:pPr>
      <w:bookmarkStart w:name="（3）重要非全资子公司的主要财务信息" w:id="403"/>
      <w:bookmarkEnd w:id="403"/>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33"/>
        <w:gridCol w:w="1387"/>
        <w:gridCol w:w="1389"/>
        <w:gridCol w:w="1388"/>
        <w:gridCol w:w="1387"/>
        <w:gridCol w:w="1389"/>
        <w:gridCol w:w="1388"/>
      </w:tblGrid>
      <w:tr>
        <w:trPr>
          <w:trHeight w:val="412" w:hRule="exact"/>
        </w:trPr>
        <w:tc>
          <w:tcPr>
            <w:tcW w:w="123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328" w:type="dxa"/>
            <w:gridSpan w:val="6"/>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233" w:type="dxa"/>
            <w:vMerge/>
            <w:tcBorders>
              <w:left w:val="single" w:sz="12" w:space="0" w:color="000000"/>
              <w:bottom w:val="single" w:sz="4" w:space="0" w:color="000000"/>
              <w:right w:val="single" w:sz="4" w:space="0" w:color="000000"/>
            </w:tcBorders>
            <w:shd w:val="clear" w:color="auto" w:fill="D2D2D2"/>
          </w:tcPr>
          <w:p>
            <w:pP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88"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2"/>
              <w:ind w:left="328"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36" w:hRule="exact"/>
        </w:trPr>
        <w:tc>
          <w:tcPr>
            <w:tcW w:w="1233"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2"/>
              <w:ind w:left="13" w:right="118"/>
              <w:jc w:val="both"/>
              <w:rPr>
                <w:rFonts w:ascii="宋体" w:hAnsi="宋体" w:cs="宋体" w:eastAsia="宋体" w:hint="default"/>
                <w:sz w:val="18"/>
                <w:szCs w:val="18"/>
              </w:rPr>
            </w:pPr>
            <w:r>
              <w:rPr>
                <w:rFonts w:ascii="宋体" w:hAnsi="宋体" w:cs="宋体" w:eastAsia="宋体" w:hint="default"/>
                <w:sz w:val="18"/>
                <w:szCs w:val="18"/>
              </w:rPr>
              <w:t>江苏德能电力 设计咨询有限 公司</w:t>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4" w:right="0"/>
              <w:jc w:val="left"/>
              <w:rPr>
                <w:rFonts w:ascii="宋体" w:hAnsi="宋体" w:cs="宋体" w:eastAsia="宋体" w:hint="default"/>
                <w:sz w:val="18"/>
                <w:szCs w:val="18"/>
              </w:rPr>
            </w:pPr>
            <w:r>
              <w:rPr>
                <w:rFonts w:ascii="宋体"/>
                <w:sz w:val="18"/>
              </w:rPr>
              <w:t>30,596,364.80</w:t>
            </w:r>
          </w:p>
        </w:tc>
        <w:tc>
          <w:tcPr>
            <w:tcW w:w="13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5" w:right="0"/>
              <w:jc w:val="left"/>
              <w:rPr>
                <w:rFonts w:ascii="宋体" w:hAnsi="宋体" w:cs="宋体" w:eastAsia="宋体" w:hint="default"/>
                <w:sz w:val="18"/>
                <w:szCs w:val="18"/>
              </w:rPr>
            </w:pPr>
            <w:r>
              <w:rPr>
                <w:rFonts w:ascii="宋体"/>
                <w:sz w:val="18"/>
              </w:rPr>
              <w:t>1,648,307.07</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4" w:right="0"/>
              <w:jc w:val="left"/>
              <w:rPr>
                <w:rFonts w:ascii="宋体" w:hAnsi="宋体" w:cs="宋体" w:eastAsia="宋体" w:hint="default"/>
                <w:sz w:val="18"/>
                <w:szCs w:val="18"/>
              </w:rPr>
            </w:pPr>
            <w:r>
              <w:rPr>
                <w:rFonts w:ascii="宋体"/>
                <w:sz w:val="18"/>
              </w:rPr>
              <w:t>32,244,671.87</w:t>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4" w:right="0"/>
              <w:jc w:val="left"/>
              <w:rPr>
                <w:rFonts w:ascii="宋体" w:hAnsi="宋体" w:cs="宋体" w:eastAsia="宋体" w:hint="default"/>
                <w:sz w:val="18"/>
                <w:szCs w:val="18"/>
              </w:rPr>
            </w:pPr>
            <w:r>
              <w:rPr>
                <w:rFonts w:ascii="宋体"/>
                <w:sz w:val="18"/>
              </w:rPr>
              <w:t>24,303,843.77</w:t>
            </w:r>
          </w:p>
        </w:tc>
        <w:tc>
          <w:tcPr>
            <w:tcW w:w="1389" w:type="dxa"/>
            <w:tcBorders>
              <w:top w:val="single" w:sz="4" w:space="0" w:color="000000"/>
              <w:left w:val="single" w:sz="4" w:space="0" w:color="000000"/>
              <w:bottom w:val="single" w:sz="12" w:space="0" w:color="000000"/>
              <w:right w:val="single" w:sz="4" w:space="0" w:color="000000"/>
            </w:tcBorders>
          </w:tcPr>
          <w:p>
            <w:pPr/>
          </w:p>
        </w:tc>
        <w:tc>
          <w:tcPr>
            <w:tcW w:w="13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4" w:right="0"/>
              <w:jc w:val="left"/>
              <w:rPr>
                <w:rFonts w:ascii="宋体" w:hAnsi="宋体" w:cs="宋体" w:eastAsia="宋体" w:hint="default"/>
                <w:sz w:val="18"/>
                <w:szCs w:val="18"/>
              </w:rPr>
            </w:pPr>
            <w:r>
              <w:rPr>
                <w:rFonts w:ascii="宋体"/>
                <w:sz w:val="18"/>
              </w:rPr>
              <w:t>24,303,843.77</w:t>
            </w:r>
          </w:p>
        </w:tc>
      </w:tr>
    </w:tbl>
    <w:p>
      <w:pPr>
        <w:spacing w:line="240" w:lineRule="auto" w:before="1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277"/>
        <w:gridCol w:w="1344"/>
        <w:gridCol w:w="1389"/>
        <w:gridCol w:w="1388"/>
        <w:gridCol w:w="1387"/>
        <w:gridCol w:w="1389"/>
        <w:gridCol w:w="1388"/>
      </w:tblGrid>
      <w:tr>
        <w:trPr>
          <w:trHeight w:val="412" w:hRule="exact"/>
        </w:trPr>
        <w:tc>
          <w:tcPr>
            <w:tcW w:w="1277" w:type="dxa"/>
            <w:vMerge w:val="restart"/>
            <w:tcBorders>
              <w:top w:val="single" w:sz="12" w:space="0" w:color="000000"/>
              <w:left w:val="single" w:sz="12" w:space="0" w:color="000000"/>
              <w:right w:val="single" w:sz="4" w:space="0" w:color="000000"/>
            </w:tcBorders>
            <w:shd w:val="clear" w:color="auto" w:fill="D7D7D7"/>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285" w:type="dxa"/>
            <w:gridSpan w:val="6"/>
            <w:tcBorders>
              <w:top w:val="single" w:sz="12" w:space="0" w:color="000000"/>
              <w:left w:val="single" w:sz="4" w:space="0" w:color="000000"/>
              <w:bottom w:val="single" w:sz="4" w:space="0" w:color="000000"/>
              <w:right w:val="single" w:sz="12" w:space="0" w:color="000000"/>
            </w:tcBorders>
            <w:shd w:val="clear" w:color="auto" w:fill="D7D7D7"/>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77" w:type="dxa"/>
            <w:vMerge/>
            <w:tcBorders>
              <w:left w:val="single" w:sz="12" w:space="0" w:color="000000"/>
              <w:bottom w:val="single" w:sz="4" w:space="0" w:color="000000"/>
              <w:right w:val="single" w:sz="4" w:space="0" w:color="000000"/>
            </w:tcBorders>
            <w:shd w:val="clear" w:color="auto" w:fill="D7D7D7"/>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8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8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8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8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88" w:type="dxa"/>
            <w:tcBorders>
              <w:top w:val="single" w:sz="4" w:space="0" w:color="000000"/>
              <w:left w:val="single" w:sz="4" w:space="0" w:color="000000"/>
              <w:bottom w:val="single" w:sz="4" w:space="0" w:color="000000"/>
              <w:right w:val="single" w:sz="12" w:space="0" w:color="000000"/>
            </w:tcBorders>
            <w:shd w:val="clear" w:color="auto" w:fill="D7D7D7"/>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36" w:hRule="exact"/>
        </w:trPr>
        <w:tc>
          <w:tcPr>
            <w:tcW w:w="1277"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1"/>
              <w:ind w:left="13" w:right="161"/>
              <w:jc w:val="both"/>
              <w:rPr>
                <w:rFonts w:ascii="宋体" w:hAnsi="宋体" w:cs="宋体" w:eastAsia="宋体" w:hint="default"/>
                <w:sz w:val="18"/>
                <w:szCs w:val="18"/>
              </w:rPr>
            </w:pPr>
            <w:r>
              <w:rPr>
                <w:rFonts w:ascii="宋体" w:hAnsi="宋体" w:cs="宋体" w:eastAsia="宋体" w:hint="default"/>
                <w:sz w:val="18"/>
                <w:szCs w:val="18"/>
              </w:rPr>
              <w:t>江苏德能电力 设计咨询有限 公司</w:t>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8" w:right="0"/>
              <w:jc w:val="center"/>
              <w:rPr>
                <w:rFonts w:ascii="宋体" w:hAnsi="宋体" w:cs="宋体" w:eastAsia="宋体" w:hint="default"/>
                <w:sz w:val="18"/>
                <w:szCs w:val="18"/>
              </w:rPr>
            </w:pPr>
            <w:r>
              <w:rPr>
                <w:rFonts w:ascii="宋体"/>
                <w:sz w:val="18"/>
              </w:rPr>
              <w:t>40,199,416.82</w:t>
            </w:r>
          </w:p>
        </w:tc>
        <w:tc>
          <w:tcPr>
            <w:tcW w:w="13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5" w:right="0"/>
              <w:jc w:val="left"/>
              <w:rPr>
                <w:rFonts w:ascii="宋体" w:hAnsi="宋体" w:cs="宋体" w:eastAsia="宋体" w:hint="default"/>
                <w:sz w:val="18"/>
                <w:szCs w:val="18"/>
              </w:rPr>
            </w:pPr>
            <w:r>
              <w:rPr>
                <w:rFonts w:ascii="宋体"/>
                <w:sz w:val="18"/>
              </w:rPr>
              <w:t>1,748,329.60</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4" w:right="0"/>
              <w:jc w:val="left"/>
              <w:rPr>
                <w:rFonts w:ascii="宋体" w:hAnsi="宋体" w:cs="宋体" w:eastAsia="宋体" w:hint="default"/>
                <w:sz w:val="18"/>
                <w:szCs w:val="18"/>
              </w:rPr>
            </w:pPr>
            <w:r>
              <w:rPr>
                <w:rFonts w:ascii="宋体"/>
                <w:sz w:val="18"/>
              </w:rPr>
              <w:t>41,947,746.42</w:t>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4" w:right="0"/>
              <w:jc w:val="left"/>
              <w:rPr>
                <w:rFonts w:ascii="宋体" w:hAnsi="宋体" w:cs="宋体" w:eastAsia="宋体" w:hint="default"/>
                <w:sz w:val="18"/>
                <w:szCs w:val="18"/>
              </w:rPr>
            </w:pPr>
            <w:r>
              <w:rPr>
                <w:rFonts w:ascii="宋体"/>
                <w:sz w:val="18"/>
              </w:rPr>
              <w:t>32,065,172.32</w:t>
            </w:r>
          </w:p>
        </w:tc>
        <w:tc>
          <w:tcPr>
            <w:tcW w:w="13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0.00</w:t>
            </w:r>
          </w:p>
        </w:tc>
        <w:tc>
          <w:tcPr>
            <w:tcW w:w="13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4" w:right="0"/>
              <w:jc w:val="left"/>
              <w:rPr>
                <w:rFonts w:ascii="宋体" w:hAnsi="宋体" w:cs="宋体" w:eastAsia="宋体" w:hint="default"/>
                <w:sz w:val="18"/>
                <w:szCs w:val="18"/>
              </w:rPr>
            </w:pPr>
            <w:r>
              <w:rPr>
                <w:rFonts w:ascii="宋体"/>
                <w:sz w:val="18"/>
              </w:rPr>
              <w:t>32,065,172.32</w:t>
            </w:r>
          </w:p>
        </w:tc>
      </w:tr>
    </w:tbl>
    <w:p>
      <w:pPr>
        <w:spacing w:line="240" w:lineRule="auto" w:before="12"/>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277"/>
        <w:gridCol w:w="2041"/>
        <w:gridCol w:w="2081"/>
        <w:gridCol w:w="2082"/>
        <w:gridCol w:w="2080"/>
      </w:tblGrid>
      <w:tr>
        <w:trPr>
          <w:trHeight w:val="415" w:hRule="exact"/>
        </w:trPr>
        <w:tc>
          <w:tcPr>
            <w:tcW w:w="1277"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285" w:type="dxa"/>
            <w:gridSpan w:val="4"/>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1277" w:type="dxa"/>
            <w:vMerge/>
            <w:tcBorders>
              <w:left w:val="single" w:sz="12" w:space="0" w:color="000000"/>
              <w:bottom w:val="single" w:sz="6" w:space="0" w:color="000000"/>
              <w:right w:val="single" w:sz="6" w:space="0" w:color="000000"/>
            </w:tcBorders>
            <w:shd w:val="clear" w:color="auto" w:fill="D2D2D2"/>
          </w:tcPr>
          <w:p>
            <w:pPr/>
          </w:p>
        </w:tc>
        <w:tc>
          <w:tcPr>
            <w:tcW w:w="20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08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687" w:hRule="exact"/>
        </w:trPr>
        <w:tc>
          <w:tcPr>
            <w:tcW w:w="1277"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2"/>
              <w:ind w:left="13" w:right="159"/>
              <w:jc w:val="left"/>
              <w:rPr>
                <w:rFonts w:ascii="宋体" w:hAnsi="宋体" w:cs="宋体" w:eastAsia="宋体" w:hint="default"/>
                <w:sz w:val="18"/>
                <w:szCs w:val="18"/>
              </w:rPr>
            </w:pPr>
            <w:r>
              <w:rPr>
                <w:rFonts w:ascii="宋体" w:hAnsi="宋体" w:cs="宋体" w:eastAsia="宋体" w:hint="default"/>
                <w:sz w:val="18"/>
                <w:szCs w:val="18"/>
              </w:rPr>
              <w:t>江苏德能电力 设计咨询有限</w:t>
            </w:r>
          </w:p>
        </w:tc>
        <w:tc>
          <w:tcPr>
            <w:tcW w:w="20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36" w:right="0"/>
              <w:jc w:val="left"/>
              <w:rPr>
                <w:rFonts w:ascii="宋体" w:hAnsi="宋体" w:cs="宋体" w:eastAsia="宋体" w:hint="default"/>
                <w:sz w:val="18"/>
                <w:szCs w:val="18"/>
              </w:rPr>
            </w:pPr>
            <w:r>
              <w:rPr>
                <w:rFonts w:ascii="宋体"/>
                <w:sz w:val="18"/>
              </w:rPr>
              <w:t>20,300,389.34</w:t>
            </w:r>
          </w:p>
        </w:tc>
        <w:tc>
          <w:tcPr>
            <w:tcW w:w="20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77" w:right="0"/>
              <w:jc w:val="left"/>
              <w:rPr>
                <w:rFonts w:ascii="宋体" w:hAnsi="宋体" w:cs="宋体" w:eastAsia="宋体" w:hint="default"/>
                <w:sz w:val="18"/>
                <w:szCs w:val="18"/>
              </w:rPr>
            </w:pPr>
            <w:r>
              <w:rPr>
                <w:rFonts w:ascii="宋体"/>
                <w:sz w:val="18"/>
              </w:rPr>
              <w:t>-1,875,020.19</w:t>
            </w:r>
          </w:p>
        </w:tc>
        <w:tc>
          <w:tcPr>
            <w:tcW w:w="20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77" w:right="0"/>
              <w:jc w:val="left"/>
              <w:rPr>
                <w:rFonts w:ascii="宋体" w:hAnsi="宋体" w:cs="宋体" w:eastAsia="宋体" w:hint="default"/>
                <w:sz w:val="18"/>
                <w:szCs w:val="18"/>
              </w:rPr>
            </w:pPr>
            <w:r>
              <w:rPr>
                <w:rFonts w:ascii="宋体"/>
                <w:sz w:val="18"/>
              </w:rPr>
              <w:t>-1,875,020.19</w:t>
            </w:r>
          </w:p>
        </w:tc>
        <w:tc>
          <w:tcPr>
            <w:tcW w:w="20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66" w:right="0"/>
              <w:jc w:val="left"/>
              <w:rPr>
                <w:rFonts w:ascii="宋体" w:hAnsi="宋体" w:cs="宋体" w:eastAsia="宋体" w:hint="default"/>
                <w:sz w:val="18"/>
                <w:szCs w:val="18"/>
              </w:rPr>
            </w:pPr>
            <w:r>
              <w:rPr>
                <w:rFonts w:ascii="宋体"/>
                <w:sz w:val="18"/>
              </w:rPr>
              <w:t>2,939,521.72</w:t>
            </w:r>
          </w:p>
        </w:tc>
      </w:tr>
    </w:tbl>
    <w:p>
      <w:pPr>
        <w:spacing w:after="0" w:line="240" w:lineRule="auto"/>
        <w:jc w:val="left"/>
        <w:rPr>
          <w:rFonts w:ascii="宋体" w:hAnsi="宋体" w:cs="宋体" w:eastAsia="宋体" w:hint="default"/>
          <w:sz w:val="18"/>
          <w:szCs w:val="18"/>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277"/>
        <w:gridCol w:w="2041"/>
        <w:gridCol w:w="2081"/>
        <w:gridCol w:w="2082"/>
        <w:gridCol w:w="2080"/>
      </w:tblGrid>
      <w:tr>
        <w:trPr>
          <w:trHeight w:val="382" w:hRule="exact"/>
        </w:trPr>
        <w:tc>
          <w:tcPr>
            <w:tcW w:w="1277"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41" w:type="dxa"/>
            <w:tcBorders>
              <w:top w:val="single" w:sz="12" w:space="0" w:color="000000"/>
              <w:left w:val="single" w:sz="6" w:space="0" w:color="000000"/>
              <w:bottom w:val="single" w:sz="12" w:space="0" w:color="000000"/>
              <w:right w:val="single" w:sz="6" w:space="0" w:color="000000"/>
            </w:tcBorders>
          </w:tcPr>
          <w:p>
            <w:pPr/>
          </w:p>
        </w:tc>
        <w:tc>
          <w:tcPr>
            <w:tcW w:w="2081" w:type="dxa"/>
            <w:tcBorders>
              <w:top w:val="single" w:sz="12" w:space="0" w:color="000000"/>
              <w:left w:val="single" w:sz="6" w:space="0" w:color="000000"/>
              <w:bottom w:val="single" w:sz="12" w:space="0" w:color="000000"/>
              <w:right w:val="single" w:sz="6" w:space="0" w:color="000000"/>
            </w:tcBorders>
          </w:tcPr>
          <w:p>
            <w:pPr/>
          </w:p>
        </w:tc>
        <w:tc>
          <w:tcPr>
            <w:tcW w:w="2082" w:type="dxa"/>
            <w:tcBorders>
              <w:top w:val="single" w:sz="12" w:space="0" w:color="000000"/>
              <w:left w:val="single" w:sz="6" w:space="0" w:color="000000"/>
              <w:bottom w:val="single" w:sz="12" w:space="0" w:color="000000"/>
              <w:right w:val="single" w:sz="6" w:space="0" w:color="000000"/>
            </w:tcBorders>
          </w:tcPr>
          <w:p>
            <w:pPr/>
          </w:p>
        </w:tc>
        <w:tc>
          <w:tcPr>
            <w:tcW w:w="2080" w:type="dxa"/>
            <w:tcBorders>
              <w:top w:val="single" w:sz="12" w:space="0" w:color="000000"/>
              <w:left w:val="single" w:sz="6" w:space="0" w:color="000000"/>
              <w:bottom w:val="single" w:sz="12" w:space="0" w:color="000000"/>
              <w:right w:val="single" w:sz="12" w:space="0" w:color="000000"/>
            </w:tcBorders>
          </w:tcPr>
          <w:p>
            <w:pPr/>
          </w:p>
        </w:tc>
      </w:tr>
    </w:tbl>
    <w:p>
      <w:pPr>
        <w:spacing w:line="240" w:lineRule="auto" w:before="1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237"/>
        <w:gridCol w:w="2081"/>
        <w:gridCol w:w="2081"/>
        <w:gridCol w:w="2082"/>
        <w:gridCol w:w="2080"/>
      </w:tblGrid>
      <w:tr>
        <w:trPr>
          <w:trHeight w:val="415" w:hRule="exact"/>
        </w:trPr>
        <w:tc>
          <w:tcPr>
            <w:tcW w:w="1237" w:type="dxa"/>
            <w:vMerge w:val="restart"/>
            <w:tcBorders>
              <w:top w:val="single" w:sz="12" w:space="0" w:color="000000"/>
              <w:left w:val="single" w:sz="12"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325" w:type="dxa"/>
            <w:gridSpan w:val="4"/>
            <w:tcBorders>
              <w:top w:val="single" w:sz="12"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1237" w:type="dxa"/>
            <w:vMerge/>
            <w:tcBorders>
              <w:left w:val="single" w:sz="12" w:space="0" w:color="000000"/>
              <w:bottom w:val="single" w:sz="6" w:space="0" w:color="000000"/>
              <w:right w:val="single" w:sz="6" w:space="0" w:color="000000"/>
            </w:tcBorders>
            <w:shd w:val="clear" w:color="auto" w:fill="D7D7D7"/>
          </w:tcPr>
          <w:p>
            <w:pPr/>
          </w:p>
        </w:tc>
        <w:tc>
          <w:tcPr>
            <w:tcW w:w="208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8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08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080" w:type="dxa"/>
            <w:tcBorders>
              <w:top w:val="single" w:sz="6" w:space="0" w:color="000000"/>
              <w:left w:val="single" w:sz="6" w:space="0" w:color="000000"/>
              <w:bottom w:val="single" w:sz="6" w:space="0" w:color="000000"/>
              <w:right w:val="single" w:sz="12" w:space="0" w:color="000000"/>
            </w:tcBorders>
            <w:shd w:val="clear" w:color="auto" w:fill="D7D7D7"/>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1039" w:hRule="exact"/>
        </w:trPr>
        <w:tc>
          <w:tcPr>
            <w:tcW w:w="1237"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51"/>
              <w:ind w:left="13" w:right="119"/>
              <w:jc w:val="both"/>
              <w:rPr>
                <w:rFonts w:ascii="宋体" w:hAnsi="宋体" w:cs="宋体" w:eastAsia="宋体" w:hint="default"/>
                <w:sz w:val="18"/>
                <w:szCs w:val="18"/>
              </w:rPr>
            </w:pPr>
            <w:r>
              <w:rPr>
                <w:rFonts w:ascii="宋体" w:hAnsi="宋体" w:cs="宋体" w:eastAsia="宋体" w:hint="default"/>
                <w:sz w:val="18"/>
                <w:szCs w:val="18"/>
              </w:rPr>
              <w:t>江苏德能电力 设计咨询有限 公司</w:t>
            </w:r>
          </w:p>
        </w:tc>
        <w:tc>
          <w:tcPr>
            <w:tcW w:w="20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76" w:right="0"/>
              <w:jc w:val="left"/>
              <w:rPr>
                <w:rFonts w:ascii="宋体" w:hAnsi="宋体" w:cs="宋体" w:eastAsia="宋体" w:hint="default"/>
                <w:sz w:val="18"/>
                <w:szCs w:val="18"/>
              </w:rPr>
            </w:pPr>
            <w:r>
              <w:rPr>
                <w:rFonts w:ascii="宋体"/>
                <w:sz w:val="18"/>
              </w:rPr>
              <w:t>12,057,591.27</w:t>
            </w:r>
          </w:p>
        </w:tc>
        <w:tc>
          <w:tcPr>
            <w:tcW w:w="20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77" w:right="0"/>
              <w:jc w:val="left"/>
              <w:rPr>
                <w:rFonts w:ascii="宋体" w:hAnsi="宋体" w:cs="宋体" w:eastAsia="宋体" w:hint="default"/>
                <w:sz w:val="18"/>
                <w:szCs w:val="18"/>
              </w:rPr>
            </w:pPr>
            <w:r>
              <w:rPr>
                <w:rFonts w:ascii="宋体"/>
                <w:sz w:val="18"/>
              </w:rPr>
              <w:t>-9,916,271.81</w:t>
            </w:r>
          </w:p>
        </w:tc>
        <w:tc>
          <w:tcPr>
            <w:tcW w:w="20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77" w:right="0"/>
              <w:jc w:val="left"/>
              <w:rPr>
                <w:rFonts w:ascii="宋体" w:hAnsi="宋体" w:cs="宋体" w:eastAsia="宋体" w:hint="default"/>
                <w:sz w:val="18"/>
                <w:szCs w:val="18"/>
              </w:rPr>
            </w:pPr>
            <w:r>
              <w:rPr>
                <w:rFonts w:ascii="宋体"/>
                <w:sz w:val="18"/>
              </w:rPr>
              <w:t>-9,916,271.81</w:t>
            </w:r>
          </w:p>
        </w:tc>
        <w:tc>
          <w:tcPr>
            <w:tcW w:w="20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86" w:right="0"/>
              <w:jc w:val="left"/>
              <w:rPr>
                <w:rFonts w:ascii="宋体" w:hAnsi="宋体" w:cs="宋体" w:eastAsia="宋体" w:hint="default"/>
                <w:sz w:val="18"/>
                <w:szCs w:val="18"/>
              </w:rPr>
            </w:pPr>
            <w:r>
              <w:rPr>
                <w:rFonts w:ascii="宋体"/>
                <w:sz w:val="18"/>
              </w:rPr>
              <w:t>-15,871,750.61</w:t>
            </w:r>
          </w:p>
        </w:tc>
      </w:tr>
    </w:tbl>
    <w:p>
      <w:pPr>
        <w:pStyle w:val="Heading4"/>
        <w:spacing w:line="240" w:lineRule="auto" w:before="63"/>
        <w:ind w:right="1122"/>
        <w:jc w:val="left"/>
        <w:rPr>
          <w:b w:val="0"/>
          <w:bCs w:val="0"/>
        </w:rPr>
      </w:pPr>
      <w:bookmarkStart w:name="（4）使用企业集团资产和清偿企业集团债务的重大限制" w:id="404"/>
      <w:bookmarkEnd w:id="404"/>
      <w:r>
        <w:rPr>
          <w:b w:val="0"/>
          <w:bCs w:val="0"/>
        </w:rPr>
      </w:r>
      <w:r>
        <w:rPr/>
        <w:t>（</w:t>
      </w:r>
      <w:r>
        <w:rPr>
          <w:rFonts w:ascii="宋体" w:hAnsi="宋体" w:cs="宋体" w:eastAsia="宋体"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5）向纳入合并财务报表范围的结构化主体提供的财务支持或其他支持" w:id="405"/>
      <w:bookmarkEnd w:id="405"/>
      <w:r>
        <w:rPr>
          <w:b w:val="0"/>
          <w:bCs w:val="0"/>
        </w:rPr>
      </w:r>
      <w:r>
        <w:rPr/>
        <w:t>（</w:t>
      </w:r>
      <w:r>
        <w:rPr>
          <w:rFonts w:ascii="宋体" w:hAnsi="宋体" w:cs="宋体" w:eastAsia="宋体" w:hint="default"/>
        </w:rPr>
        <w:t>5</w:t>
      </w:r>
      <w:r>
        <w:rPr/>
        <w:t>）向纳入合并财务报表范围的结构化主体提供的财务支持或其他支持</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382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在子公司的所有者权益份额发生变化且仍控制子公司的交易" w:id="406"/>
      <w:bookmarkEnd w:id="406"/>
      <w:r>
        <w:rPr>
          <w:rFonts w:ascii="宋体" w:hAnsi="宋体" w:cs="宋体" w:eastAsia="宋体" w:hint="default"/>
          <w:sz w:val="21"/>
          <w:szCs w:val="21"/>
        </w:rPr>
      </w:r>
      <w:r>
        <w:rPr>
          <w:rFonts w:ascii="宋体" w:hAnsi="宋体" w:cs="宋体" w:eastAsia="宋体" w:hint="default"/>
          <w:b/>
          <w:bCs/>
          <w:w w:val="95"/>
          <w:sz w:val="21"/>
          <w:szCs w:val="21"/>
        </w:rPr>
        <w:t>2</w:t>
      </w:r>
      <w:r>
        <w:rPr>
          <w:rFonts w:ascii="宋体" w:hAnsi="宋体" w:cs="宋体" w:eastAsia="宋体" w:hint="default"/>
          <w:b/>
          <w:bCs/>
          <w:w w:val="95"/>
          <w:sz w:val="21"/>
          <w:szCs w:val="21"/>
        </w:rPr>
        <w:t>、在子公司的所有者权益份额发生变化且仍控制子公司的交易</w:t>
      </w:r>
      <w:r>
        <w:rPr>
          <w:rFonts w:ascii="宋体" w:hAnsi="宋体" w:cs="宋体" w:eastAsia="宋体" w:hint="default"/>
          <w:sz w:val="21"/>
          <w:szCs w:val="21"/>
        </w:rPr>
      </w:r>
    </w:p>
    <w:p>
      <w:pPr>
        <w:pStyle w:val="Heading4"/>
        <w:spacing w:line="240" w:lineRule="auto" w:before="46"/>
        <w:ind w:right="1122"/>
        <w:jc w:val="left"/>
        <w:rPr>
          <w:b w:val="0"/>
          <w:bCs w:val="0"/>
        </w:rPr>
      </w:pPr>
      <w:bookmarkStart w:name="（1）在子公司所有者权益份额发生变化的情况说明" w:id="407"/>
      <w:bookmarkEnd w:id="407"/>
      <w:r>
        <w:rPr>
          <w:b w:val="0"/>
          <w:bCs w:val="0"/>
        </w:rPr>
      </w:r>
      <w:r>
        <w:rPr/>
        <w:t>（</w:t>
      </w:r>
      <w:r>
        <w:rPr>
          <w:rFonts w:ascii="宋体" w:hAnsi="宋体" w:cs="宋体" w:eastAsia="宋体"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3） 交易对于少数股东权益及归属于母公司所有者权益的影响" w:id="408"/>
      <w:bookmarkEnd w:id="408"/>
      <w:r>
        <w:rPr>
          <w:b w:val="0"/>
          <w:bCs w:val="0"/>
        </w:rPr>
      </w:r>
      <w:r>
        <w:rPr/>
        <w:t>（</w:t>
      </w:r>
      <w:r>
        <w:rPr>
          <w:rFonts w:ascii="宋体" w:hAnsi="宋体" w:cs="宋体" w:eastAsia="宋体" w:hint="default"/>
        </w:rPr>
        <w:t>3</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48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在合营安排或联营企业中的权益" w:id="409"/>
      <w:bookmarkEnd w:id="409"/>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pStyle w:val="Heading4"/>
        <w:spacing w:line="240" w:lineRule="auto" w:before="46"/>
        <w:ind w:right="1122"/>
        <w:jc w:val="left"/>
        <w:rPr>
          <w:b w:val="0"/>
          <w:bCs w:val="0"/>
        </w:rPr>
      </w:pPr>
      <w:bookmarkStart w:name="（1）重要的合营企业或联营企业" w:id="410"/>
      <w:bookmarkEnd w:id="410"/>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1373"/>
        <w:gridCol w:w="1367"/>
        <w:gridCol w:w="1367"/>
        <w:gridCol w:w="1367"/>
        <w:gridCol w:w="1367"/>
        <w:gridCol w:w="1367"/>
        <w:gridCol w:w="1365"/>
      </w:tblGrid>
      <w:tr>
        <w:trPr>
          <w:trHeight w:val="412" w:hRule="exact"/>
        </w:trPr>
        <w:tc>
          <w:tcPr>
            <w:tcW w:w="137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1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5" w:type="dxa"/>
            <w:vMerge w:val="restart"/>
            <w:tcBorders>
              <w:top w:val="single" w:sz="12" w:space="0" w:color="000000"/>
              <w:left w:val="single" w:sz="4" w:space="0" w:color="000000"/>
              <w:right w:val="single" w:sz="12" w:space="0" w:color="000000"/>
            </w:tcBorders>
            <w:shd w:val="clear" w:color="auto" w:fill="D2D2D2"/>
          </w:tcPr>
          <w:p>
            <w:pPr>
              <w:pStyle w:val="TableParagraph"/>
              <w:spacing w:line="316" w:lineRule="auto" w:before="51"/>
              <w:ind w:left="47" w:right="35"/>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3" w:type="dxa"/>
            <w:vMerge/>
            <w:tcBorders>
              <w:left w:val="single" w:sz="12"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5" w:type="dxa"/>
            <w:vMerge/>
            <w:tcBorders>
              <w:left w:val="single" w:sz="4" w:space="0" w:color="000000"/>
              <w:bottom w:val="single" w:sz="4" w:space="0" w:color="000000"/>
              <w:right w:val="single" w:sz="12" w:space="0" w:color="000000"/>
            </w:tcBorders>
            <w:shd w:val="clear" w:color="auto" w:fill="D2D2D2"/>
          </w:tcPr>
          <w:p>
            <w:pPr/>
          </w:p>
        </w:tc>
      </w:tr>
      <w:tr>
        <w:trPr>
          <w:trHeight w:val="724" w:hRule="exact"/>
        </w:trPr>
        <w:tc>
          <w:tcPr>
            <w:tcW w:w="1373"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1"/>
              <w:ind w:left="13" w:right="77"/>
              <w:jc w:val="left"/>
              <w:rPr>
                <w:rFonts w:ascii="宋体" w:hAnsi="宋体" w:cs="宋体" w:eastAsia="宋体" w:hint="default"/>
                <w:sz w:val="18"/>
                <w:szCs w:val="18"/>
              </w:rPr>
            </w:pPr>
            <w:r>
              <w:rPr>
                <w:rFonts w:ascii="宋体" w:hAnsi="宋体" w:cs="宋体" w:eastAsia="宋体" w:hint="default"/>
                <w:sz w:val="18"/>
                <w:szCs w:val="18"/>
              </w:rPr>
              <w:t>北京海誉动想科 技股份有限公司</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12" w:space="0" w:color="000000"/>
              <w:right w:val="single" w:sz="4" w:space="0" w:color="000000"/>
            </w:tcBorders>
          </w:tcPr>
          <w:p>
            <w:pP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93" w:right="0"/>
              <w:jc w:val="left"/>
              <w:rPr>
                <w:rFonts w:ascii="宋体" w:hAnsi="宋体" w:cs="宋体" w:eastAsia="宋体" w:hint="default"/>
                <w:sz w:val="18"/>
                <w:szCs w:val="18"/>
              </w:rPr>
            </w:pPr>
            <w:r>
              <w:rPr>
                <w:rFonts w:ascii="宋体"/>
                <w:sz w:val="18"/>
              </w:rPr>
              <w:t>16.00%</w:t>
            </w:r>
          </w:p>
        </w:tc>
        <w:tc>
          <w:tcPr>
            <w:tcW w:w="136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408" w:lineRule="auto" w:before="63"/>
        <w:ind w:left="574" w:right="1197" w:hanging="420"/>
        <w:jc w:val="left"/>
      </w:pPr>
      <w:r>
        <w:rPr/>
        <w:t>持有</w:t>
      </w:r>
      <w:r>
        <w:rPr>
          <w:rFonts w:ascii="宋体" w:hAnsi="宋体" w:cs="宋体" w:eastAsia="宋体" w:hint="default"/>
        </w:rPr>
        <w:t>20%</w:t>
      </w:r>
      <w:r>
        <w:rPr/>
        <w:t>以下表决权但具有重大影响，或者持有</w:t>
      </w:r>
      <w:r>
        <w:rPr>
          <w:spacing w:val="-53"/>
        </w:rPr>
        <w:t> </w:t>
      </w:r>
      <w:r>
        <w:rPr>
          <w:rFonts w:ascii="宋体" w:hAnsi="宋体" w:cs="宋体" w:eastAsia="宋体" w:hint="default"/>
        </w:rPr>
        <w:t>20%</w:t>
      </w:r>
      <w:r>
        <w:rPr/>
        <w:t>或以上表决权但不具有重大影响的依据： 公司通过子公司间接持有北京海誉动想科技股份有限公司</w:t>
      </w:r>
      <w:r>
        <w:rPr>
          <w:rFonts w:ascii="宋体" w:hAnsi="宋体" w:cs="宋体" w:eastAsia="宋体" w:hint="default"/>
        </w:rPr>
        <w:t>16%</w:t>
      </w:r>
      <w:r>
        <w:rPr/>
        <w:t>的股份，根据投资协议的约定，本公司</w:t>
      </w:r>
    </w:p>
    <w:p>
      <w:pPr>
        <w:pStyle w:val="BodyText"/>
        <w:spacing w:line="240" w:lineRule="auto"/>
        <w:ind w:right="1122"/>
        <w:jc w:val="left"/>
      </w:pPr>
      <w:r>
        <w:rPr/>
        <w:t>向北京海誉动想科技股份有限公司提名一名董事，因此认定为该企业为公司的联营企业。</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2）重要合营企业的主要财务信息" w:id="411"/>
      <w:bookmarkEnd w:id="411"/>
      <w:r>
        <w:rPr>
          <w:b w:val="0"/>
          <w:bCs w:val="0"/>
        </w:rPr>
      </w:r>
      <w:r>
        <w:rPr/>
        <w:t>（</w:t>
      </w:r>
      <w:r>
        <w:rPr>
          <w:rFonts w:ascii="宋体" w:hAnsi="宋体" w:cs="宋体" w:eastAsia="宋体" w:hint="default"/>
        </w:rPr>
        <w:t>2</w:t>
      </w:r>
      <w:r>
        <w:rPr/>
        <w:t>）重要合营企业的主要财务信息</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3）重要联营企业的主要财务信息" w:id="412"/>
      <w:bookmarkEnd w:id="412"/>
      <w:r>
        <w:rPr>
          <w:b w:val="0"/>
          <w:bCs w:val="0"/>
        </w:rPr>
      </w:r>
      <w:r>
        <w:rPr/>
        <w:t>（</w:t>
      </w:r>
      <w:r>
        <w:rPr>
          <w:rFonts w:ascii="宋体" w:hAnsi="宋体" w:cs="宋体" w:eastAsia="宋体" w:hint="default"/>
        </w:rPr>
        <w:t>3</w:t>
      </w:r>
      <w:r>
        <w:rPr/>
        <w:t>）重要联营企业的主要财务信息</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4） 不重要的合营企业和联营企业的汇总财务信息" w:id="413"/>
      <w:bookmarkEnd w:id="413"/>
      <w:r>
        <w:rPr>
          <w:b w:val="0"/>
          <w:bCs w:val="0"/>
        </w:rPr>
      </w:r>
      <w:r>
        <w:rPr/>
        <w:t>（</w:t>
      </w:r>
      <w:r>
        <w:rPr>
          <w:rFonts w:ascii="宋体" w:hAnsi="宋体" w:cs="宋体" w:eastAsia="宋体"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0"/>
        <w:jc w:val="both"/>
        <w:rPr>
          <w:b w:val="0"/>
          <w:bCs w:val="0"/>
        </w:rPr>
      </w:pPr>
      <w:bookmarkStart w:name="（5） 合营企业或联营企业向本公司转移资金的能力存在重大限制的说明" w:id="414"/>
      <w:bookmarkEnd w:id="414"/>
      <w:r>
        <w:rPr>
          <w:b w:val="0"/>
          <w:bCs w:val="0"/>
        </w:rPr>
      </w:r>
      <w:r>
        <w:rPr/>
        <w:t>（</w:t>
      </w:r>
      <w:r>
        <w:rPr>
          <w:rFonts w:ascii="宋体" w:hAnsi="宋体" w:cs="宋体" w:eastAsia="宋体"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6）合营企业或联营企业发生的超额亏损" w:id="415"/>
      <w:bookmarkEnd w:id="415"/>
      <w:r>
        <w:rPr>
          <w:b w:val="0"/>
          <w:bCs w:val="0"/>
        </w:rPr>
      </w:r>
      <w:r>
        <w:rPr/>
        <w:t>（</w:t>
      </w:r>
      <w:r>
        <w:rPr>
          <w:rFonts w:ascii="宋体" w:hAnsi="宋体" w:cs="宋体" w:eastAsia="宋体" w:hint="default"/>
        </w:rPr>
        <w:t>6</w:t>
      </w:r>
      <w:r>
        <w:rPr/>
        <w:t>）合营企业或联营企业发生的超额亏损</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7） 与合营企业投资相关的未确认承诺" w:id="416"/>
      <w:bookmarkEnd w:id="416"/>
      <w:r>
        <w:rPr>
          <w:b w:val="0"/>
          <w:bCs w:val="0"/>
        </w:rPr>
      </w:r>
      <w:r>
        <w:rPr/>
        <w:t>（</w:t>
      </w:r>
      <w:r>
        <w:rPr>
          <w:rFonts w:ascii="宋体" w:hAnsi="宋体" w:cs="宋体" w:eastAsia="宋体" w:hint="default"/>
        </w:rPr>
        <w:t>7</w:t>
      </w:r>
      <w:r>
        <w:rPr/>
        <w:t>）与合营企业投资相关的未确认承诺</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8） 与合营企业或联营企业投资相关的或有负债" w:id="417"/>
      <w:bookmarkEnd w:id="417"/>
      <w:r>
        <w:rPr>
          <w:b w:val="0"/>
          <w:bCs w:val="0"/>
        </w:rPr>
      </w:r>
      <w:r>
        <w:rPr/>
        <w:t>（</w:t>
      </w:r>
      <w:r>
        <w:rPr>
          <w:rFonts w:ascii="宋体" w:hAnsi="宋体" w:cs="宋体" w:eastAsia="宋体"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 重要的共同经营" w:id="418"/>
      <w:bookmarkEnd w:id="418"/>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408" w:lineRule="auto" w:before="46"/>
        <w:ind w:left="154" w:right="579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在未纳入合并财务报表范围的结构化主体中的权益" w:id="419"/>
      <w:bookmarkEnd w:id="419"/>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其他" w:id="420"/>
      <w:bookmarkEnd w:id="420"/>
      <w:r>
        <w:rPr>
          <w:rFonts w:ascii="宋体" w:hAnsi="宋体" w:cs="宋体" w:eastAsia="宋体" w:hint="default"/>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ind w:right="0"/>
        <w:jc w:val="both"/>
      </w:pPr>
      <w:r>
        <w:rPr/>
        <w:t>□ 适用 √</w:t>
      </w:r>
      <w:r>
        <w:rPr>
          <w:spacing w:val="-1"/>
        </w:rPr>
        <w:t> </w:t>
      </w:r>
      <w:r>
        <w:rPr/>
        <w:t>不适用</w:t>
      </w:r>
    </w:p>
    <w:p>
      <w:pPr>
        <w:pStyle w:val="Heading2"/>
        <w:spacing w:line="240" w:lineRule="auto" w:before="170"/>
        <w:ind w:right="0"/>
        <w:jc w:val="both"/>
        <w:rPr>
          <w:b w:val="0"/>
          <w:bCs w:val="0"/>
        </w:rPr>
      </w:pPr>
      <w:bookmarkStart w:name="十、与金融工具相关的风险" w:id="421"/>
      <w:bookmarkEnd w:id="421"/>
      <w:r>
        <w:rPr>
          <w:b w:val="0"/>
          <w:bCs w:val="0"/>
        </w:rPr>
      </w:r>
      <w:r>
        <w:rPr/>
        <w:t>十、与金融工具相关的风险</w:t>
      </w:r>
      <w:r>
        <w:rPr>
          <w:b w:val="0"/>
          <w:bCs w:val="0"/>
        </w:rPr>
      </w:r>
    </w:p>
    <w:p>
      <w:pPr>
        <w:pStyle w:val="BodyText"/>
        <w:spacing w:line="408" w:lineRule="auto" w:before="177"/>
        <w:ind w:right="1014" w:firstLine="423"/>
        <w:jc w:val="left"/>
      </w:pPr>
      <w:r>
        <w:rPr>
          <w:spacing w:val="-3"/>
        </w:rPr>
        <w:t>公司的主要金融工具包括应收账款、应付账款等，各项金融工具的详细情况说明见本附注五相关项目。</w:t>
      </w:r>
      <w:r>
        <w:rPr/>
        <w:t> 与这些金融工具有关的风险，以及公司为降低这些风险所采取的风险管理政策如下所述。公司管理层对这 些风险敞口进行管理和监控以确保将上述风险控制在限定的范围之内。</w:t>
      </w:r>
    </w:p>
    <w:p>
      <w:pPr>
        <w:pStyle w:val="BodyText"/>
        <w:spacing w:line="408" w:lineRule="auto"/>
        <w:ind w:right="0" w:firstLine="423"/>
        <w:jc w:val="left"/>
      </w:pPr>
      <w:r>
        <w:rPr/>
        <w:t>公司采用敏感性分析技术分析风险变量的合理、可能变化对当期损益或所有者权益可能产生的影响。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BodyText"/>
        <w:spacing w:line="408" w:lineRule="auto"/>
        <w:ind w:right="1130" w:firstLine="423"/>
        <w:jc w:val="both"/>
      </w:pPr>
      <w:r>
        <w:rPr>
          <w:spacing w:val="-1"/>
        </w:rPr>
        <w:t>公司从事风险管理的目标是在风险和收益之间取得适当的平衡，将风险对本公司经营业绩的负面影响</w:t>
      </w:r>
      <w:r>
        <w:rPr/>
        <w:t> </w:t>
      </w:r>
      <w:r>
        <w:rPr>
          <w:spacing w:val="-1"/>
        </w:rPr>
        <w:t>降低到最低水平，使股东及其其他权益投资者的利益最大化。基于该风险管理目标，本公司风险管理的基</w:t>
      </w:r>
      <w:r>
        <w:rPr>
          <w:spacing w:val="-83"/>
        </w:rPr>
        <w:t> </w:t>
      </w:r>
      <w:r>
        <w:rPr>
          <w:spacing w:val="-83"/>
        </w:rPr>
      </w:r>
      <w:r>
        <w:rPr>
          <w:spacing w:val="-1"/>
        </w:rPr>
        <w:t>本策略是确定和分析本公司所面临的各种风险，建立适当的风险承受底线和进行风险管理，并及时可靠地</w:t>
      </w:r>
      <w:r>
        <w:rPr>
          <w:spacing w:val="-80"/>
        </w:rPr>
        <w:t> </w:t>
      </w:r>
      <w:r>
        <w:rPr>
          <w:spacing w:val="-80"/>
        </w:rPr>
      </w:r>
      <w:r>
        <w:rPr/>
        <w:t>对各种风险进行监督，将风险控制在限定的范围之内。</w:t>
      </w:r>
    </w:p>
    <w:p>
      <w:pPr>
        <w:pStyle w:val="BodyText"/>
        <w:spacing w:line="408" w:lineRule="auto"/>
        <w:ind w:left="577" w:right="1122"/>
        <w:jc w:val="left"/>
      </w:pPr>
      <w:r>
        <w:rPr>
          <w:rFonts w:ascii="宋体" w:hAnsi="宋体" w:cs="宋体" w:eastAsia="宋体" w:hint="default"/>
        </w:rPr>
        <w:t>1</w:t>
      </w:r>
      <w:r>
        <w:rPr/>
        <w:t>、信用风险 </w:t>
      </w:r>
      <w:r>
        <w:rPr>
          <w:spacing w:val="-1"/>
        </w:rPr>
        <w:t>信用风险，是指金融工具的一方不履行义务，造成另一方发生财务损失的风险。为降低信用风险，本</w:t>
      </w:r>
    </w:p>
    <w:p>
      <w:pPr>
        <w:pStyle w:val="BodyText"/>
        <w:spacing w:line="408" w:lineRule="auto"/>
        <w:ind w:right="1131"/>
        <w:jc w:val="both"/>
      </w:pPr>
      <w:r>
        <w:rPr>
          <w:spacing w:val="-1"/>
        </w:rPr>
        <w:t>公司成立了一个小组负责确定信用额度、进行信用审批，并执行其他监控程序以确保采取必要的措施回收</w:t>
      </w:r>
      <w:r>
        <w:rPr>
          <w:spacing w:val="-81"/>
        </w:rPr>
        <w:t> </w:t>
      </w:r>
      <w:r>
        <w:rPr>
          <w:spacing w:val="-81"/>
        </w:rPr>
      </w:r>
      <w:r>
        <w:rPr>
          <w:spacing w:val="-1"/>
        </w:rPr>
        <w:t>过期债权。此外，本公司于每个资产负债表日审核每一单项应收款的回收情况，以确保就无法回收的款项</w:t>
      </w:r>
      <w:r>
        <w:rPr>
          <w:spacing w:val="-83"/>
        </w:rPr>
        <w:t> </w:t>
      </w:r>
      <w:r>
        <w:rPr>
          <w:spacing w:val="-83"/>
        </w:rPr>
      </w:r>
      <w:r>
        <w:rPr/>
        <w:t>计提充分的坏账准备或核销。因此，本公司管理层认为本公司所承担的信用风险已经大为降低。</w:t>
      </w:r>
    </w:p>
    <w:p>
      <w:pPr>
        <w:spacing w:after="0" w:line="408" w:lineRule="auto"/>
        <w:jc w:val="both"/>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7" w:right="1122"/>
        <w:jc w:val="left"/>
      </w:pPr>
      <w:r>
        <w:rPr>
          <w:rFonts w:ascii="宋体" w:hAnsi="宋体" w:cs="宋体" w:eastAsia="宋体" w:hint="default"/>
        </w:rPr>
        <w:t>2</w:t>
      </w:r>
      <w:r>
        <w:rPr/>
        <w:t>、流动性风险 </w:t>
      </w:r>
      <w:r>
        <w:rPr>
          <w:spacing w:val="-1"/>
        </w:rPr>
        <w:t>流动性风险，是指在履行以交付现金或其他金融资产的方式结算的义务时发生资金短缺的风险。管理</w:t>
      </w:r>
    </w:p>
    <w:p>
      <w:pPr>
        <w:pStyle w:val="BodyText"/>
        <w:spacing w:line="408" w:lineRule="auto"/>
        <w:ind w:right="0"/>
        <w:jc w:val="left"/>
      </w:pPr>
      <w:r>
        <w:rPr/>
        <w:t>流动风险时，本公司保持管理层认为充分的现金及现金等价物并对其进行监控，以满足本公司经营需要，</w:t>
      </w:r>
      <w:r>
        <w:rPr>
          <w:spacing w:val="-35"/>
        </w:rPr>
        <w:t> </w:t>
      </w:r>
      <w:r>
        <w:rPr>
          <w:spacing w:val="-35"/>
        </w:rPr>
      </w:r>
      <w:r>
        <w:rPr/>
        <w:t>并降低现金流量波动的影响。</w:t>
      </w:r>
    </w:p>
    <w:p>
      <w:pPr>
        <w:pStyle w:val="BodyText"/>
        <w:spacing w:line="408" w:lineRule="auto"/>
        <w:ind w:left="577" w:right="0"/>
        <w:jc w:val="left"/>
      </w:pPr>
      <w:r>
        <w:rPr>
          <w:rFonts w:ascii="宋体" w:hAnsi="宋体" w:cs="宋体" w:eastAsia="宋体" w:hint="default"/>
        </w:rPr>
        <w:t>3</w:t>
      </w:r>
      <w:r>
        <w:rPr/>
        <w:t>、市场风险 金融工具的市场风险，是指金融工具的公允价值或未来现金流量因市场价格变动而发生波动的风险，</w:t>
      </w:r>
    </w:p>
    <w:p>
      <w:pPr>
        <w:pStyle w:val="BodyText"/>
        <w:spacing w:line="408" w:lineRule="auto"/>
        <w:ind w:left="577" w:right="6763" w:hanging="424"/>
        <w:jc w:val="left"/>
      </w:pPr>
      <w:r>
        <w:rPr/>
        <w:t>包括汇率风险、利率风险和其他价格风险。 </w:t>
      </w:r>
      <w:r>
        <w:rPr>
          <w:rFonts w:ascii="宋体" w:hAnsi="宋体" w:cs="宋体" w:eastAsia="宋体" w:hint="default"/>
        </w:rPr>
        <w:t>3.1</w:t>
      </w:r>
      <w:r>
        <w:rPr>
          <w:rFonts w:ascii="宋体" w:hAnsi="宋体" w:cs="宋体" w:eastAsia="宋体" w:hint="default"/>
          <w:spacing w:val="-1"/>
        </w:rPr>
        <w:t> </w:t>
      </w:r>
      <w:r>
        <w:rPr/>
        <w:t>汇率风险</w:t>
      </w:r>
    </w:p>
    <w:p>
      <w:pPr>
        <w:pStyle w:val="BodyText"/>
        <w:spacing w:line="408" w:lineRule="auto"/>
        <w:ind w:right="1122" w:firstLine="423"/>
        <w:jc w:val="left"/>
      </w:pPr>
      <w:r>
        <w:rPr>
          <w:spacing w:val="-1"/>
        </w:rPr>
        <w:t>汇率风险，是指金融工具的公允价值或未来现金流量因外汇汇率变动而发生波动的风险。汇率风险可</w:t>
      </w:r>
      <w:r>
        <w:rPr/>
        <w:t> 源于以记账本位币之外的外币进行计价的金融工具。</w:t>
      </w:r>
    </w:p>
    <w:p>
      <w:pPr>
        <w:pStyle w:val="BodyText"/>
        <w:spacing w:line="408" w:lineRule="auto"/>
        <w:ind w:left="577" w:right="5919"/>
        <w:jc w:val="left"/>
      </w:pPr>
      <w:r>
        <w:rPr/>
        <w:t>本公司无以记账本位币之外的外币计价的资产。 </w:t>
      </w:r>
      <w:r>
        <w:rPr>
          <w:rFonts w:ascii="宋体" w:hAnsi="宋体" w:cs="宋体" w:eastAsia="宋体" w:hint="default"/>
        </w:rPr>
        <w:t>3.2</w:t>
      </w:r>
      <w:r>
        <w:rPr>
          <w:rFonts w:ascii="宋体" w:hAnsi="宋体" w:cs="宋体" w:eastAsia="宋体" w:hint="default"/>
          <w:spacing w:val="-1"/>
        </w:rPr>
        <w:t> </w:t>
      </w:r>
      <w:r>
        <w:rPr/>
        <w:t>利率风险</w:t>
      </w:r>
    </w:p>
    <w:p>
      <w:pPr>
        <w:pStyle w:val="BodyText"/>
        <w:spacing w:line="408" w:lineRule="auto"/>
        <w:ind w:right="1122" w:firstLine="423"/>
        <w:jc w:val="left"/>
      </w:pPr>
      <w:r>
        <w:rPr>
          <w:spacing w:val="-1"/>
        </w:rPr>
        <w:t>利率风险，是指金融工具的公允价值或未来现金流量因市场利率变动而发生波动的风险。利率风险可</w:t>
      </w:r>
      <w:r>
        <w:rPr/>
        <w:t> 源于已确认的计息金融工具和未确认的金融工具</w:t>
      </w:r>
      <w:r>
        <w:rPr>
          <w:rFonts w:ascii="宋体" w:hAnsi="宋体" w:cs="宋体" w:eastAsia="宋体" w:hint="default"/>
        </w:rPr>
        <w:t>(</w:t>
      </w:r>
      <w:r>
        <w:rPr/>
        <w:t>如某些贷款承诺</w:t>
      </w:r>
      <w:r>
        <w:rPr>
          <w:rFonts w:ascii="宋体" w:hAnsi="宋体" w:cs="宋体" w:eastAsia="宋体" w:hint="default"/>
        </w:rPr>
        <w:t>)</w:t>
      </w:r>
      <w:r>
        <w:rPr/>
        <w:t>。</w:t>
      </w:r>
    </w:p>
    <w:p>
      <w:pPr>
        <w:pStyle w:val="BodyText"/>
        <w:spacing w:line="408" w:lineRule="auto"/>
        <w:ind w:right="1122" w:firstLine="423"/>
        <w:jc w:val="left"/>
      </w:pPr>
      <w:r>
        <w:rPr>
          <w:spacing w:val="-1"/>
        </w:rPr>
        <w:t>本公司的借款利率情况：假设在其他条件不变的情况下，借款利率上升或下降</w:t>
      </w:r>
      <w:r>
        <w:rPr>
          <w:rFonts w:ascii="宋体" w:hAnsi="宋体" w:cs="宋体" w:eastAsia="宋体" w:hint="default"/>
          <w:spacing w:val="-1"/>
        </w:rPr>
        <w:t>1%</w:t>
      </w:r>
      <w:r>
        <w:rPr>
          <w:spacing w:val="-1"/>
        </w:rPr>
        <w:t>，则可能影响本公司</w:t>
      </w:r>
      <w:r>
        <w:rPr/>
        <w:t> 本期的净利润</w:t>
      </w:r>
      <w:r>
        <w:rPr>
          <w:rFonts w:ascii="宋体" w:hAnsi="宋体" w:cs="宋体" w:eastAsia="宋体" w:hint="default"/>
        </w:rPr>
        <w:t>321.78</w:t>
      </w:r>
      <w:r>
        <w:rPr/>
        <w:t>万元。</w:t>
      </w:r>
    </w:p>
    <w:p>
      <w:pPr>
        <w:pStyle w:val="BodyText"/>
        <w:spacing w:line="408" w:lineRule="auto"/>
        <w:ind w:left="577" w:right="1122"/>
        <w:jc w:val="left"/>
      </w:pPr>
      <w:r>
        <w:rPr>
          <w:rFonts w:ascii="宋体" w:hAnsi="宋体" w:cs="宋体" w:eastAsia="宋体" w:hint="default"/>
        </w:rPr>
        <w:t>3.3 </w:t>
      </w:r>
      <w:r>
        <w:rPr/>
        <w:t>其他价格风险 </w:t>
      </w:r>
      <w:r>
        <w:rPr>
          <w:spacing w:val="-1"/>
        </w:rPr>
        <w:t>其他价格风险，是指汇率风险和利率风险以外的市场价格变动而发生波动的风险，无论这些变动是由</w:t>
      </w:r>
    </w:p>
    <w:p>
      <w:pPr>
        <w:pStyle w:val="BodyText"/>
        <w:spacing w:line="408" w:lineRule="auto"/>
        <w:ind w:right="1122"/>
        <w:jc w:val="left"/>
      </w:pPr>
      <w:r>
        <w:rPr>
          <w:spacing w:val="-1"/>
        </w:rPr>
        <w:t>于与单项金融工具或其发行方有关的因素而引起的，还是由于与市场内交易的所有类似金融工具有关的因</w:t>
      </w:r>
      <w:r>
        <w:rPr>
          <w:spacing w:val="-81"/>
        </w:rPr>
        <w:t> </w:t>
      </w:r>
      <w:r>
        <w:rPr>
          <w:spacing w:val="-81"/>
        </w:rPr>
      </w:r>
      <w:r>
        <w:rPr/>
        <w:t>素而引起的。其他价格风险可源于商品价格或权益工具价格等的变化。</w:t>
      </w:r>
    </w:p>
    <w:p>
      <w:pPr>
        <w:spacing w:line="381" w:lineRule="auto" w:before="46"/>
        <w:ind w:left="154" w:right="5712" w:firstLine="423"/>
        <w:jc w:val="left"/>
        <w:rPr>
          <w:rFonts w:ascii="宋体" w:hAnsi="宋体" w:cs="宋体" w:eastAsia="宋体" w:hint="default"/>
          <w:sz w:val="21"/>
          <w:szCs w:val="21"/>
        </w:rPr>
      </w:pPr>
      <w:r>
        <w:rPr>
          <w:rFonts w:ascii="宋体" w:hAnsi="宋体" w:cs="宋体" w:eastAsia="宋体" w:hint="default"/>
          <w:sz w:val="21"/>
          <w:szCs w:val="21"/>
        </w:rPr>
        <w:t>公司本期间无其他价格风险。 </w:t>
      </w:r>
      <w:bookmarkStart w:name="十一、公允价值的披露" w:id="422"/>
      <w:bookmarkEnd w:id="422"/>
      <w:r>
        <w:rPr>
          <w:rFonts w:ascii="宋体" w:hAnsi="宋体" w:cs="宋体" w:eastAsia="宋体" w:hint="default"/>
          <w:sz w:val="21"/>
          <w:szCs w:val="21"/>
        </w:rPr>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1、以公允价值计量的资产和负债的期末公允价值" w:id="423"/>
      <w:bookmarkEnd w:id="423"/>
      <w:r>
        <w:rPr>
          <w:rFonts w:ascii="宋体" w:hAnsi="宋体" w:cs="宋体" w:eastAsia="宋体" w:hint="default"/>
          <w:b/>
          <w:bCs/>
          <w:w w:val="99"/>
          <w:sz w:val="24"/>
          <w:szCs w:val="24"/>
        </w:rPr>
      </w:r>
      <w:r>
        <w:rPr>
          <w:rFonts w:ascii="宋体" w:hAnsi="宋体" w:cs="宋体" w:eastAsia="宋体" w:hint="default"/>
          <w:b/>
          <w:bCs/>
          <w:w w:val="95"/>
          <w:sz w:val="21"/>
          <w:szCs w:val="21"/>
        </w:rPr>
        <w:t>1</w:t>
      </w:r>
      <w:r>
        <w:rPr>
          <w:rFonts w:ascii="宋体" w:hAnsi="宋体" w:cs="宋体" w:eastAsia="宋体" w:hint="default"/>
          <w:b/>
          <w:bCs/>
          <w:w w:val="95"/>
          <w:sz w:val="21"/>
          <w:szCs w:val="21"/>
        </w:rPr>
        <w:t>、以公允价值计量的资产和负债的期末公允价值</w:t>
      </w:r>
      <w:r>
        <w:rPr>
          <w:rFonts w:ascii="宋体" w:hAnsi="宋体" w:cs="宋体" w:eastAsia="宋体" w:hint="default"/>
          <w:sz w:val="21"/>
          <w:szCs w:val="21"/>
        </w:rPr>
      </w:r>
    </w:p>
    <w:p>
      <w:pPr>
        <w:spacing w:line="408" w:lineRule="auto" w:before="69"/>
        <w:ind w:left="154" w:right="382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持续和非持续第一层次公允价值计量项目市价的确定依据" w:id="424"/>
      <w:bookmarkEnd w:id="424"/>
      <w:r>
        <w:rPr>
          <w:rFonts w:ascii="宋体" w:hAnsi="宋体" w:cs="宋体" w:eastAsia="宋体" w:hint="default"/>
          <w:sz w:val="21"/>
          <w:szCs w:val="21"/>
        </w:rPr>
      </w:r>
      <w:r>
        <w:rPr>
          <w:rFonts w:ascii="宋体" w:hAnsi="宋体" w:cs="宋体" w:eastAsia="宋体" w:hint="default"/>
          <w:b/>
          <w:bCs/>
          <w:w w:val="95"/>
          <w:sz w:val="21"/>
          <w:szCs w:val="21"/>
        </w:rPr>
        <w:t>2</w:t>
      </w:r>
      <w:r>
        <w:rPr>
          <w:rFonts w:ascii="宋体" w:hAnsi="宋体" w:cs="宋体" w:eastAsia="宋体" w:hint="default"/>
          <w:b/>
          <w:bCs/>
          <w:w w:val="95"/>
          <w:sz w:val="21"/>
          <w:szCs w:val="21"/>
        </w:rPr>
        <w:t>、持续和非持续第一层次公允价值计量项目市价的确定依据</w:t>
      </w:r>
      <w:r>
        <w:rPr>
          <w:rFonts w:ascii="宋体" w:hAnsi="宋体" w:cs="宋体" w:eastAsia="宋体" w:hint="default"/>
          <w:sz w:val="21"/>
          <w:szCs w:val="21"/>
        </w:rPr>
      </w:r>
    </w:p>
    <w:p>
      <w:pPr>
        <w:spacing w:line="408" w:lineRule="auto" w:before="46"/>
        <w:ind w:left="154" w:right="112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持续和非持续第二层次公允价值计量项目，采用的估值技术和重要参数的定性及定量信" w:id="425"/>
      <w:bookmarkEnd w:id="425"/>
      <w:r>
        <w:rPr>
          <w:rFonts w:ascii="宋体" w:hAnsi="宋体" w:cs="宋体" w:eastAsia="宋体" w:hint="default"/>
          <w:sz w:val="21"/>
          <w:szCs w:val="21"/>
        </w:rPr>
      </w:r>
      <w:r>
        <w:rPr>
          <w:rFonts w:ascii="宋体" w:hAnsi="宋体" w:cs="宋体" w:eastAsia="宋体" w:hint="default"/>
          <w:b/>
          <w:bCs/>
          <w:w w:val="95"/>
          <w:sz w:val="21"/>
          <w:szCs w:val="21"/>
        </w:rPr>
        <w:t>3</w:t>
      </w:r>
      <w:r>
        <w:rPr>
          <w:rFonts w:ascii="宋体" w:hAnsi="宋体" w:cs="宋体" w:eastAsia="宋体" w:hint="default"/>
          <w:b/>
          <w:bCs/>
          <w:w w:val="95"/>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408" w:lineRule="auto" w:before="46"/>
        <w:ind w:left="154" w:right="112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持续和非持续第三层次公允价值计量项目，采用的估值技术和重要参数的定性及定量信" w:id="426"/>
      <w:bookmarkEnd w:id="426"/>
      <w:r>
        <w:rPr>
          <w:rFonts w:ascii="宋体" w:hAnsi="宋体" w:cs="宋体" w:eastAsia="宋体" w:hint="default"/>
          <w:sz w:val="21"/>
          <w:szCs w:val="21"/>
        </w:rPr>
      </w:r>
      <w:r>
        <w:rPr>
          <w:rFonts w:ascii="宋体" w:hAnsi="宋体" w:cs="宋体" w:eastAsia="宋体" w:hint="default"/>
          <w:b/>
          <w:bCs/>
          <w:w w:val="95"/>
          <w:sz w:val="21"/>
          <w:szCs w:val="21"/>
        </w:rPr>
        <w:t>4</w:t>
      </w:r>
      <w:r>
        <w:rPr>
          <w:rFonts w:ascii="宋体" w:hAnsi="宋体" w:cs="宋体" w:eastAsia="宋体" w:hint="default"/>
          <w:b/>
          <w:bCs/>
          <w:w w:val="95"/>
          <w:sz w:val="21"/>
          <w:szCs w:val="21"/>
        </w:rPr>
        <w:t>、持续和非持续第三层次公允价值计量项目，采用的估值技术和重要参数的定性及定量信息</w:t>
      </w:r>
      <w:r>
        <w:rPr>
          <w:rFonts w:ascii="宋体" w:hAnsi="宋体" w:cs="宋体" w:eastAsia="宋体" w:hint="default"/>
          <w:sz w:val="21"/>
          <w:szCs w:val="21"/>
        </w:rPr>
      </w:r>
    </w:p>
    <w:p>
      <w:pPr>
        <w:pStyle w:val="BodyText"/>
        <w:spacing w:line="240" w:lineRule="auto"/>
        <w:ind w:right="1122"/>
        <w:jc w:val="left"/>
      </w:pPr>
      <w:r>
        <w:rPr/>
        <w:t>□ 适用 √</w:t>
      </w:r>
      <w:r>
        <w:rPr>
          <w:spacing w:val="-1"/>
        </w:rPr>
        <w:t> </w:t>
      </w:r>
      <w:r>
        <w:rPr/>
        <w:t>不适用</w:t>
      </w:r>
    </w:p>
    <w:p>
      <w:pPr>
        <w:spacing w:after="0" w:line="240" w:lineRule="auto"/>
        <w:jc w:val="left"/>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pStyle w:val="Heading4"/>
        <w:spacing w:line="240" w:lineRule="auto" w:before="35"/>
        <w:ind w:right="1122"/>
        <w:jc w:val="left"/>
        <w:rPr>
          <w:b w:val="0"/>
          <w:bCs w:val="0"/>
        </w:rPr>
      </w:pPr>
      <w:bookmarkStart w:name="5、持续的第三层次公允价值计量项目，期初与期末账面价值间的调节信息及不可观察参数" w:id="427"/>
      <w:bookmarkEnd w:id="427"/>
      <w:r>
        <w:rPr>
          <w:b w:val="0"/>
          <w:bCs w:val="0"/>
        </w:rPr>
      </w:r>
      <w:r>
        <w:rPr>
          <w:rFonts w:ascii="宋体" w:hAnsi="宋体" w:cs="宋体" w:eastAsia="宋体"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112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持续的公允价值计量项目，本期内发生各层级之间转换的，转换的原因及确定转换时点" w:id="428"/>
      <w:bookmarkEnd w:id="428"/>
      <w:r>
        <w:rPr>
          <w:rFonts w:ascii="宋体" w:hAnsi="宋体" w:cs="宋体" w:eastAsia="宋体" w:hint="default"/>
          <w:sz w:val="21"/>
          <w:szCs w:val="21"/>
        </w:rPr>
      </w:r>
      <w:r>
        <w:rPr>
          <w:rFonts w:ascii="宋体" w:hAnsi="宋体" w:cs="宋体" w:eastAsia="宋体" w:hint="default"/>
          <w:b/>
          <w:bCs/>
          <w:w w:val="95"/>
          <w:sz w:val="21"/>
          <w:szCs w:val="21"/>
        </w:rPr>
        <w:t>6</w:t>
      </w:r>
      <w:r>
        <w:rPr>
          <w:rFonts w:ascii="宋体" w:hAnsi="宋体" w:cs="宋体" w:eastAsia="宋体" w:hint="default"/>
          <w:b/>
          <w:bCs/>
          <w:w w:val="95"/>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408" w:lineRule="auto" w:before="46"/>
        <w:ind w:left="154" w:right="685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本期内发生的估值技术变更及变更原因" w:id="429"/>
      <w:bookmarkEnd w:id="429"/>
      <w:r>
        <w:rPr>
          <w:rFonts w:ascii="宋体" w:hAnsi="宋体" w:cs="宋体" w:eastAsia="宋体" w:hint="default"/>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408" w:lineRule="auto" w:before="46"/>
        <w:ind w:left="154" w:right="382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8、不以公允价值计量的金融资产和金融负债的公允价值情况" w:id="430"/>
      <w:bookmarkEnd w:id="430"/>
      <w:r>
        <w:rPr>
          <w:rFonts w:ascii="宋体" w:hAnsi="宋体" w:cs="宋体" w:eastAsia="宋体" w:hint="default"/>
          <w:sz w:val="21"/>
          <w:szCs w:val="21"/>
        </w:rPr>
      </w:r>
      <w:r>
        <w:rPr>
          <w:rFonts w:ascii="宋体" w:hAnsi="宋体" w:cs="宋体" w:eastAsia="宋体" w:hint="default"/>
          <w:b/>
          <w:bCs/>
          <w:w w:val="95"/>
          <w:sz w:val="21"/>
          <w:szCs w:val="21"/>
        </w:rPr>
        <w:t>8</w:t>
      </w:r>
      <w:r>
        <w:rPr>
          <w:rFonts w:ascii="宋体" w:hAnsi="宋体" w:cs="宋体" w:eastAsia="宋体" w:hint="default"/>
          <w:b/>
          <w:bCs/>
          <w:w w:val="95"/>
          <w:sz w:val="21"/>
          <w:szCs w:val="21"/>
        </w:rPr>
        <w:t>、不以公允价值计量的金融资产和金融负债的公允价值情况</w:t>
      </w:r>
      <w:r>
        <w:rPr>
          <w:rFonts w:ascii="宋体" w:hAnsi="宋体" w:cs="宋体" w:eastAsia="宋体" w:hint="default"/>
          <w:sz w:val="21"/>
          <w:szCs w:val="21"/>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9、其他" w:id="431"/>
      <w:bookmarkEnd w:id="431"/>
      <w:r>
        <w:rPr>
          <w:rFonts w:ascii="宋体" w:hAnsi="宋体" w:cs="宋体" w:eastAsia="宋体" w:hint="default"/>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408" w:lineRule="auto"/>
        <w:ind w:right="1132" w:firstLine="424"/>
        <w:jc w:val="both"/>
      </w:pPr>
      <w:r>
        <w:rPr>
          <w:spacing w:val="-1"/>
        </w:rPr>
        <w:t>本公司以摊余成本计量的金融资产和金融负债主要包括：货币资金、应收票据、应收账款、其他应收</w:t>
      </w:r>
      <w:r>
        <w:rPr/>
        <w:t> </w:t>
      </w:r>
      <w:r>
        <w:rPr>
          <w:spacing w:val="-1"/>
        </w:rPr>
        <w:t>款、短期借款、应付票据、应付账款、其他应付款等。可供出售金融资产采用成本计量方法作为后续的计</w:t>
      </w:r>
      <w:r>
        <w:rPr>
          <w:spacing w:val="-83"/>
        </w:rPr>
        <w:t> </w:t>
      </w:r>
      <w:r>
        <w:rPr>
          <w:spacing w:val="-83"/>
        </w:rPr>
      </w:r>
      <w:r>
        <w:rPr/>
        <w:t>量方法。</w:t>
      </w:r>
    </w:p>
    <w:p>
      <w:pPr>
        <w:pStyle w:val="Heading2"/>
        <w:spacing w:line="240" w:lineRule="auto" w:before="23"/>
        <w:ind w:right="1122"/>
        <w:jc w:val="left"/>
        <w:rPr>
          <w:b w:val="0"/>
          <w:bCs w:val="0"/>
        </w:rPr>
      </w:pPr>
      <w:bookmarkStart w:name="十二、关联方及关联交易" w:id="432"/>
      <w:bookmarkEnd w:id="432"/>
      <w:r>
        <w:rPr>
          <w:b w:val="0"/>
          <w:bCs w:val="0"/>
        </w:rPr>
      </w:r>
      <w:r>
        <w:rPr/>
        <w:t>十二、关联方及关联交易</w:t>
      </w:r>
      <w:r>
        <w:rPr>
          <w:b w:val="0"/>
          <w:bCs w:val="0"/>
        </w:rPr>
      </w:r>
    </w:p>
    <w:p>
      <w:pPr>
        <w:pStyle w:val="Heading4"/>
        <w:spacing w:line="240" w:lineRule="auto" w:before="177"/>
        <w:ind w:right="1122"/>
        <w:jc w:val="left"/>
        <w:rPr>
          <w:b w:val="0"/>
          <w:bCs w:val="0"/>
        </w:rPr>
      </w:pPr>
      <w:bookmarkStart w:name="1、本企业的母公司情况" w:id="433"/>
      <w:bookmarkEnd w:id="433"/>
      <w:r>
        <w:rPr>
          <w:b w:val="0"/>
          <w:bCs w:val="0"/>
        </w:rPr>
      </w:r>
      <w:r>
        <w:rPr>
          <w:rFonts w:ascii="宋体" w:hAnsi="宋体" w:cs="宋体" w:eastAsia="宋体" w:hint="default"/>
        </w:rPr>
        <w:t>1</w:t>
      </w:r>
      <w:r>
        <w:rPr/>
        <w:t>、本企业的母公司情况</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2623"/>
        <w:gridCol w:w="1389"/>
        <w:gridCol w:w="1387"/>
        <w:gridCol w:w="1388"/>
        <w:gridCol w:w="1389"/>
        <w:gridCol w:w="1391"/>
      </w:tblGrid>
      <w:tr>
        <w:trPr>
          <w:trHeight w:val="725" w:hRule="exact"/>
        </w:trPr>
        <w:tc>
          <w:tcPr>
            <w:tcW w:w="262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38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8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8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8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9" w:right="58" w:hanging="181"/>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9" w:lineRule="auto" w:before="51"/>
              <w:ind w:left="149" w:right="49"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412" w:hRule="exact"/>
        </w:trPr>
        <w:tc>
          <w:tcPr>
            <w:tcW w:w="262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3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3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815" w:right="0"/>
              <w:jc w:val="left"/>
              <w:rPr>
                <w:rFonts w:ascii="宋体" w:hAnsi="宋体" w:cs="宋体" w:eastAsia="宋体" w:hint="default"/>
                <w:sz w:val="18"/>
                <w:szCs w:val="18"/>
              </w:rPr>
            </w:pPr>
            <w:r>
              <w:rPr>
                <w:rFonts w:ascii="宋体"/>
                <w:sz w:val="18"/>
              </w:rPr>
              <w:t>24.37%</w:t>
            </w:r>
          </w:p>
        </w:tc>
        <w:tc>
          <w:tcPr>
            <w:tcW w:w="13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818" w:right="0"/>
              <w:jc w:val="left"/>
              <w:rPr>
                <w:rFonts w:ascii="宋体" w:hAnsi="宋体" w:cs="宋体" w:eastAsia="宋体" w:hint="default"/>
                <w:sz w:val="18"/>
                <w:szCs w:val="18"/>
              </w:rPr>
            </w:pPr>
            <w:r>
              <w:rPr>
                <w:rFonts w:ascii="宋体"/>
                <w:sz w:val="18"/>
              </w:rPr>
              <w:t>24.37%</w:t>
            </w:r>
          </w:p>
        </w:tc>
      </w:tr>
    </w:tbl>
    <w:p>
      <w:pPr>
        <w:pStyle w:val="BodyText"/>
        <w:spacing w:line="408" w:lineRule="auto" w:before="63"/>
        <w:ind w:right="8022"/>
        <w:jc w:val="left"/>
      </w:pPr>
      <w:r>
        <w:rPr/>
        <w:t>本企业最终控制方是龙昌明。 其他说明：</w:t>
      </w:r>
    </w:p>
    <w:p>
      <w:pPr>
        <w:pStyle w:val="BodyText"/>
        <w:spacing w:line="408" w:lineRule="auto"/>
        <w:ind w:right="1132" w:firstLine="423"/>
        <w:jc w:val="both"/>
      </w:pPr>
      <w:r>
        <w:rPr>
          <w:spacing w:val="-1"/>
        </w:rPr>
        <w:t>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日，江苏光一投资管理有限公司持有本公司</w:t>
      </w:r>
      <w:r>
        <w:rPr>
          <w:rFonts w:ascii="宋体" w:hAnsi="宋体" w:cs="宋体" w:eastAsia="宋体" w:hint="default"/>
          <w:spacing w:val="-1"/>
        </w:rPr>
        <w:t>24.37%</w:t>
      </w:r>
      <w:r>
        <w:rPr>
          <w:spacing w:val="-1"/>
        </w:rPr>
        <w:t>的股份，其中已质押的股份比例</w:t>
      </w:r>
      <w:r>
        <w:rPr/>
        <w:t> </w:t>
      </w:r>
      <w:r>
        <w:rPr>
          <w:spacing w:val="-1"/>
        </w:rPr>
        <w:t>为</w:t>
      </w:r>
      <w:r>
        <w:rPr>
          <w:rFonts w:ascii="宋体" w:hAnsi="宋体" w:cs="宋体" w:eastAsia="宋体" w:hint="default"/>
          <w:spacing w:val="-1"/>
        </w:rPr>
        <w:t>24.34%</w:t>
      </w:r>
      <w:r>
        <w:rPr>
          <w:spacing w:val="-1"/>
        </w:rPr>
        <w:t>，占其持有上市公司股份的比例为</w:t>
      </w:r>
      <w:r>
        <w:rPr>
          <w:rFonts w:ascii="宋体" w:hAnsi="宋体" w:cs="宋体" w:eastAsia="宋体" w:hint="default"/>
          <w:spacing w:val="-1"/>
        </w:rPr>
        <w:t>99.84%</w:t>
      </w:r>
      <w:r>
        <w:rPr>
          <w:spacing w:val="-1"/>
        </w:rPr>
        <w:t>，股权质押部分已违约，目前本公司控股股东正在实施</w:t>
      </w:r>
      <w:r>
        <w:rPr>
          <w:spacing w:val="-79"/>
        </w:rPr>
        <w:t> </w:t>
      </w:r>
      <w:r>
        <w:rPr>
          <w:spacing w:val="-79"/>
        </w:rPr>
      </w:r>
      <w:r>
        <w:rPr/>
        <w:t>引入战略投资者的计划，缓解资金压力。</w:t>
      </w:r>
    </w:p>
    <w:p>
      <w:pPr>
        <w:spacing w:line="408" w:lineRule="auto" w:before="46"/>
        <w:ind w:left="154" w:right="6552" w:firstLine="0"/>
        <w:jc w:val="left"/>
        <w:rPr>
          <w:rFonts w:ascii="宋体" w:hAnsi="宋体" w:cs="宋体" w:eastAsia="宋体" w:hint="default"/>
          <w:sz w:val="21"/>
          <w:szCs w:val="21"/>
        </w:rPr>
      </w:pPr>
      <w:bookmarkStart w:name="2、本企业的子公司情况" w:id="434"/>
      <w:bookmarkEnd w:id="434"/>
      <w:r>
        <w:rPr/>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w:t>
      </w:r>
      <w:r>
        <w:rPr>
          <w:rFonts w:ascii="宋体" w:hAnsi="宋体" w:cs="宋体" w:eastAsia="宋体" w:hint="default"/>
          <w:sz w:val="21"/>
          <w:szCs w:val="21"/>
        </w:rPr>
        <w:t>.1</w:t>
      </w:r>
      <w:r>
        <w:rPr>
          <w:rFonts w:ascii="宋体" w:hAnsi="宋体" w:cs="宋体" w:eastAsia="宋体" w:hint="default"/>
          <w:sz w:val="21"/>
          <w:szCs w:val="21"/>
        </w:rPr>
        <w:t>。 </w:t>
      </w:r>
      <w:bookmarkStart w:name="3、本企业合营和联营企业情况" w:id="435"/>
      <w:bookmarkEnd w:id="435"/>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本企业重要的合营或联营企业详见附注九</w:t>
      </w:r>
      <w:r>
        <w:rPr>
          <w:rFonts w:ascii="宋体" w:hAnsi="宋体" w:cs="宋体" w:eastAsia="宋体" w:hint="default"/>
          <w:sz w:val="21"/>
          <w:szCs w:val="21"/>
        </w:rPr>
        <w:t>.3</w:t>
      </w:r>
      <w:r>
        <w:rPr>
          <w:rFonts w:ascii="宋体" w:hAnsi="宋体" w:cs="宋体" w:eastAsia="宋体" w:hint="default"/>
          <w:sz w:val="21"/>
          <w:szCs w:val="21"/>
        </w:rPr>
        <w:t>。</w:t>
      </w:r>
    </w:p>
    <w:p>
      <w:pPr>
        <w:pStyle w:val="BodyText"/>
        <w:spacing w:line="240" w:lineRule="auto"/>
        <w:ind w:right="0"/>
        <w:jc w:val="left"/>
      </w:pPr>
      <w:r>
        <w:rPr/>
        <w:t>本期与本公司发生关联方交易，或前期与本公司发生关联方交易形成余额的其他合营或联营企业情况如下：</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679"/>
        <w:gridCol w:w="4890"/>
      </w:tblGrid>
      <w:tr>
        <w:trPr>
          <w:trHeight w:val="414" w:hRule="exact"/>
        </w:trPr>
        <w:tc>
          <w:tcPr>
            <w:tcW w:w="46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514"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8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7" w:hRule="exact"/>
        </w:trPr>
        <w:tc>
          <w:tcPr>
            <w:tcW w:w="46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48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16" w:hRule="exact"/>
        </w:trPr>
        <w:tc>
          <w:tcPr>
            <w:tcW w:w="467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广东今程光一电力科技有限责任公司</w:t>
            </w:r>
          </w:p>
        </w:tc>
        <w:tc>
          <w:tcPr>
            <w:tcW w:w="48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877" w:footer="1000" w:top="1100" w:bottom="1180" w:left="980" w:right="0"/>
        </w:sectPr>
      </w:pPr>
    </w:p>
    <w:p>
      <w:pPr>
        <w:spacing w:line="240" w:lineRule="auto" w:before="3"/>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4679"/>
        <w:gridCol w:w="4890"/>
      </w:tblGrid>
      <w:tr>
        <w:trPr>
          <w:trHeight w:val="343" w:hRule="exact"/>
        </w:trPr>
        <w:tc>
          <w:tcPr>
            <w:tcW w:w="4679" w:type="dxa"/>
            <w:tcBorders>
              <w:top w:val="nil" w:sz="6" w:space="0" w:color="auto"/>
              <w:left w:val="nil" w:sz="6" w:space="0" w:color="auto"/>
              <w:bottom w:val="single" w:sz="12" w:space="0" w:color="000000"/>
              <w:right w:val="nil" w:sz="6" w:space="0" w:color="auto"/>
            </w:tcBorders>
          </w:tcPr>
          <w:p>
            <w:pPr/>
          </w:p>
        </w:tc>
        <w:tc>
          <w:tcPr>
            <w:tcW w:w="4890" w:type="dxa"/>
            <w:tcBorders>
              <w:top w:val="nil" w:sz="6" w:space="0" w:color="auto"/>
              <w:left w:val="nil" w:sz="6" w:space="0" w:color="auto"/>
              <w:bottom w:val="single" w:sz="12" w:space="0" w:color="000000"/>
              <w:right w:val="nil" w:sz="6" w:space="0" w:color="auto"/>
            </w:tcBorders>
          </w:tcPr>
          <w:p>
            <w:pPr/>
          </w:p>
        </w:tc>
      </w:tr>
      <w:tr>
        <w:trPr>
          <w:trHeight w:val="422" w:hRule="exact"/>
        </w:trPr>
        <w:tc>
          <w:tcPr>
            <w:tcW w:w="4679"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489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Heading4"/>
        <w:spacing w:line="240" w:lineRule="auto" w:before="63"/>
        <w:ind w:right="1122"/>
        <w:jc w:val="left"/>
        <w:rPr>
          <w:b w:val="0"/>
          <w:bCs w:val="0"/>
        </w:rPr>
      </w:pPr>
      <w:r>
        <w:rPr/>
        <w:pict>
          <v:group style="position:absolute;margin-left:55.200001pt;margin-top:-39.006325pt;width:485pt;height:.1pt;mso-position-horizontal-relative:page;mso-position-vertical-relative:paragraph;z-index:-903640" coordorigin="1104,-780" coordsize="9700,2">
            <v:shape style="position:absolute;left:1104;top:-780;width:9700;height:2" coordorigin="1104,-780" coordsize="9700,0" path="m1104,-780l10804,-780e" filled="false" stroked="true" strokeweight=".72pt" strokecolor="#000000">
              <v:path arrowok="t"/>
            </v:shape>
            <w10:wrap type="none"/>
          </v:group>
        </w:pict>
      </w:r>
      <w:bookmarkStart w:name="4、其他关联方情况" w:id="436"/>
      <w:bookmarkEnd w:id="436"/>
      <w:r>
        <w:rPr>
          <w:b w:val="0"/>
          <w:bCs w:val="0"/>
        </w:rPr>
      </w:r>
      <w:r>
        <w:rPr>
          <w:rFonts w:ascii="宋体" w:hAnsi="宋体" w:cs="宋体" w:eastAsia="宋体" w:hint="default"/>
        </w:rPr>
        <w:t>4</w:t>
      </w:r>
      <w:r>
        <w:rPr/>
        <w:t>、其他关联方情况</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4679"/>
        <w:gridCol w:w="4890"/>
      </w:tblGrid>
      <w:tr>
        <w:trPr>
          <w:trHeight w:val="413" w:hRule="exact"/>
        </w:trPr>
        <w:tc>
          <w:tcPr>
            <w:tcW w:w="46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8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44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7" w:hRule="exact"/>
        </w:trPr>
        <w:tc>
          <w:tcPr>
            <w:tcW w:w="46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熊珂</w:t>
            </w:r>
          </w:p>
        </w:tc>
        <w:tc>
          <w:tcPr>
            <w:tcW w:w="48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实际控制人配偶</w:t>
            </w:r>
          </w:p>
        </w:tc>
      </w:tr>
      <w:tr>
        <w:trPr>
          <w:trHeight w:val="408" w:hRule="exact"/>
        </w:trPr>
        <w:tc>
          <w:tcPr>
            <w:tcW w:w="46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深圳贵仁创新产业基金合伙企业（有限合伙）</w:t>
            </w:r>
          </w:p>
        </w:tc>
        <w:tc>
          <w:tcPr>
            <w:tcW w:w="48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投资公司</w:t>
            </w:r>
          </w:p>
        </w:tc>
      </w:tr>
      <w:tr>
        <w:trPr>
          <w:trHeight w:val="407" w:hRule="exact"/>
        </w:trPr>
        <w:tc>
          <w:tcPr>
            <w:tcW w:w="46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江苏新宇能电力科技有限公司</w:t>
            </w:r>
          </w:p>
        </w:tc>
        <w:tc>
          <w:tcPr>
            <w:tcW w:w="48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7" w:hRule="exact"/>
        </w:trPr>
        <w:tc>
          <w:tcPr>
            <w:tcW w:w="46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南京光一文化产业投资发展合伙企业（有限合伙）</w:t>
            </w:r>
          </w:p>
        </w:tc>
        <w:tc>
          <w:tcPr>
            <w:tcW w:w="48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投资公司</w:t>
            </w:r>
          </w:p>
        </w:tc>
      </w:tr>
      <w:tr>
        <w:trPr>
          <w:trHeight w:val="415" w:hRule="exact"/>
        </w:trPr>
        <w:tc>
          <w:tcPr>
            <w:tcW w:w="467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钱卫民</w:t>
            </w:r>
          </w:p>
        </w:tc>
        <w:tc>
          <w:tcPr>
            <w:tcW w:w="48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r>
    </w:tbl>
    <w:p>
      <w:pPr>
        <w:pStyle w:val="Heading4"/>
        <w:spacing w:line="240" w:lineRule="auto" w:before="63"/>
        <w:ind w:right="1122"/>
        <w:jc w:val="left"/>
        <w:rPr>
          <w:b w:val="0"/>
          <w:bCs w:val="0"/>
        </w:rPr>
      </w:pPr>
      <w:bookmarkStart w:name="5、关联交易情况" w:id="437"/>
      <w:bookmarkEnd w:id="437"/>
      <w:r>
        <w:rPr>
          <w:b w:val="0"/>
          <w:bCs w:val="0"/>
        </w:rPr>
      </w:r>
      <w:r>
        <w:rPr>
          <w:rFonts w:ascii="宋体" w:hAnsi="宋体" w:cs="宋体" w:eastAsia="宋体" w:hint="default"/>
        </w:rPr>
        <w:t>5</w:t>
      </w:r>
      <w:r>
        <w:rPr/>
        <w:t>、关联交易情况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6641" w:firstLine="0"/>
        <w:jc w:val="left"/>
        <w:rPr>
          <w:rFonts w:ascii="宋体" w:hAnsi="宋体" w:cs="宋体" w:eastAsia="宋体" w:hint="default"/>
          <w:sz w:val="21"/>
          <w:szCs w:val="21"/>
        </w:rPr>
      </w:pPr>
      <w:bookmarkStart w:name="（1）购销商品、提供和接受劳务的关联交易" w:id="438"/>
      <w:bookmarkEnd w:id="43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41"/>
        <w:gridCol w:w="1454"/>
        <w:gridCol w:w="1684"/>
        <w:gridCol w:w="1477"/>
        <w:gridCol w:w="1784"/>
        <w:gridCol w:w="1630"/>
      </w:tblGrid>
      <w:tr>
        <w:trPr>
          <w:trHeight w:val="411" w:hRule="exact"/>
        </w:trPr>
        <w:tc>
          <w:tcPr>
            <w:tcW w:w="154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68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8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3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4" w:hRule="exact"/>
        </w:trPr>
        <w:tc>
          <w:tcPr>
            <w:tcW w:w="1541"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2"/>
              <w:ind w:left="13" w:right="65"/>
              <w:jc w:val="left"/>
              <w:rPr>
                <w:rFonts w:ascii="宋体" w:hAnsi="宋体" w:cs="宋体" w:eastAsia="宋体" w:hint="default"/>
                <w:sz w:val="18"/>
                <w:szCs w:val="18"/>
              </w:rPr>
            </w:pPr>
            <w:r>
              <w:rPr>
                <w:rFonts w:ascii="宋体" w:hAnsi="宋体" w:cs="宋体" w:eastAsia="宋体" w:hint="default"/>
                <w:sz w:val="18"/>
                <w:szCs w:val="18"/>
              </w:rPr>
              <w:t>广东今程光一电力 科技有限责任公司</w:t>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6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sz w:val="18"/>
              </w:rPr>
              <w:t>1,040,770.57</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sz w:val="18"/>
              </w:rPr>
              <w:t>1,040,770.57</w:t>
            </w: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63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sz w:val="18"/>
              </w:rPr>
              <w:t>2,424,584.28</w:t>
            </w:r>
          </w:p>
        </w:tc>
      </w:tr>
    </w:tbl>
    <w:p>
      <w:pPr>
        <w:pStyle w:val="BodyText"/>
        <w:spacing w:line="240" w:lineRule="auto" w:before="63"/>
        <w:ind w:right="1122"/>
        <w:jc w:val="left"/>
      </w:pPr>
      <w:r>
        <w:rPr/>
        <w:t>出售商品</w:t>
      </w:r>
      <w:r>
        <w:rPr>
          <w:rFonts w:ascii="宋体" w:hAnsi="宋体" w:cs="宋体" w:eastAsia="宋体" w:hint="default"/>
        </w:rPr>
        <w:t>/</w:t>
      </w:r>
      <w:r>
        <w:rPr/>
        <w:t>提供劳务情况表</w:t>
      </w:r>
    </w:p>
    <w:p>
      <w:pPr>
        <w:spacing w:before="14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971"/>
        <w:gridCol w:w="1700"/>
        <w:gridCol w:w="2268"/>
        <w:gridCol w:w="1629"/>
      </w:tblGrid>
      <w:tr>
        <w:trPr>
          <w:trHeight w:val="415" w:hRule="exact"/>
        </w:trPr>
        <w:tc>
          <w:tcPr>
            <w:tcW w:w="39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江苏新宇能电力科技有限公司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集抄器</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38,461.54</w:t>
            </w:r>
          </w:p>
        </w:tc>
        <w:tc>
          <w:tcPr>
            <w:tcW w:w="16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54,330.91</w:t>
            </w:r>
          </w:p>
        </w:tc>
      </w:tr>
      <w:tr>
        <w:trPr>
          <w:trHeight w:val="407"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硬件</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126,379.31</w:t>
            </w:r>
          </w:p>
        </w:tc>
        <w:tc>
          <w:tcPr>
            <w:tcW w:w="162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抄核收软件</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3,879,310.35</w:t>
            </w:r>
          </w:p>
        </w:tc>
        <w:tc>
          <w:tcPr>
            <w:tcW w:w="162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广东今程光一电力科技有限责任公司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设计费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573,113.22</w:t>
            </w:r>
          </w:p>
        </w:tc>
        <w:tc>
          <w:tcPr>
            <w:tcW w:w="1629"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971" w:type="dxa"/>
            <w:tcBorders>
              <w:top w:val="single" w:sz="6" w:space="0" w:color="000000"/>
              <w:left w:val="single" w:sz="12" w:space="0" w:color="000000"/>
              <w:bottom w:val="single" w:sz="12" w:space="0" w:color="000000"/>
              <w:right w:val="single" w:sz="9" w:space="0" w:color="FFFFFF"/>
            </w:tcBorders>
          </w:tcPr>
          <w:p>
            <w:pPr>
              <w:pStyle w:val="TableParagraph"/>
              <w:spacing w:line="240" w:lineRule="auto" w:before="51"/>
              <w:ind w:left="13" w:right="-29"/>
              <w:jc w:val="left"/>
              <w:rPr>
                <w:rFonts w:ascii="宋体" w:hAnsi="宋体" w:cs="宋体" w:eastAsia="宋体" w:hint="default"/>
                <w:sz w:val="18"/>
                <w:szCs w:val="18"/>
              </w:rPr>
            </w:pPr>
            <w:r>
              <w:rPr>
                <w:rFonts w:ascii="宋体" w:hAnsi="宋体" w:cs="宋体" w:eastAsia="宋体" w:hint="default"/>
                <w:sz w:val="18"/>
                <w:szCs w:val="18"/>
              </w:rPr>
              <w:t>南京光一文化产业投资发展合伙企业（有限合伙）</w:t>
            </w:r>
          </w:p>
        </w:tc>
        <w:tc>
          <w:tcPr>
            <w:tcW w:w="1700" w:type="dxa"/>
            <w:tcBorders>
              <w:top w:val="single" w:sz="6" w:space="0" w:color="000000"/>
              <w:left w:val="single" w:sz="9" w:space="0" w:color="FFFFFF"/>
              <w:bottom w:val="single" w:sz="12"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基金托管费</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1,692,000.00</w:t>
            </w:r>
          </w:p>
        </w:tc>
        <w:tc>
          <w:tcPr>
            <w:tcW w:w="16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1,596,226.42</w:t>
            </w:r>
          </w:p>
        </w:tc>
      </w:tr>
    </w:tbl>
    <w:p>
      <w:pPr>
        <w:pStyle w:val="Heading4"/>
        <w:spacing w:line="240" w:lineRule="auto" w:before="63"/>
        <w:ind w:right="1122"/>
        <w:jc w:val="left"/>
        <w:rPr>
          <w:b w:val="0"/>
          <w:bCs w:val="0"/>
        </w:rPr>
      </w:pPr>
      <w:bookmarkStart w:name="（2）关联受托管理/承包及委托管理/出包情况" w:id="439"/>
      <w:bookmarkEnd w:id="439"/>
      <w:r>
        <w:rPr>
          <w:b w:val="0"/>
          <w:bCs w:val="0"/>
        </w:rPr>
      </w: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spacing w:line="408" w:lineRule="auto" w:before="0"/>
        <w:ind w:left="154" w:right="8862" w:firstLine="0"/>
        <w:jc w:val="left"/>
        <w:rPr>
          <w:rFonts w:ascii="宋体" w:hAnsi="宋体" w:cs="宋体" w:eastAsia="宋体" w:hint="default"/>
          <w:sz w:val="21"/>
          <w:szCs w:val="21"/>
        </w:rPr>
      </w:pPr>
      <w:bookmarkStart w:name="（3）关联租赁情况" w:id="440"/>
      <w:bookmarkEnd w:id="440"/>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389"/>
        <w:gridCol w:w="2394"/>
        <w:gridCol w:w="2393"/>
        <w:gridCol w:w="2392"/>
      </w:tblGrid>
      <w:tr>
        <w:trPr>
          <w:trHeight w:val="412" w:hRule="exact"/>
        </w:trPr>
        <w:tc>
          <w:tcPr>
            <w:tcW w:w="238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13" w:hRule="exact"/>
        </w:trPr>
        <w:tc>
          <w:tcPr>
            <w:tcW w:w="238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23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550" w:right="0"/>
              <w:jc w:val="left"/>
              <w:rPr>
                <w:rFonts w:ascii="宋体" w:hAnsi="宋体" w:cs="宋体" w:eastAsia="宋体" w:hint="default"/>
                <w:sz w:val="18"/>
                <w:szCs w:val="18"/>
              </w:rPr>
            </w:pPr>
            <w:r>
              <w:rPr>
                <w:rFonts w:ascii="宋体"/>
                <w:sz w:val="18"/>
              </w:rPr>
              <w:t>85,695.85</w:t>
            </w:r>
          </w:p>
        </w:tc>
        <w:tc>
          <w:tcPr>
            <w:tcW w:w="239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bl>
    <w:p>
      <w:pPr>
        <w:spacing w:line="408" w:lineRule="auto" w:before="63"/>
        <w:ind w:left="154" w:right="8960" w:firstLine="0"/>
        <w:jc w:val="left"/>
        <w:rPr>
          <w:rFonts w:ascii="宋体" w:hAnsi="宋体" w:cs="宋体" w:eastAsia="宋体" w:hint="default"/>
          <w:sz w:val="21"/>
          <w:szCs w:val="21"/>
        </w:rPr>
      </w:pPr>
      <w:bookmarkStart w:name="（4）关联担保情况" w:id="441"/>
      <w:bookmarkEnd w:id="441"/>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line="229" w:lineRule="exact"/>
        <w:jc w:val="right"/>
        <w:rPr>
          <w:rFonts w:ascii="宋体" w:hAnsi="宋体" w:cs="宋体" w:eastAsia="宋体" w:hint="default"/>
          <w:sz w:val="18"/>
          <w:szCs w:val="18"/>
        </w:rPr>
        <w:sectPr>
          <w:pgSz w:w="11910" w:h="16840"/>
          <w:pgMar w:header="877" w:footer="1000" w:top="1040" w:bottom="1180" w:left="980" w:right="0"/>
        </w:sectPr>
      </w:pPr>
    </w:p>
    <w:p>
      <w:pPr>
        <w:spacing w:line="240" w:lineRule="auto" w:before="9"/>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263"/>
        <w:gridCol w:w="1559"/>
        <w:gridCol w:w="1843"/>
        <w:gridCol w:w="1842"/>
        <w:gridCol w:w="1064"/>
      </w:tblGrid>
      <w:tr>
        <w:trPr>
          <w:trHeight w:val="727" w:hRule="exact"/>
        </w:trPr>
        <w:tc>
          <w:tcPr>
            <w:tcW w:w="326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84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06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74" w:right="65"/>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407"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288,000,000.00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9"/>
              <w:jc w:val="left"/>
              <w:rPr>
                <w:rFonts w:ascii="宋体" w:hAnsi="宋体" w:cs="宋体" w:eastAsia="宋体" w:hint="default"/>
                <w:sz w:val="18"/>
                <w:szCs w:val="18"/>
              </w:rPr>
            </w:pPr>
            <w:r>
              <w:rPr>
                <w:rFonts w:ascii="宋体" w:hAnsi="宋体" w:cs="宋体" w:eastAsia="宋体" w:hint="default"/>
                <w:spacing w:val="-2"/>
                <w:sz w:val="18"/>
                <w:szCs w:val="18"/>
              </w:rPr>
              <w:t>无锡金投领航产业升级并购投资企业（有</w:t>
            </w:r>
            <w:r>
              <w:rPr>
                <w:rFonts w:ascii="宋体" w:hAnsi="宋体" w:cs="宋体" w:eastAsia="宋体" w:hint="default"/>
                <w:sz w:val="18"/>
                <w:szCs w:val="18"/>
              </w:rPr>
              <w:t> 限合伙）</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293,865,615.36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4,500,000.00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4,700,000.00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326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14,000,000.00</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3"/>
        <w:ind w:right="1122"/>
        <w:jc w:val="left"/>
      </w:pPr>
      <w:r>
        <w:rPr/>
        <w:t>本公司作为被担保方</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403"/>
        <w:gridCol w:w="1419"/>
        <w:gridCol w:w="1843"/>
        <w:gridCol w:w="1842"/>
        <w:gridCol w:w="1064"/>
      </w:tblGrid>
      <w:tr>
        <w:trPr>
          <w:trHeight w:val="727" w:hRule="exact"/>
        </w:trPr>
        <w:tc>
          <w:tcPr>
            <w:tcW w:w="34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84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06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74" w:right="65"/>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江苏光一投资管理有限责任公司、龙昌明</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19,383,368.00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江苏光一投资管理有限责任公司、龙昌明</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江苏光一投资管理有限责任公司、龙昌明</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湖北索瑞电气有限公司，龙昌明，熊珂</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江苏光一投资管理责任有限公司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9"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19"/>
              <w:jc w:val="left"/>
              <w:rPr>
                <w:rFonts w:ascii="宋体" w:hAnsi="宋体" w:cs="宋体" w:eastAsia="宋体" w:hint="default"/>
                <w:sz w:val="18"/>
                <w:szCs w:val="18"/>
              </w:rPr>
            </w:pPr>
            <w:r>
              <w:rPr>
                <w:rFonts w:ascii="宋体" w:hAnsi="宋体" w:cs="宋体" w:eastAsia="宋体" w:hint="default"/>
                <w:spacing w:val="-4"/>
                <w:sz w:val="18"/>
                <w:szCs w:val="18"/>
              </w:rPr>
              <w:t>江苏光一投资管理有限责任公司、湖北索瑞</w:t>
            </w:r>
            <w:r>
              <w:rPr>
                <w:rFonts w:ascii="宋体" w:hAnsi="宋体" w:cs="宋体" w:eastAsia="宋体" w:hint="default"/>
                <w:sz w:val="18"/>
                <w:szCs w:val="18"/>
              </w:rPr>
              <w:t> 电器有限公司，龙昌明、熊珂</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江苏光一投资管理责任有限公司，龙昌明</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9"/>
              <w:jc w:val="left"/>
              <w:rPr>
                <w:rFonts w:ascii="宋体" w:hAnsi="宋体" w:cs="宋体" w:eastAsia="宋体" w:hint="default"/>
                <w:sz w:val="18"/>
                <w:szCs w:val="18"/>
              </w:rPr>
            </w:pPr>
            <w:r>
              <w:rPr>
                <w:rFonts w:ascii="宋体" w:hAnsi="宋体" w:cs="宋体" w:eastAsia="宋体" w:hint="default"/>
                <w:spacing w:val="-4"/>
                <w:sz w:val="18"/>
                <w:szCs w:val="18"/>
              </w:rPr>
              <w:t>江苏光一投资管理有限责任公司、湖北索瑞</w:t>
            </w:r>
            <w:r>
              <w:rPr>
                <w:rFonts w:ascii="宋体" w:hAnsi="宋体" w:cs="宋体" w:eastAsia="宋体" w:hint="default"/>
                <w:sz w:val="18"/>
                <w:szCs w:val="18"/>
              </w:rPr>
              <w:t> 电器有限公司、龙昌明、熊珂</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江苏光一投资管理责任有限公司，龙昌明</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15,000,000.00</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000" w:top="1040" w:bottom="1180" w:left="980" w:right="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403"/>
        <w:gridCol w:w="1419"/>
        <w:gridCol w:w="1843"/>
        <w:gridCol w:w="1842"/>
        <w:gridCol w:w="1064"/>
      </w:tblGrid>
      <w:tr>
        <w:trPr>
          <w:trHeight w:val="727" w:hRule="exact"/>
        </w:trPr>
        <w:tc>
          <w:tcPr>
            <w:tcW w:w="34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84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06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74" w:right="65"/>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719"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19"/>
              <w:jc w:val="left"/>
              <w:rPr>
                <w:rFonts w:ascii="宋体" w:hAnsi="宋体" w:cs="宋体" w:eastAsia="宋体" w:hint="default"/>
                <w:sz w:val="18"/>
                <w:szCs w:val="18"/>
              </w:rPr>
            </w:pPr>
            <w:r>
              <w:rPr>
                <w:rFonts w:ascii="宋体" w:hAnsi="宋体" w:cs="宋体" w:eastAsia="宋体" w:hint="default"/>
                <w:spacing w:val="-4"/>
                <w:sz w:val="18"/>
                <w:szCs w:val="18"/>
              </w:rPr>
              <w:t>江苏光一投资管理责任有限公司、光一科技</w:t>
            </w:r>
            <w:r>
              <w:rPr>
                <w:rFonts w:ascii="宋体" w:hAnsi="宋体" w:cs="宋体" w:eastAsia="宋体" w:hint="default"/>
                <w:sz w:val="18"/>
                <w:szCs w:val="18"/>
              </w:rPr>
              <w:t> 股份有限公司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129,500,000.00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任昌兆、荆州市山源科技有限公司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唐明群、沈燕芳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江苏光一投资管理责任有限公司，龙昌明</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江苏光一投资管理责任有限公司，龙昌明</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2,000,000.00</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Heading4"/>
        <w:spacing w:line="240" w:lineRule="auto" w:before="63"/>
        <w:ind w:right="1122"/>
        <w:jc w:val="left"/>
        <w:rPr>
          <w:b w:val="0"/>
          <w:bCs w:val="0"/>
        </w:rPr>
      </w:pPr>
      <w:bookmarkStart w:name="（5）关联方资金拆借" w:id="442"/>
      <w:bookmarkEnd w:id="442"/>
      <w:r>
        <w:rPr>
          <w:b w:val="0"/>
          <w:bCs w:val="0"/>
        </w:rPr>
      </w:r>
      <w:r>
        <w:rPr/>
        <w:t>（</w:t>
      </w:r>
      <w:r>
        <w:rPr>
          <w:rFonts w:ascii="宋体" w:hAnsi="宋体" w:cs="宋体" w:eastAsia="宋体" w:hint="default"/>
        </w:rPr>
        <w:t>5</w:t>
      </w:r>
      <w:r>
        <w:rPr/>
        <w:t>）关联方资金拆借</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4"/>
        <w:gridCol w:w="1914"/>
        <w:gridCol w:w="1915"/>
        <w:gridCol w:w="1914"/>
        <w:gridCol w:w="1913"/>
      </w:tblGrid>
      <w:tr>
        <w:trPr>
          <w:trHeight w:val="415" w:hRule="exact"/>
        </w:trPr>
        <w:tc>
          <w:tcPr>
            <w:tcW w:w="191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7" w:hRule="exact"/>
        </w:trPr>
        <w:tc>
          <w:tcPr>
            <w:tcW w:w="9571" w:type="dxa"/>
            <w:gridSpan w:val="5"/>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7" w:hRule="exact"/>
        </w:trPr>
        <w:tc>
          <w:tcPr>
            <w:tcW w:w="19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3"/>
              <w:jc w:val="center"/>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6,000,000.00</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9571" w:type="dxa"/>
            <w:gridSpan w:val="5"/>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7" w:hRule="exact"/>
        </w:trPr>
        <w:tc>
          <w:tcPr>
            <w:tcW w:w="19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3"/>
              <w:jc w:val="center"/>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6,000,000.00</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9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3"/>
              <w:jc w:val="center"/>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12,000,000.00</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3"/>
              <w:jc w:val="center"/>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3,000,000.00</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9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63"/>
              <w:jc w:val="center"/>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3,000,000.00</w:t>
            </w:r>
          </w:p>
        </w:tc>
        <w:tc>
          <w:tcPr>
            <w:tcW w:w="19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1122"/>
        <w:jc w:val="left"/>
        <w:rPr>
          <w:b w:val="0"/>
          <w:bCs w:val="0"/>
        </w:rPr>
      </w:pPr>
      <w:bookmarkStart w:name="（6）关联方资产转让、债务重组情况" w:id="443"/>
      <w:bookmarkEnd w:id="443"/>
      <w:r>
        <w:rPr>
          <w:b w:val="0"/>
          <w:bCs w:val="0"/>
        </w:rPr>
      </w:r>
      <w:r>
        <w:rPr/>
        <w:t>（</w:t>
      </w:r>
      <w:r>
        <w:rPr>
          <w:rFonts w:ascii="宋体" w:hAnsi="宋体" w:cs="宋体" w:eastAsia="宋体" w:hint="default"/>
        </w:rPr>
        <w:t>6</w:t>
      </w:r>
      <w:r>
        <w:rPr/>
        <w:t>）关联方资产转让、债务重组情况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7）关键管理人员报酬" w:id="444"/>
      <w:bookmarkEnd w:id="444"/>
      <w:r>
        <w:rPr>
          <w:b w:val="0"/>
          <w:bCs w:val="0"/>
        </w:rPr>
      </w:r>
      <w:r>
        <w:rPr/>
        <w:t>（</w:t>
      </w:r>
      <w:r>
        <w:rPr>
          <w:rFonts w:ascii="宋体" w:hAnsi="宋体" w:cs="宋体" w:eastAsia="宋体" w:hint="default"/>
        </w:rPr>
        <w:t>7</w:t>
      </w:r>
      <w:r>
        <w:rPr/>
        <w:t>）关键管理人员报酬</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89"/>
        <w:gridCol w:w="3190"/>
        <w:gridCol w:w="3191"/>
      </w:tblGrid>
      <w:tr>
        <w:trPr>
          <w:trHeight w:val="412" w:hRule="exact"/>
        </w:trPr>
        <w:tc>
          <w:tcPr>
            <w:tcW w:w="318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2" w:hRule="exact"/>
        </w:trPr>
        <w:tc>
          <w:tcPr>
            <w:tcW w:w="318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077" w:right="0"/>
              <w:jc w:val="left"/>
              <w:rPr>
                <w:rFonts w:ascii="宋体" w:hAnsi="宋体" w:cs="宋体" w:eastAsia="宋体" w:hint="default"/>
                <w:sz w:val="18"/>
                <w:szCs w:val="18"/>
              </w:rPr>
            </w:pPr>
            <w:r>
              <w:rPr>
                <w:rFonts w:ascii="宋体"/>
                <w:sz w:val="18"/>
              </w:rPr>
              <w:t>3,210,588.48</w:t>
            </w:r>
          </w:p>
        </w:tc>
        <w:tc>
          <w:tcPr>
            <w:tcW w:w="31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3,933,870.06</w:t>
            </w:r>
          </w:p>
        </w:tc>
      </w:tr>
    </w:tbl>
    <w:p>
      <w:pPr>
        <w:pStyle w:val="Heading4"/>
        <w:spacing w:line="240" w:lineRule="auto" w:before="63"/>
        <w:ind w:right="1122"/>
        <w:jc w:val="left"/>
        <w:rPr>
          <w:b w:val="0"/>
          <w:bCs w:val="0"/>
        </w:rPr>
      </w:pPr>
      <w:bookmarkStart w:name="（8）其他关联交易" w:id="445"/>
      <w:bookmarkEnd w:id="445"/>
      <w:r>
        <w:rPr>
          <w:b w:val="0"/>
          <w:bCs w:val="0"/>
        </w:rPr>
      </w:r>
      <w:r>
        <w:rPr/>
        <w:t>（</w:t>
      </w:r>
      <w:r>
        <w:rPr>
          <w:rFonts w:ascii="宋体" w:hAnsi="宋体" w:cs="宋体" w:eastAsia="宋体" w:hint="default"/>
        </w:rPr>
        <w:t>8</w:t>
      </w:r>
      <w:r>
        <w:rPr/>
        <w:t>）其他关联交易</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53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关联方应收应付款项" w:id="446"/>
      <w:bookmarkEnd w:id="446"/>
      <w:r>
        <w:rPr>
          <w:rFonts w:ascii="宋体" w:hAnsi="宋体" w:cs="宋体" w:eastAsia="宋体" w:hint="default"/>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pStyle w:val="Heading4"/>
        <w:spacing w:line="240" w:lineRule="auto" w:before="46"/>
        <w:ind w:right="1122"/>
        <w:jc w:val="left"/>
        <w:rPr>
          <w:b w:val="0"/>
          <w:bCs w:val="0"/>
        </w:rPr>
      </w:pPr>
      <w:bookmarkStart w:name="（1）应收项目" w:id="447"/>
      <w:bookmarkEnd w:id="447"/>
      <w:r>
        <w:rPr>
          <w:b w:val="0"/>
          <w:bCs w:val="0"/>
        </w:rPr>
      </w:r>
      <w:r>
        <w:rPr/>
        <w:t>（</w:t>
      </w:r>
      <w:r>
        <w:rPr>
          <w:rFonts w:ascii="宋体" w:hAnsi="宋体" w:cs="宋体" w:eastAsia="宋体" w:hint="default"/>
        </w:rPr>
        <w:t>1</w:t>
      </w:r>
      <w:r>
        <w:rPr/>
        <w:t>）应收项目</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031"/>
        <w:gridCol w:w="2940"/>
        <w:gridCol w:w="1417"/>
        <w:gridCol w:w="1271"/>
        <w:gridCol w:w="1474"/>
        <w:gridCol w:w="1435"/>
      </w:tblGrid>
      <w:tr>
        <w:trPr>
          <w:trHeight w:val="415" w:hRule="exact"/>
        </w:trPr>
        <w:tc>
          <w:tcPr>
            <w:tcW w:w="1031"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40"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88"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9"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031" w:type="dxa"/>
            <w:vMerge/>
            <w:tcBorders>
              <w:left w:val="single" w:sz="12" w:space="0" w:color="000000"/>
              <w:bottom w:val="single" w:sz="6" w:space="0" w:color="000000"/>
              <w:right w:val="single" w:sz="6" w:space="0" w:color="000000"/>
            </w:tcBorders>
            <w:shd w:val="clear" w:color="auto" w:fill="D2D2D2"/>
          </w:tcPr>
          <w:p>
            <w:pPr/>
          </w:p>
        </w:tc>
        <w:tc>
          <w:tcPr>
            <w:tcW w:w="2940" w:type="dxa"/>
            <w:vMerge/>
            <w:tcBorders>
              <w:left w:val="single" w:sz="6" w:space="0" w:color="000000"/>
              <w:bottom w:val="single" w:sz="6" w:space="0" w:color="000000"/>
              <w:right w:val="single" w:sz="6" w:space="0" w:color="000000"/>
            </w:tcBorders>
            <w:shd w:val="clear" w:color="auto" w:fill="D2D2D2"/>
          </w:tcPr>
          <w:p>
            <w:pP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5"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27" w:hRule="exact"/>
        </w:trPr>
        <w:tc>
          <w:tcPr>
            <w:tcW w:w="10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南京光一文化产业投资发展合伙企业</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62" w:right="0"/>
              <w:jc w:val="left"/>
              <w:rPr>
                <w:rFonts w:ascii="宋体" w:hAnsi="宋体" w:cs="宋体" w:eastAsia="宋体" w:hint="default"/>
                <w:sz w:val="18"/>
                <w:szCs w:val="18"/>
              </w:rPr>
            </w:pPr>
            <w:r>
              <w:rPr>
                <w:rFonts w:ascii="宋体"/>
                <w:sz w:val="18"/>
              </w:rPr>
              <w:t>1,100.00</w:t>
            </w:r>
          </w:p>
        </w:tc>
        <w:tc>
          <w:tcPr>
            <w:tcW w:w="1271" w:type="dxa"/>
            <w:tcBorders>
              <w:top w:val="single" w:sz="6" w:space="0" w:color="000000"/>
              <w:left w:val="single" w:sz="6" w:space="0" w:color="000000"/>
              <w:bottom w:val="single" w:sz="12" w:space="0" w:color="000000"/>
              <w:right w:val="single" w:sz="6" w:space="0" w:color="000000"/>
            </w:tcBorders>
          </w:tcPr>
          <w:p>
            <w:pP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9" w:right="0"/>
              <w:jc w:val="left"/>
              <w:rPr>
                <w:rFonts w:ascii="宋体" w:hAnsi="宋体" w:cs="宋体" w:eastAsia="宋体" w:hint="default"/>
                <w:sz w:val="18"/>
                <w:szCs w:val="18"/>
              </w:rPr>
            </w:pPr>
            <w:r>
              <w:rPr>
                <w:rFonts w:ascii="宋体"/>
                <w:sz w:val="18"/>
              </w:rPr>
              <w:t>1,100.00</w:t>
            </w:r>
          </w:p>
        </w:tc>
        <w:tc>
          <w:tcPr>
            <w:tcW w:w="1435"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0" w:top="1040" w:bottom="1180" w:left="980" w:right="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031"/>
        <w:gridCol w:w="2940"/>
        <w:gridCol w:w="1417"/>
        <w:gridCol w:w="1271"/>
        <w:gridCol w:w="1474"/>
        <w:gridCol w:w="1435"/>
      </w:tblGrid>
      <w:tr>
        <w:trPr>
          <w:trHeight w:val="415" w:hRule="exact"/>
        </w:trPr>
        <w:tc>
          <w:tcPr>
            <w:tcW w:w="1031"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40"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88"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9"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031" w:type="dxa"/>
            <w:vMerge/>
            <w:tcBorders>
              <w:left w:val="single" w:sz="12" w:space="0" w:color="000000"/>
              <w:bottom w:val="single" w:sz="6" w:space="0" w:color="000000"/>
              <w:right w:val="single" w:sz="6" w:space="0" w:color="000000"/>
            </w:tcBorders>
            <w:shd w:val="clear" w:color="auto" w:fill="D2D2D2"/>
          </w:tcPr>
          <w:p>
            <w:pPr/>
          </w:p>
        </w:tc>
        <w:tc>
          <w:tcPr>
            <w:tcW w:w="2940" w:type="dxa"/>
            <w:vMerge/>
            <w:tcBorders>
              <w:left w:val="single" w:sz="6" w:space="0" w:color="000000"/>
              <w:bottom w:val="single" w:sz="6" w:space="0" w:color="000000"/>
              <w:right w:val="single" w:sz="6" w:space="0" w:color="000000"/>
            </w:tcBorders>
            <w:shd w:val="clear" w:color="auto" w:fill="D2D2D2"/>
          </w:tcPr>
          <w:p>
            <w:pP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5"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7" w:hRule="exact"/>
        </w:trPr>
        <w:tc>
          <w:tcPr>
            <w:tcW w:w="10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233,376.01</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7,001.28</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214,322.00</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79" w:right="0"/>
              <w:jc w:val="left"/>
              <w:rPr>
                <w:rFonts w:ascii="宋体" w:hAnsi="宋体" w:cs="宋体" w:eastAsia="宋体" w:hint="default"/>
                <w:sz w:val="18"/>
                <w:szCs w:val="18"/>
              </w:rPr>
            </w:pPr>
            <w:r>
              <w:rPr>
                <w:rFonts w:ascii="宋体"/>
                <w:sz w:val="18"/>
              </w:rPr>
              <w:t>6,429.66</w:t>
            </w:r>
          </w:p>
        </w:tc>
      </w:tr>
      <w:tr>
        <w:trPr>
          <w:trHeight w:val="407" w:hRule="exact"/>
        </w:trPr>
        <w:tc>
          <w:tcPr>
            <w:tcW w:w="10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江苏新宇能电力科技有限公司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220,980.00</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6,629.40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760" w:hRule="exact"/>
        </w:trPr>
        <w:tc>
          <w:tcPr>
            <w:tcW w:w="10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深圳贵仁创新产业基金合伙企业</w:t>
            </w:r>
          </w:p>
          <w:p>
            <w:pPr>
              <w:pStyle w:val="TableParagraph"/>
              <w:spacing w:line="240" w:lineRule="auto" w:before="116"/>
              <w:ind w:left="20"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z w:val="18"/>
              </w:rPr>
              <w:t>10.00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0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4,500,000.00</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135,000.00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0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广东今程光一电力科技有限责任公司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14,400.00</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1,440.00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14,400.00</w:t>
            </w: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0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80,456.10</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2,413.68</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0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18,000,000.00</w:t>
            </w:r>
          </w:p>
        </w:tc>
        <w:tc>
          <w:tcPr>
            <w:tcW w:w="12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540,000.00</w:t>
            </w:r>
          </w:p>
        </w:tc>
        <w:tc>
          <w:tcPr>
            <w:tcW w:w="1474" w:type="dxa"/>
            <w:tcBorders>
              <w:top w:val="single" w:sz="6" w:space="0" w:color="000000"/>
              <w:left w:val="single" w:sz="6" w:space="0" w:color="000000"/>
              <w:bottom w:val="single" w:sz="12" w:space="0" w:color="000000"/>
              <w:right w:val="single" w:sz="6" w:space="0" w:color="000000"/>
            </w:tcBorders>
          </w:tcPr>
          <w:p>
            <w:pPr/>
          </w:p>
        </w:tc>
        <w:tc>
          <w:tcPr>
            <w:tcW w:w="1435"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1122"/>
        <w:jc w:val="left"/>
        <w:rPr>
          <w:b w:val="0"/>
          <w:bCs w:val="0"/>
        </w:rPr>
      </w:pPr>
      <w:bookmarkStart w:name="（2）应付项目" w:id="448"/>
      <w:bookmarkEnd w:id="448"/>
      <w:r>
        <w:rPr>
          <w:b w:val="0"/>
          <w:bCs w:val="0"/>
        </w:rPr>
      </w:r>
      <w:r>
        <w:rPr/>
        <w:t>（</w:t>
      </w:r>
      <w:r>
        <w:rPr>
          <w:rFonts w:ascii="宋体" w:hAnsi="宋体" w:cs="宋体" w:eastAsia="宋体" w:hint="default"/>
        </w:rPr>
        <w:t>2</w:t>
      </w:r>
      <w:r>
        <w:rPr/>
        <w:t>）应付项目</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393"/>
        <w:gridCol w:w="2996"/>
        <w:gridCol w:w="1790"/>
        <w:gridCol w:w="2391"/>
      </w:tblGrid>
      <w:tr>
        <w:trPr>
          <w:trHeight w:val="412" w:hRule="exact"/>
        </w:trPr>
        <w:tc>
          <w:tcPr>
            <w:tcW w:w="239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9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308,000.00</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钱卫民</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180,000.00</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39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13,550,000.00</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239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1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30,000.00</w:t>
            </w:r>
          </w:p>
        </w:tc>
        <w:tc>
          <w:tcPr>
            <w:tcW w:w="2391" w:type="dxa"/>
            <w:tcBorders>
              <w:top w:val="single" w:sz="4" w:space="0" w:color="000000"/>
              <w:left w:val="single" w:sz="4" w:space="0" w:color="000000"/>
              <w:bottom w:val="single" w:sz="12" w:space="0" w:color="000000"/>
              <w:right w:val="single" w:sz="12" w:space="0" w:color="000000"/>
            </w:tcBorders>
          </w:tcPr>
          <w:p>
            <w:pPr/>
          </w:p>
        </w:tc>
      </w:tr>
    </w:tbl>
    <w:p>
      <w:pPr>
        <w:pStyle w:val="Heading4"/>
        <w:spacing w:line="240" w:lineRule="auto" w:before="63"/>
        <w:ind w:right="1122"/>
        <w:jc w:val="left"/>
        <w:rPr>
          <w:b w:val="0"/>
          <w:bCs w:val="0"/>
        </w:rPr>
      </w:pPr>
      <w:bookmarkStart w:name="7、关联方承诺" w:id="449"/>
      <w:bookmarkEnd w:id="449"/>
      <w:r>
        <w:rPr>
          <w:b w:val="0"/>
          <w:bCs w:val="0"/>
        </w:rPr>
      </w:r>
      <w:r>
        <w:rPr>
          <w:rFonts w:ascii="宋体" w:hAnsi="宋体" w:cs="宋体" w:eastAsia="宋体" w:hint="default"/>
        </w:rPr>
        <w:t>7</w:t>
      </w:r>
      <w:r>
        <w:rPr/>
        <w:t>、关联方承诺</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8、其他" w:id="450"/>
      <w:bookmarkEnd w:id="450"/>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381" w:lineRule="auto" w:before="46"/>
        <w:ind w:left="154" w:right="874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十三、股份支付" w:id="451"/>
      <w:bookmarkEnd w:id="451"/>
      <w:r>
        <w:rPr>
          <w:rFonts w:ascii="宋体" w:hAnsi="宋体" w:cs="宋体" w:eastAsia="宋体" w:hint="default"/>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2"/>
      <w:bookmarkEnd w:id="452"/>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69"/>
        <w:ind w:right="1122"/>
        <w:jc w:val="left"/>
      </w:pPr>
      <w:r>
        <w:rPr/>
        <w:t>√ 适用 □</w:t>
      </w:r>
      <w:r>
        <w:rPr>
          <w:spacing w:val="-1"/>
        </w:rPr>
        <w:t> </w:t>
      </w:r>
      <w:r>
        <w:rPr/>
        <w:t>不适用</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5455"/>
        <w:gridCol w:w="4113"/>
      </w:tblGrid>
      <w:tr>
        <w:trPr>
          <w:trHeight w:val="412" w:hRule="exact"/>
        </w:trPr>
        <w:tc>
          <w:tcPr>
            <w:tcW w:w="545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3,731,250.00</w:t>
            </w:r>
          </w:p>
        </w:tc>
      </w:tr>
      <w:tr>
        <w:trPr>
          <w:trHeight w:val="1973" w:hRule="exact"/>
        </w:trPr>
        <w:tc>
          <w:tcPr>
            <w:tcW w:w="545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3"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1"/>
              <w:ind w:left="22" w:right="11"/>
              <w:jc w:val="both"/>
              <w:rPr>
                <w:rFonts w:ascii="宋体" w:hAnsi="宋体" w:cs="宋体" w:eastAsia="宋体" w:hint="default"/>
                <w:sz w:val="18"/>
                <w:szCs w:val="18"/>
              </w:rPr>
            </w:pPr>
            <w:r>
              <w:rPr>
                <w:rFonts w:ascii="宋体" w:hAnsi="宋体" w:cs="宋体" w:eastAsia="宋体" w:hint="default"/>
                <w:spacing w:val="-4"/>
                <w:sz w:val="18"/>
                <w:szCs w:val="18"/>
              </w:rPr>
              <w:t>限制性股票激励计划的有效期为自首次授予日（</w:t>
            </w:r>
            <w:r>
              <w:rPr>
                <w:rFonts w:ascii="宋体" w:hAnsi="宋体" w:cs="宋体" w:eastAsia="宋体" w:hint="default"/>
                <w:spacing w:val="-4"/>
                <w:sz w:val="18"/>
                <w:szCs w:val="18"/>
              </w:rPr>
              <w:t>2016</w:t>
            </w:r>
            <w:r>
              <w:rPr>
                <w:rFonts w:ascii="宋体" w:hAnsi="宋体" w:cs="宋体" w:eastAsia="宋体" w:hint="default"/>
                <w:spacing w:val="-7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日）起至所有限制性股票解锁或回购注销</w:t>
            </w:r>
          </w:p>
          <w:p>
            <w:pPr>
              <w:pStyle w:val="TableParagraph"/>
              <w:spacing w:line="319" w:lineRule="auto" w:before="19"/>
              <w:ind w:left="22" w:right="9"/>
              <w:jc w:val="both"/>
              <w:rPr>
                <w:rFonts w:ascii="宋体" w:hAnsi="宋体" w:cs="宋体" w:eastAsia="宋体" w:hint="default"/>
                <w:sz w:val="18"/>
                <w:szCs w:val="18"/>
              </w:rPr>
            </w:pPr>
            <w:r>
              <w:rPr>
                <w:rFonts w:ascii="宋体" w:hAnsi="宋体" w:cs="宋体" w:eastAsia="宋体" w:hint="default"/>
                <w:spacing w:val="-3"/>
                <w:sz w:val="18"/>
                <w:szCs w:val="18"/>
              </w:rPr>
              <w:t>完毕之日止，不超过</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pacing w:val="-5"/>
                <w:sz w:val="18"/>
                <w:szCs w:val="18"/>
              </w:rPr>
              <w:t>年，分三批行权。其中，首期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限制性股票（占比</w:t>
            </w:r>
            <w:r>
              <w:rPr>
                <w:rFonts w:ascii="宋体" w:hAnsi="宋体" w:cs="宋体" w:eastAsia="宋体" w:hint="default"/>
                <w:spacing w:val="4"/>
                <w:sz w:val="18"/>
                <w:szCs w:val="18"/>
              </w:rPr>
              <w:t> </w:t>
            </w:r>
            <w:r>
              <w:rPr>
                <w:rFonts w:ascii="宋体" w:hAnsi="宋体" w:cs="宋体" w:eastAsia="宋体" w:hint="default"/>
                <w:spacing w:val="-6"/>
                <w:sz w:val="18"/>
                <w:szCs w:val="18"/>
              </w:rPr>
              <w:t>40%</w:t>
            </w:r>
            <w:r>
              <w:rPr>
                <w:rFonts w:ascii="宋体" w:hAnsi="宋体" w:cs="宋体" w:eastAsia="宋体" w:hint="default"/>
                <w:spacing w:val="-6"/>
                <w:sz w:val="18"/>
                <w:szCs w:val="18"/>
              </w:rPr>
              <w:t>），第二期限制性股票（占比</w:t>
            </w:r>
            <w:r>
              <w:rPr>
                <w:rFonts w:ascii="宋体" w:hAnsi="宋体" w:cs="宋体" w:eastAsia="宋体" w:hint="default"/>
                <w:sz w:val="18"/>
                <w:szCs w:val="18"/>
              </w:rPr>
              <w:t> </w:t>
            </w:r>
            <w:r>
              <w:rPr>
                <w:rFonts w:ascii="宋体" w:hAnsi="宋体" w:cs="宋体" w:eastAsia="宋体" w:hint="default"/>
                <w:spacing w:val="-10"/>
                <w:sz w:val="18"/>
                <w:szCs w:val="18"/>
              </w:rPr>
              <w:t>30%</w:t>
            </w:r>
            <w:r>
              <w:rPr>
                <w:rFonts w:ascii="宋体" w:hAnsi="宋体" w:cs="宋体" w:eastAsia="宋体" w:hint="default"/>
                <w:spacing w:val="-10"/>
                <w:sz w:val="18"/>
                <w:szCs w:val="18"/>
              </w:rPr>
              <w:t>）、第三期限制性股票（占比</w:t>
            </w:r>
            <w:r>
              <w:rPr>
                <w:rFonts w:ascii="宋体" w:hAnsi="宋体" w:cs="宋体" w:eastAsia="宋体" w:hint="default"/>
                <w:spacing w:val="12"/>
                <w:sz w:val="18"/>
                <w:szCs w:val="18"/>
              </w:rPr>
              <w:t> </w:t>
            </w:r>
            <w:r>
              <w:rPr>
                <w:rFonts w:ascii="宋体" w:hAnsi="宋体" w:cs="宋体" w:eastAsia="宋体" w:hint="default"/>
                <w:spacing w:val="-3"/>
                <w:sz w:val="18"/>
                <w:szCs w:val="18"/>
              </w:rPr>
              <w:t>30%</w:t>
            </w:r>
            <w:r>
              <w:rPr>
                <w:rFonts w:ascii="宋体" w:hAnsi="宋体" w:cs="宋体" w:eastAsia="宋体" w:hint="default"/>
                <w:spacing w:val="-3"/>
                <w:sz w:val="18"/>
                <w:szCs w:val="18"/>
              </w:rPr>
              <w:t>）的合同剩余期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限分别为</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r>
    </w:tbl>
    <w:p>
      <w:pPr>
        <w:spacing w:after="0" w:line="319" w:lineRule="auto"/>
        <w:jc w:val="both"/>
        <w:rPr>
          <w:rFonts w:ascii="宋体" w:hAnsi="宋体" w:cs="宋体" w:eastAsia="宋体" w:hint="default"/>
          <w:sz w:val="18"/>
          <w:szCs w:val="18"/>
        </w:rPr>
        <w:sectPr>
          <w:pgSz w:w="11910" w:h="16840"/>
          <w:pgMar w:header="877" w:footer="1000" w:top="1040" w:bottom="118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2"/>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130" w:firstLine="423"/>
        <w:jc w:val="both"/>
      </w:pPr>
      <w:r>
        <w:rPr>
          <w:spacing w:val="-1"/>
        </w:rPr>
        <w:t>依据光一科技股份有限公司（以下简称“公司”）</w:t>
      </w:r>
      <w:r>
        <w:rPr>
          <w:rFonts w:ascii="宋体" w:hAnsi="宋体" w:cs="宋体" w:eastAsia="宋体" w:hint="default"/>
          <w:spacing w:val="-1"/>
        </w:rPr>
        <w:t>2016</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6</w:t>
      </w:r>
      <w:r>
        <w:rPr>
          <w:spacing w:val="-1"/>
        </w:rPr>
        <w:t>日召开的</w:t>
      </w:r>
      <w:r>
        <w:rPr>
          <w:rFonts w:ascii="宋体" w:hAnsi="宋体" w:cs="宋体" w:eastAsia="宋体" w:hint="default"/>
          <w:spacing w:val="-1"/>
        </w:rPr>
        <w:t>2015</w:t>
      </w:r>
      <w:r>
        <w:rPr>
          <w:spacing w:val="-1"/>
        </w:rPr>
        <w:t>年度股东大会，审议通过</w:t>
      </w:r>
      <w:r>
        <w:rPr/>
        <w:t> </w:t>
      </w:r>
      <w:r>
        <w:rPr>
          <w:spacing w:val="-14"/>
        </w:rPr>
        <w:t>的《关于</w:t>
      </w:r>
      <w:r>
        <w:rPr>
          <w:rFonts w:ascii="宋体" w:hAnsi="宋体" w:cs="宋体" w:eastAsia="宋体" w:hint="default"/>
          <w:spacing w:val="-14"/>
        </w:rPr>
        <w:t>&lt;</w:t>
      </w:r>
      <w:r>
        <w:rPr>
          <w:spacing w:val="-14"/>
        </w:rPr>
        <w:t>光一科技股份有限公司限制性股票激励计划（草案）及其摘要</w:t>
      </w:r>
      <w:r>
        <w:rPr>
          <w:rFonts w:ascii="宋体" w:hAnsi="宋体" w:cs="宋体" w:eastAsia="宋体" w:hint="default"/>
          <w:spacing w:val="-14"/>
        </w:rPr>
        <w:t>&gt;</w:t>
      </w:r>
      <w:r>
        <w:rPr>
          <w:spacing w:val="-14"/>
        </w:rPr>
        <w:t>的议案》（以下简称“激励计划”），</w:t>
      </w:r>
      <w:r>
        <w:rPr>
          <w:spacing w:val="-61"/>
        </w:rPr>
        <w:t> </w:t>
      </w:r>
      <w:r>
        <w:rPr>
          <w:spacing w:val="-61"/>
        </w:rPr>
      </w:r>
      <w:r>
        <w:rPr>
          <w:rFonts w:ascii="宋体" w:hAnsi="宋体" w:cs="宋体" w:eastAsia="宋体" w:hint="default"/>
        </w:rPr>
        <w:t>5</w:t>
      </w:r>
      <w:r>
        <w:rPr/>
        <w:t>月</w:t>
      </w:r>
      <w:r>
        <w:rPr>
          <w:rFonts w:ascii="宋体" w:hAnsi="宋体" w:cs="宋体" w:eastAsia="宋体" w:hint="default"/>
        </w:rPr>
        <w:t>18</w:t>
      </w:r>
      <w:r>
        <w:rPr/>
        <w:t>日召开的第三届董事会第四次会议审议通过的《光一科技股份有限公司关于向激励对象授予限制性</w:t>
      </w:r>
      <w:r>
        <w:rPr>
          <w:spacing w:val="-34"/>
        </w:rPr>
        <w:t> </w:t>
      </w:r>
      <w:r>
        <w:rPr>
          <w:spacing w:val="-34"/>
        </w:rPr>
      </w:r>
      <w:r>
        <w:rPr>
          <w:spacing w:val="-1"/>
        </w:rPr>
        <w:t>股票的议案》，</w:t>
      </w:r>
      <w:r>
        <w:rPr>
          <w:rFonts w:ascii="宋体" w:hAnsi="宋体" w:cs="宋体" w:eastAsia="宋体" w:hint="default"/>
          <w:spacing w:val="-1"/>
        </w:rPr>
        <w:t>6</w:t>
      </w:r>
      <w:r>
        <w:rPr>
          <w:spacing w:val="-1"/>
        </w:rPr>
        <w:t>月</w:t>
      </w:r>
      <w:r>
        <w:rPr>
          <w:rFonts w:ascii="宋体" w:hAnsi="宋体" w:cs="宋体" w:eastAsia="宋体" w:hint="default"/>
          <w:spacing w:val="-1"/>
        </w:rPr>
        <w:t>8</w:t>
      </w:r>
      <w:r>
        <w:rPr>
          <w:spacing w:val="-1"/>
        </w:rPr>
        <w:t>日召开的第三届董事会第五次会议，对公司</w:t>
      </w:r>
      <w:r>
        <w:rPr>
          <w:rFonts w:ascii="宋体" w:hAnsi="宋体" w:cs="宋体" w:eastAsia="宋体" w:hint="default"/>
          <w:spacing w:val="-1"/>
        </w:rPr>
        <w:t>2015</w:t>
      </w:r>
      <w:r>
        <w:rPr>
          <w:spacing w:val="-1"/>
        </w:rPr>
        <w:t>年度权益分派方案的实施情况，对限</w:t>
      </w:r>
      <w:r>
        <w:rPr>
          <w:spacing w:val="-83"/>
        </w:rPr>
        <w:t> </w:t>
      </w:r>
      <w:r>
        <w:rPr>
          <w:spacing w:val="-83"/>
        </w:rPr>
      </w:r>
      <w:r>
        <w:rPr>
          <w:spacing w:val="-1"/>
        </w:rPr>
        <w:t>制性股票的授予价格进行调整情况，公司本次激励计划拟授予的限制性股票数量</w:t>
      </w:r>
      <w:r>
        <w:rPr>
          <w:rFonts w:ascii="宋体" w:hAnsi="宋体" w:cs="宋体" w:eastAsia="宋体" w:hint="default"/>
          <w:spacing w:val="-1"/>
        </w:rPr>
        <w:t>520.00</w:t>
      </w:r>
      <w:r>
        <w:rPr>
          <w:spacing w:val="-1"/>
        </w:rPr>
        <w:t>万股，其中首次授</w:t>
      </w:r>
      <w:r>
        <w:rPr>
          <w:spacing w:val="-78"/>
        </w:rPr>
        <w:t> </w:t>
      </w:r>
      <w:r>
        <w:rPr>
          <w:spacing w:val="-78"/>
        </w:rPr>
      </w:r>
      <w:r>
        <w:rPr>
          <w:spacing w:val="-1"/>
        </w:rPr>
        <w:t>予</w:t>
      </w:r>
      <w:r>
        <w:rPr>
          <w:rFonts w:ascii="宋体" w:hAnsi="宋体" w:cs="宋体" w:eastAsia="宋体" w:hint="default"/>
          <w:spacing w:val="-1"/>
        </w:rPr>
        <w:t>490.00</w:t>
      </w:r>
      <w:r>
        <w:rPr>
          <w:spacing w:val="-1"/>
        </w:rPr>
        <w:t>万股，预留</w:t>
      </w:r>
      <w:r>
        <w:rPr>
          <w:rFonts w:ascii="宋体" w:hAnsi="宋体" w:cs="宋体" w:eastAsia="宋体" w:hint="default"/>
          <w:spacing w:val="-1"/>
        </w:rPr>
        <w:t>30.00</w:t>
      </w:r>
      <w:r>
        <w:rPr>
          <w:spacing w:val="-1"/>
        </w:rPr>
        <w:t>万股，预留部分占本次授予权益总额的</w:t>
      </w:r>
      <w:r>
        <w:rPr>
          <w:rFonts w:ascii="宋体" w:hAnsi="宋体" w:cs="宋体" w:eastAsia="宋体" w:hint="default"/>
          <w:spacing w:val="-1"/>
        </w:rPr>
        <w:t>5.77%</w:t>
      </w:r>
      <w:r>
        <w:rPr>
          <w:spacing w:val="-1"/>
        </w:rPr>
        <w:t>。限制性股票来源为公司向激励对</w:t>
      </w:r>
      <w:r>
        <w:rPr>
          <w:spacing w:val="-79"/>
        </w:rPr>
        <w:t> </w:t>
      </w:r>
      <w:r>
        <w:rPr>
          <w:spacing w:val="-79"/>
        </w:rPr>
      </w:r>
      <w:r>
        <w:rPr/>
        <w:t>象定向发行的公司人民币</w:t>
      </w:r>
      <w:r>
        <w:rPr>
          <w:rFonts w:ascii="宋体" w:hAnsi="宋体" w:cs="宋体" w:eastAsia="宋体" w:hint="default"/>
        </w:rPr>
        <w:t>A</w:t>
      </w:r>
      <w:r>
        <w:rPr/>
        <w:t>股普通股，授予价格</w:t>
      </w:r>
      <w:r>
        <w:rPr>
          <w:rFonts w:ascii="宋体" w:hAnsi="宋体" w:cs="宋体" w:eastAsia="宋体" w:hint="default"/>
        </w:rPr>
        <w:t>19.48</w:t>
      </w:r>
      <w:r>
        <w:rPr/>
        <w:t>元</w:t>
      </w:r>
      <w:r>
        <w:rPr>
          <w:rFonts w:ascii="宋体" w:hAnsi="宋体" w:cs="宋体" w:eastAsia="宋体" w:hint="default"/>
        </w:rPr>
        <w:t>/</w:t>
      </w:r>
      <w:r>
        <w:rPr/>
        <w:t>股。</w:t>
      </w:r>
    </w:p>
    <w:p>
      <w:pPr>
        <w:pStyle w:val="BodyText"/>
        <w:spacing w:line="408" w:lineRule="auto"/>
        <w:ind w:right="1131" w:firstLine="423"/>
        <w:jc w:val="both"/>
      </w:pPr>
      <w:r>
        <w:rPr>
          <w:spacing w:val="-1"/>
        </w:rPr>
        <w:t>本激励计划的有效期为限制性股票授予之日起至所有限制性股票解锁或回购注销完毕之日止，不超过</w:t>
      </w:r>
      <w:r>
        <w:rPr/>
        <w:t> </w:t>
      </w:r>
      <w:r>
        <w:rPr>
          <w:rFonts w:ascii="宋体" w:hAnsi="宋体" w:cs="宋体" w:eastAsia="宋体" w:hint="default"/>
        </w:rPr>
        <w:t>5</w:t>
      </w:r>
      <w:r>
        <w:rPr/>
        <w:t>年。本激励计划授予的限制性股票自授予之日起</w:t>
      </w:r>
      <w:r>
        <w:rPr>
          <w:rFonts w:ascii="宋体" w:hAnsi="宋体" w:cs="宋体" w:eastAsia="宋体" w:hint="default"/>
        </w:rPr>
        <w:t>12</w:t>
      </w:r>
      <w:r>
        <w:rPr/>
        <w:t>个月内为锁定期。激励对象，根据本激励计划获授的</w:t>
      </w:r>
      <w:r>
        <w:rPr>
          <w:spacing w:val="-29"/>
        </w:rPr>
        <w:t> </w:t>
      </w:r>
      <w:r>
        <w:rPr>
          <w:spacing w:val="-29"/>
        </w:rPr>
      </w:r>
      <w:r>
        <w:rPr>
          <w:spacing w:val="-1"/>
        </w:rPr>
        <w:t>限制性股票在锁定期内不得转让、用于偿还债务。激励对象因获授的尚未解锁的限制性股票而取得的资本</w:t>
      </w:r>
      <w:r>
        <w:rPr>
          <w:spacing w:val="-81"/>
        </w:rPr>
        <w:t> </w:t>
      </w:r>
      <w:r>
        <w:rPr>
          <w:spacing w:val="-81"/>
        </w:rPr>
      </w:r>
      <w:r>
        <w:rPr>
          <w:spacing w:val="-1"/>
        </w:rPr>
        <w:t>公积转增股本、派息、派发股票红利、股票拆细等股份和红利同时按本激励计划进行锁定。在解锁期，公</w:t>
      </w:r>
      <w:r>
        <w:rPr>
          <w:spacing w:val="-83"/>
        </w:rPr>
        <w:t> </w:t>
      </w:r>
      <w:r>
        <w:rPr>
          <w:spacing w:val="-83"/>
        </w:rPr>
      </w:r>
      <w:r>
        <w:rPr>
          <w:spacing w:val="-1"/>
        </w:rPr>
        <w:t>司为满足解锁条件的激励对象办理解锁事宜，未满足解锁条件的激励对象持有的限制性股票由公司回购注</w:t>
      </w:r>
      <w:r>
        <w:rPr>
          <w:spacing w:val="-81"/>
        </w:rPr>
        <w:t> </w:t>
      </w:r>
      <w:r>
        <w:rPr>
          <w:spacing w:val="-81"/>
        </w:rPr>
      </w:r>
      <w:r>
        <w:rPr/>
        <w:t>销。</w:t>
      </w:r>
    </w:p>
    <w:p>
      <w:pPr>
        <w:pStyle w:val="BodyText"/>
        <w:spacing w:line="408" w:lineRule="auto"/>
        <w:ind w:right="1132" w:firstLine="423"/>
        <w:jc w:val="both"/>
      </w:pPr>
      <w:r>
        <w:rPr>
          <w:spacing w:val="-1"/>
        </w:rPr>
        <w:t>根据公司</w:t>
      </w:r>
      <w:r>
        <w:rPr>
          <w:rFonts w:ascii="宋体" w:hAnsi="宋体" w:cs="宋体" w:eastAsia="宋体" w:hint="default"/>
          <w:spacing w:val="-1"/>
        </w:rPr>
        <w:t>2016</w:t>
      </w:r>
      <w:r>
        <w:rPr>
          <w:spacing w:val="-1"/>
        </w:rPr>
        <w:t>年度股东大会审议通过的《关于</w:t>
      </w:r>
      <w:r>
        <w:rPr>
          <w:rFonts w:ascii="宋体" w:hAnsi="宋体" w:cs="宋体" w:eastAsia="宋体" w:hint="default"/>
          <w:spacing w:val="-1"/>
        </w:rPr>
        <w:t>2016</w:t>
      </w:r>
      <w:r>
        <w:rPr>
          <w:spacing w:val="-1"/>
        </w:rPr>
        <w:t>年度利润分配及资本公积金转增股本的议案》，按</w:t>
      </w:r>
      <w:r>
        <w:rPr/>
        <w:t> 每</w:t>
      </w:r>
      <w:r>
        <w:rPr>
          <w:rFonts w:ascii="宋体" w:hAnsi="宋体" w:cs="宋体" w:eastAsia="宋体" w:hint="default"/>
        </w:rPr>
        <w:t>10</w:t>
      </w:r>
      <w:r>
        <w:rPr/>
        <w:t>股转增</w:t>
      </w:r>
      <w:r>
        <w:rPr>
          <w:rFonts w:ascii="宋体" w:hAnsi="宋体" w:cs="宋体" w:eastAsia="宋体" w:hint="default"/>
        </w:rPr>
        <w:t>15</w:t>
      </w:r>
      <w:r>
        <w:rPr/>
        <w:t>股的比例以资本公积金转增股本，授予的限制性股票数量及回购价格亦作相应的调整。</w:t>
      </w:r>
    </w:p>
    <w:p>
      <w:pPr>
        <w:pStyle w:val="BodyText"/>
        <w:spacing w:line="408" w:lineRule="auto"/>
        <w:ind w:right="1138" w:firstLine="423"/>
        <w:jc w:val="both"/>
      </w:pPr>
      <w:r>
        <w:rPr/>
        <w:t>根据</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日召开的第三届董事会第十六次会议审议通过的《关于公司限制性股票激励计划第 一个解锁期可解锁的议案》第一次解锁的条件已经成就，共申请解锁</w:t>
      </w:r>
      <w:r>
        <w:rPr>
          <w:rFonts w:ascii="宋体" w:hAnsi="宋体" w:cs="宋体" w:eastAsia="宋体" w:hint="default"/>
        </w:rPr>
        <w:t>485</w:t>
      </w:r>
      <w:r>
        <w:rPr/>
        <w:t>万股股票。</w:t>
      </w:r>
    </w:p>
    <w:p>
      <w:pPr>
        <w:pStyle w:val="BodyText"/>
        <w:spacing w:line="408" w:lineRule="auto"/>
        <w:ind w:right="1138" w:firstLine="423"/>
        <w:jc w:val="both"/>
      </w:pPr>
      <w:r>
        <w:rPr/>
        <w:t>根据公司</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日召开的第三届董事会第十六次会议审议通过的《关于回购注销部分限制性股 票的议案》，部分激励对象因离职需回购其所持有的限制性股票，共计回购限制性股票</w:t>
      </w:r>
      <w:r>
        <w:rPr>
          <w:rFonts w:ascii="宋体" w:hAnsi="宋体" w:cs="宋体" w:eastAsia="宋体" w:hint="default"/>
        </w:rPr>
        <w:t>455,000</w:t>
      </w:r>
      <w:r>
        <w:rPr/>
        <w:t>股。</w:t>
      </w:r>
    </w:p>
    <w:p>
      <w:pPr>
        <w:pStyle w:val="BodyText"/>
        <w:spacing w:line="408" w:lineRule="auto"/>
        <w:ind w:right="1132" w:firstLine="423"/>
        <w:jc w:val="both"/>
      </w:pPr>
      <w:r>
        <w:rPr/>
        <w:t>根据</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日召开的第三届董事会第二十次会议审议通过的《关于回购注销部分限制性股票的 </w:t>
      </w:r>
      <w:r>
        <w:rPr>
          <w:spacing w:val="-1"/>
        </w:rPr>
        <w:t>议案》，因</w:t>
      </w:r>
      <w:r>
        <w:rPr>
          <w:rFonts w:ascii="宋体" w:hAnsi="宋体" w:cs="宋体" w:eastAsia="宋体" w:hint="default"/>
          <w:spacing w:val="-1"/>
        </w:rPr>
        <w:t>2017</w:t>
      </w:r>
      <w:r>
        <w:rPr>
          <w:spacing w:val="-1"/>
        </w:rPr>
        <w:t>年度经审计的扣除非经常性损益的净利润未达到解锁要求以及部分激励对象离职，由公司</w:t>
      </w:r>
      <w:r>
        <w:rPr>
          <w:spacing w:val="-82"/>
        </w:rPr>
        <w:t> </w:t>
      </w:r>
      <w:r>
        <w:rPr>
          <w:spacing w:val="-82"/>
        </w:rPr>
      </w:r>
      <w:r>
        <w:rPr/>
        <w:t>回购其所持有的限制性股票共计</w:t>
      </w:r>
      <w:r>
        <w:rPr>
          <w:rFonts w:ascii="宋体" w:hAnsi="宋体" w:cs="宋体" w:eastAsia="宋体" w:hint="default"/>
        </w:rPr>
        <w:t>3,731,250</w:t>
      </w:r>
      <w:r>
        <w:rPr/>
        <w:t>股。</w:t>
      </w:r>
    </w:p>
    <w:p>
      <w:pPr>
        <w:pStyle w:val="Heading4"/>
        <w:spacing w:line="240" w:lineRule="auto" w:before="46"/>
        <w:ind w:right="1122"/>
        <w:jc w:val="left"/>
        <w:rPr>
          <w:b w:val="0"/>
          <w:bCs w:val="0"/>
        </w:rPr>
      </w:pPr>
      <w:bookmarkStart w:name="2、以权益结算的股份支付情况" w:id="453"/>
      <w:bookmarkEnd w:id="453"/>
      <w:r>
        <w:rPr>
          <w:b w:val="0"/>
          <w:bCs w:val="0"/>
        </w:rPr>
      </w:r>
      <w:r>
        <w:rPr>
          <w:rFonts w:ascii="宋体" w:hAnsi="宋体" w:cs="宋体" w:eastAsia="宋体" w:hint="default"/>
        </w:rPr>
        <w:t>2</w:t>
      </w:r>
      <w:r>
        <w:rPr/>
        <w:t>、以权益结算的股份支付情况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985"/>
        <w:gridCol w:w="4584"/>
      </w:tblGrid>
      <w:tr>
        <w:trPr>
          <w:trHeight w:val="415" w:hRule="exact"/>
        </w:trPr>
        <w:tc>
          <w:tcPr>
            <w:tcW w:w="498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Black-Scholes </w:t>
            </w:r>
            <w:r>
              <w:rPr>
                <w:rFonts w:ascii="宋体" w:hAnsi="宋体" w:cs="宋体" w:eastAsia="宋体" w:hint="default"/>
                <w:sz w:val="18"/>
                <w:szCs w:val="18"/>
              </w:rPr>
              <w:t>模型定价</w:t>
            </w:r>
          </w:p>
        </w:tc>
      </w:tr>
      <w:tr>
        <w:trPr>
          <w:trHeight w:val="407" w:hRule="exact"/>
        </w:trPr>
        <w:tc>
          <w:tcPr>
            <w:tcW w:w="4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预计可以达到行权条件，被授予对象均可行权</w:t>
            </w:r>
          </w:p>
        </w:tc>
      </w:tr>
      <w:tr>
        <w:trPr>
          <w:trHeight w:val="407" w:hRule="exact"/>
        </w:trPr>
        <w:tc>
          <w:tcPr>
            <w:tcW w:w="4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14" w:hRule="exact"/>
        </w:trPr>
        <w:tc>
          <w:tcPr>
            <w:tcW w:w="498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9,943,450.20</w:t>
            </w:r>
          </w:p>
        </w:tc>
      </w:tr>
    </w:tbl>
    <w:p>
      <w:pPr>
        <w:spacing w:after="0" w:line="240" w:lineRule="auto"/>
        <w:jc w:val="right"/>
        <w:rPr>
          <w:rFonts w:ascii="宋体" w:hAnsi="宋体" w:cs="宋体" w:eastAsia="宋体" w:hint="default"/>
          <w:sz w:val="18"/>
          <w:szCs w:val="18"/>
        </w:rPr>
        <w:sectPr>
          <w:pgSz w:w="11910" w:h="16840"/>
          <w:pgMar w:header="877" w:footer="1000" w:top="1040" w:bottom="1180" w:left="980" w:right="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4985"/>
        <w:gridCol w:w="4584"/>
      </w:tblGrid>
      <w:tr>
        <w:trPr>
          <w:trHeight w:val="422" w:hRule="exact"/>
        </w:trPr>
        <w:tc>
          <w:tcPr>
            <w:tcW w:w="4985"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-3,609,933.81</w:t>
            </w:r>
          </w:p>
        </w:tc>
      </w:tr>
    </w:tbl>
    <w:p>
      <w:pPr>
        <w:pStyle w:val="Heading4"/>
        <w:spacing w:line="240" w:lineRule="auto" w:before="63"/>
        <w:ind w:right="1122"/>
        <w:jc w:val="left"/>
        <w:rPr>
          <w:b w:val="0"/>
          <w:bCs w:val="0"/>
        </w:rPr>
      </w:pPr>
      <w:bookmarkStart w:name="3、以现金结算的股份支付情况" w:id="454"/>
      <w:bookmarkEnd w:id="454"/>
      <w:r>
        <w:rPr>
          <w:b w:val="0"/>
          <w:bCs w:val="0"/>
        </w:rPr>
      </w:r>
      <w:r>
        <w:rPr>
          <w:rFonts w:ascii="宋体" w:hAnsi="宋体" w:cs="宋体" w:eastAsia="宋体" w:hint="default"/>
        </w:rPr>
        <w:t>3</w:t>
      </w:r>
      <w:r>
        <w:rPr/>
        <w:t>、以现金结算的股份支付情况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90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股份支付的修改、终止情况" w:id="455"/>
      <w:bookmarkEnd w:id="455"/>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其他" w:id="456"/>
      <w:bookmarkEnd w:id="456"/>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line="391" w:lineRule="auto" w:before="46"/>
        <w:ind w:left="154" w:right="802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十四、承诺及或有事项" w:id="457"/>
      <w:bookmarkEnd w:id="457"/>
      <w:r>
        <w:rPr>
          <w:rFonts w:ascii="宋体" w:hAnsi="宋体" w:cs="宋体" w:eastAsia="宋体" w:hint="default"/>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58"/>
      <w:bookmarkEnd w:id="458"/>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21"/>
          <w:szCs w:val="21"/>
        </w:rPr>
        <w:t>资产负债表日存在的重要承诺</w:t>
      </w:r>
    </w:p>
    <w:p>
      <w:pPr>
        <w:pStyle w:val="BodyText"/>
        <w:spacing w:line="408" w:lineRule="auto" w:before="61"/>
        <w:ind w:right="4872"/>
        <w:jc w:val="left"/>
        <w:rPr>
          <w:rFonts w:ascii="宋体" w:hAnsi="宋体" w:cs="宋体" w:eastAsia="宋体" w:hint="default"/>
        </w:rPr>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日，本公司不存在需要披露的重要承诺事项。 </w:t>
      </w:r>
      <w:bookmarkStart w:name="2、或有事项" w:id="459"/>
      <w:bookmarkEnd w:id="459"/>
      <w:r>
        <w:rPr/>
      </w:r>
      <w:r>
        <w:rPr>
          <w:rFonts w:ascii="宋体" w:hAnsi="宋体" w:cs="宋体" w:eastAsia="宋体" w:hint="default"/>
          <w:b/>
          <w:bCs/>
        </w:rPr>
        <w:t>2</w:t>
      </w:r>
      <w:r>
        <w:rPr>
          <w:rFonts w:ascii="宋体" w:hAnsi="宋体" w:cs="宋体" w:eastAsia="宋体" w:hint="default"/>
          <w:b/>
          <w:bCs/>
        </w:rPr>
        <w:t>、或有事项</w:t>
      </w:r>
      <w:r>
        <w:rPr>
          <w:rFonts w:ascii="宋体" w:hAnsi="宋体" w:cs="宋体" w:eastAsia="宋体" w:hint="default"/>
        </w:rPr>
      </w:r>
    </w:p>
    <w:p>
      <w:pPr>
        <w:spacing w:line="408" w:lineRule="auto" w:before="46"/>
        <w:ind w:left="154" w:right="5292" w:firstLine="0"/>
        <w:jc w:val="left"/>
        <w:rPr>
          <w:rFonts w:ascii="宋体" w:hAnsi="宋体" w:cs="宋体" w:eastAsia="宋体" w:hint="default"/>
          <w:sz w:val="21"/>
          <w:szCs w:val="21"/>
        </w:rPr>
      </w:pPr>
      <w:bookmarkStart w:name="（1）资产负债表日存在的重要或有事项" w:id="460"/>
      <w:bookmarkEnd w:id="46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日，本公司不存在需要披露的或有事项。</w:t>
      </w:r>
    </w:p>
    <w:p>
      <w:pPr>
        <w:spacing w:line="408" w:lineRule="auto" w:before="46"/>
        <w:ind w:left="154" w:right="5586" w:firstLine="0"/>
        <w:jc w:val="left"/>
        <w:rPr>
          <w:rFonts w:ascii="宋体" w:hAnsi="宋体" w:cs="宋体" w:eastAsia="宋体" w:hint="default"/>
          <w:sz w:val="21"/>
          <w:szCs w:val="21"/>
        </w:rPr>
      </w:pPr>
      <w:bookmarkStart w:name="（2）公司没有需要披露的重要或有事项，也应予以说明" w:id="461"/>
      <w:bookmarkEnd w:id="46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pStyle w:val="Heading4"/>
        <w:spacing w:line="240" w:lineRule="auto" w:before="46"/>
        <w:ind w:right="1122"/>
        <w:jc w:val="left"/>
        <w:rPr>
          <w:b w:val="0"/>
          <w:bCs w:val="0"/>
        </w:rPr>
      </w:pPr>
      <w:bookmarkStart w:name="3、其他" w:id="462"/>
      <w:bookmarkEnd w:id="462"/>
      <w:r>
        <w:rPr>
          <w:b w:val="0"/>
          <w:bCs w:val="0"/>
        </w:rPr>
      </w:r>
      <w:r>
        <w:rPr>
          <w:rFonts w:ascii="宋体" w:hAnsi="宋体" w:cs="宋体" w:eastAsia="宋体" w:hint="default"/>
        </w:rPr>
        <w:t>3</w:t>
      </w:r>
      <w:r>
        <w:rPr/>
        <w:t>、其他</w:t>
      </w:r>
      <w:r>
        <w:rPr>
          <w:b w:val="0"/>
          <w:bCs w:val="0"/>
        </w:rPr>
      </w:r>
    </w:p>
    <w:p>
      <w:pPr>
        <w:spacing w:line="240" w:lineRule="auto" w:before="10"/>
        <w:rPr>
          <w:rFonts w:ascii="宋体" w:hAnsi="宋体" w:cs="宋体" w:eastAsia="宋体" w:hint="default"/>
          <w:b/>
          <w:bCs/>
          <w:sz w:val="14"/>
          <w:szCs w:val="14"/>
        </w:rPr>
      </w:pPr>
    </w:p>
    <w:p>
      <w:pPr>
        <w:spacing w:line="381" w:lineRule="auto" w:before="0"/>
        <w:ind w:left="154" w:right="655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十五、资产负债表日后事项" w:id="463"/>
      <w:bookmarkEnd w:id="463"/>
      <w:r>
        <w:rPr>
          <w:rFonts w:ascii="宋体" w:hAnsi="宋体" w:cs="宋体" w:eastAsia="宋体" w:hint="default"/>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bookmarkStart w:name="1、重要的非调整事项" w:id="464"/>
      <w:bookmarkEnd w:id="464"/>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line="408" w:lineRule="auto" w:before="69"/>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利润分配情况" w:id="465"/>
      <w:bookmarkEnd w:id="465"/>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tbl>
      <w:tblPr>
        <w:tblW w:w="0" w:type="auto"/>
        <w:jc w:val="left"/>
        <w:tblInd w:w="138" w:type="dxa"/>
        <w:tblLayout w:type="fixed"/>
        <w:tblCellMar>
          <w:top w:w="0" w:type="dxa"/>
          <w:left w:w="0" w:type="dxa"/>
          <w:bottom w:w="0" w:type="dxa"/>
          <w:right w:w="0" w:type="dxa"/>
        </w:tblCellMar>
        <w:tblLook w:val="01E0"/>
      </w:tblPr>
      <w:tblGrid>
        <w:gridCol w:w="4985"/>
        <w:gridCol w:w="4584"/>
      </w:tblGrid>
      <w:tr>
        <w:trPr>
          <w:trHeight w:val="414" w:hRule="exact"/>
        </w:trPr>
        <w:tc>
          <w:tcPr>
            <w:tcW w:w="498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0.00</w:t>
            </w:r>
          </w:p>
        </w:tc>
      </w:tr>
      <w:tr>
        <w:trPr>
          <w:trHeight w:val="414" w:hRule="exact"/>
        </w:trPr>
        <w:tc>
          <w:tcPr>
            <w:tcW w:w="498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35"/>
              <w:ind w:left="1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11"/>
              <w:jc w:val="right"/>
              <w:rPr>
                <w:rFonts w:ascii="宋体" w:hAnsi="宋体" w:cs="宋体" w:eastAsia="宋体" w:hint="default"/>
                <w:sz w:val="18"/>
                <w:szCs w:val="18"/>
              </w:rPr>
            </w:pPr>
            <w:r>
              <w:rPr>
                <w:rFonts w:ascii="宋体"/>
                <w:sz w:val="18"/>
              </w:rPr>
              <w:t>0.00</w:t>
            </w:r>
          </w:p>
        </w:tc>
      </w:tr>
    </w:tbl>
    <w:p>
      <w:pPr>
        <w:pStyle w:val="Heading4"/>
        <w:spacing w:line="240" w:lineRule="auto" w:before="46"/>
        <w:ind w:right="1122"/>
        <w:jc w:val="left"/>
        <w:rPr>
          <w:b w:val="0"/>
          <w:bCs w:val="0"/>
        </w:rPr>
      </w:pPr>
      <w:bookmarkStart w:name="3、 销售退回" w:id="466"/>
      <w:bookmarkEnd w:id="466"/>
      <w:r>
        <w:rPr>
          <w:b w:val="0"/>
          <w:bCs w:val="0"/>
        </w:rPr>
      </w:r>
      <w:r>
        <w:rPr>
          <w:rFonts w:ascii="宋体" w:hAnsi="宋体" w:cs="宋体" w:eastAsia="宋体" w:hint="default"/>
        </w:rPr>
        <w:t>3</w:t>
      </w:r>
      <w:r>
        <w:rPr/>
        <w:t>、销售退回</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69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 其他资产负债表日后事项说明" w:id="467"/>
      <w:bookmarkEnd w:id="467"/>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pStyle w:val="BodyText"/>
        <w:tabs>
          <w:tab w:pos="995" w:val="left" w:leader="none"/>
        </w:tabs>
        <w:spacing w:line="240" w:lineRule="auto"/>
        <w:ind w:right="1122"/>
        <w:jc w:val="left"/>
      </w:pPr>
      <w:r>
        <w:rPr/>
        <w:t>√适用</w:t>
        <w:tab/>
        <w:t>□不适用</w:t>
      </w:r>
    </w:p>
    <w:p>
      <w:pPr>
        <w:spacing w:line="240" w:lineRule="auto" w:before="10"/>
        <w:rPr>
          <w:rFonts w:ascii="宋体" w:hAnsi="宋体" w:cs="宋体" w:eastAsia="宋体" w:hint="default"/>
          <w:sz w:val="14"/>
          <w:szCs w:val="14"/>
        </w:rPr>
      </w:pPr>
    </w:p>
    <w:p>
      <w:pPr>
        <w:pStyle w:val="BodyText"/>
        <w:spacing w:line="408" w:lineRule="auto" w:before="0"/>
        <w:ind w:right="1120" w:firstLine="420"/>
        <w:jc w:val="left"/>
      </w:pPr>
      <w:r>
        <w:rPr/>
        <w:t>根据公司</w:t>
      </w:r>
      <w:r>
        <w:rPr>
          <w:spacing w:val="-57"/>
        </w:rPr>
        <w:t> </w:t>
      </w:r>
      <w:r>
        <w:rPr>
          <w:rFonts w:ascii="宋体" w:hAnsi="宋体" w:cs="宋体" w:eastAsia="宋体" w:hint="default"/>
        </w:rPr>
        <w:t>2019</w:t>
      </w:r>
      <w:r>
        <w:rPr>
          <w:rFonts w:ascii="宋体" w:hAnsi="宋体" w:cs="宋体" w:eastAsia="宋体" w:hint="default"/>
          <w:spacing w:val="-57"/>
        </w:rPr>
        <w:t> </w:t>
      </w:r>
      <w:r>
        <w:rPr/>
        <w:t>年</w:t>
      </w:r>
      <w:r>
        <w:rPr>
          <w:spacing w:val="-58"/>
        </w:rPr>
        <w:t> </w:t>
      </w:r>
      <w:r>
        <w:rPr>
          <w:rFonts w:ascii="宋体" w:hAnsi="宋体" w:cs="宋体" w:eastAsia="宋体" w:hint="default"/>
        </w:rPr>
        <w:t>4</w:t>
      </w:r>
      <w:r>
        <w:rPr>
          <w:rFonts w:ascii="宋体" w:hAnsi="宋体" w:cs="宋体" w:eastAsia="宋体" w:hint="default"/>
          <w:spacing w:val="-57"/>
        </w:rPr>
        <w:t> </w:t>
      </w:r>
      <w:r>
        <w:rPr/>
        <w:t>月</w:t>
      </w:r>
      <w:r>
        <w:rPr>
          <w:spacing w:val="-58"/>
        </w:rPr>
        <w:t> </w:t>
      </w:r>
      <w:r>
        <w:rPr>
          <w:rFonts w:ascii="宋体" w:hAnsi="宋体" w:cs="宋体" w:eastAsia="宋体" w:hint="default"/>
        </w:rPr>
        <w:t>19</w:t>
      </w:r>
      <w:r>
        <w:rPr>
          <w:rFonts w:ascii="宋体" w:hAnsi="宋体" w:cs="宋体" w:eastAsia="宋体" w:hint="default"/>
          <w:spacing w:val="-57"/>
        </w:rPr>
        <w:t> </w:t>
      </w:r>
      <w:r>
        <w:rPr/>
        <w:t>日第四届董事会第二次会议预案，</w:t>
      </w:r>
      <w:r>
        <w:rPr>
          <w:rFonts w:ascii="宋体" w:hAnsi="宋体" w:cs="宋体" w:eastAsia="宋体" w:hint="default"/>
        </w:rPr>
        <w:t>2018</w:t>
      </w:r>
      <w:r>
        <w:rPr>
          <w:rFonts w:ascii="宋体" w:hAnsi="宋体" w:cs="宋体" w:eastAsia="宋体" w:hint="default"/>
          <w:spacing w:val="-56"/>
        </w:rPr>
        <w:t> </w:t>
      </w:r>
      <w:r>
        <w:rPr>
          <w:spacing w:val="-3"/>
        </w:rPr>
        <w:t>年度拟不分派现金红利，不以资本公</w:t>
      </w:r>
      <w:r>
        <w:rPr/>
        <w:t> 积金转增股本。</w:t>
      </w:r>
    </w:p>
    <w:p>
      <w:pPr>
        <w:spacing w:after="0" w:line="408" w:lineRule="auto"/>
        <w:jc w:val="left"/>
        <w:sectPr>
          <w:pgSz w:w="11910" w:h="16840"/>
          <w:pgMar w:header="877" w:footer="1000" w:top="1040" w:bottom="1180" w:left="980" w:right="0"/>
        </w:sectPr>
      </w:pPr>
    </w:p>
    <w:p>
      <w:pPr>
        <w:spacing w:line="240" w:lineRule="auto" w:before="0"/>
        <w:rPr>
          <w:rFonts w:ascii="宋体" w:hAnsi="宋体" w:cs="宋体" w:eastAsia="宋体" w:hint="default"/>
          <w:sz w:val="20"/>
          <w:szCs w:val="20"/>
        </w:rPr>
      </w:pPr>
      <w:r>
        <w:rPr/>
        <w:pict>
          <v:group style="position:absolute;margin-left:164.479996pt;margin-top:436.059998pt;width:68.05pt;height:31.2pt;mso-position-horizontal-relative:page;mso-position-vertical-relative:page;z-index:-903592" coordorigin="3290,8721" coordsize="1361,624">
            <v:group style="position:absolute;left:3290;top:8721;width:1361;height:312" coordorigin="3290,8721" coordsize="1361,312">
              <v:shape style="position:absolute;left:3290;top:8721;width:1361;height:312" coordorigin="3290,8721" coordsize="1361,312" path="m3290,9033l4650,9033,4650,8721,3290,8721,3290,9033xe" filled="true" fillcolor="#ffffff" stroked="false">
                <v:path arrowok="t"/>
                <v:fill type="solid"/>
              </v:shape>
            </v:group>
            <v:group style="position:absolute;left:3290;top:9033;width:1361;height:312" coordorigin="3290,9033" coordsize="1361,312">
              <v:shape style="position:absolute;left:3290;top:9033;width:1361;height:312" coordorigin="3290,9033" coordsize="1361,312" path="m3290,9345l4650,9345,4650,9033,3290,9033,3290,9345xe" filled="true" fillcolor="#ffffff" stroked="false">
                <v:path arrowok="t"/>
                <v:fill type="solid"/>
              </v:shape>
            </v:group>
            <w10:wrap type="none"/>
          </v:group>
        </w:pict>
      </w:r>
    </w:p>
    <w:p>
      <w:pPr>
        <w:spacing w:line="240" w:lineRule="auto" w:before="1"/>
        <w:rPr>
          <w:rFonts w:ascii="宋体" w:hAnsi="宋体" w:cs="宋体" w:eastAsia="宋体" w:hint="default"/>
          <w:sz w:val="14"/>
          <w:szCs w:val="14"/>
        </w:rPr>
      </w:pPr>
    </w:p>
    <w:p>
      <w:pPr>
        <w:pStyle w:val="BodyText"/>
        <w:spacing w:line="240" w:lineRule="auto" w:before="0"/>
        <w:ind w:left="574" w:right="0"/>
        <w:jc w:val="left"/>
      </w:pPr>
      <w:r>
        <w:rPr/>
        <w:t>截至财务报告批准报出日，公司新增短期借款</w:t>
      </w:r>
      <w:r>
        <w:rPr>
          <w:spacing w:val="-60"/>
        </w:rPr>
        <w:t> </w:t>
      </w:r>
      <w:r>
        <w:rPr>
          <w:rFonts w:ascii="宋体" w:hAnsi="宋体" w:cs="宋体" w:eastAsia="宋体" w:hint="default"/>
        </w:rPr>
        <w:t>7,600.00</w:t>
      </w:r>
      <w:r>
        <w:rPr>
          <w:rFonts w:ascii="宋体" w:hAnsi="宋体" w:cs="宋体" w:eastAsia="宋体" w:hint="default"/>
          <w:spacing w:val="-60"/>
        </w:rPr>
        <w:t> </w:t>
      </w:r>
      <w:r>
        <w:rPr/>
        <w:t>万元，归还短期借款</w:t>
      </w:r>
      <w:r>
        <w:rPr>
          <w:spacing w:val="-60"/>
        </w:rPr>
        <w:t> </w:t>
      </w:r>
      <w:r>
        <w:rPr>
          <w:rFonts w:ascii="宋体" w:hAnsi="宋体" w:cs="宋体" w:eastAsia="宋体" w:hint="default"/>
        </w:rPr>
        <w:t>5,700.00</w:t>
      </w:r>
      <w:r>
        <w:rPr>
          <w:rFonts w:ascii="宋体" w:hAnsi="宋体" w:cs="宋体" w:eastAsia="宋体" w:hint="default"/>
          <w:spacing w:val="-60"/>
        </w:rPr>
        <w:t> </w:t>
      </w:r>
      <w:r>
        <w:rPr/>
        <w:t>万元，归还长</w:t>
      </w:r>
    </w:p>
    <w:p>
      <w:pPr>
        <w:spacing w:line="240" w:lineRule="auto" w:before="10"/>
        <w:rPr>
          <w:rFonts w:ascii="宋体" w:hAnsi="宋体" w:cs="宋体" w:eastAsia="宋体" w:hint="default"/>
          <w:sz w:val="14"/>
          <w:szCs w:val="14"/>
        </w:rPr>
      </w:pPr>
    </w:p>
    <w:p>
      <w:pPr>
        <w:spacing w:line="381" w:lineRule="auto" w:before="0"/>
        <w:ind w:left="154" w:right="8564" w:firstLine="0"/>
        <w:jc w:val="both"/>
        <w:rPr>
          <w:rFonts w:ascii="宋体" w:hAnsi="宋体" w:cs="宋体" w:eastAsia="宋体" w:hint="default"/>
          <w:sz w:val="21"/>
          <w:szCs w:val="21"/>
        </w:rPr>
      </w:pPr>
      <w:r>
        <w:rPr>
          <w:rFonts w:ascii="宋体" w:hAnsi="宋体" w:cs="宋体" w:eastAsia="宋体" w:hint="default"/>
          <w:sz w:val="21"/>
          <w:szCs w:val="21"/>
        </w:rPr>
        <w:t>期借款</w:t>
      </w:r>
      <w:r>
        <w:rPr>
          <w:rFonts w:ascii="宋体" w:hAnsi="宋体" w:cs="宋体" w:eastAsia="宋体" w:hint="default"/>
          <w:spacing w:val="-52"/>
          <w:sz w:val="21"/>
          <w:szCs w:val="21"/>
        </w:rPr>
        <w:t> </w:t>
      </w:r>
      <w:r>
        <w:rPr>
          <w:rFonts w:ascii="宋体" w:hAnsi="宋体" w:cs="宋体" w:eastAsia="宋体" w:hint="default"/>
          <w:sz w:val="21"/>
          <w:szCs w:val="21"/>
        </w:rPr>
        <w:t>1,381.00</w:t>
      </w:r>
      <w:r>
        <w:rPr>
          <w:rFonts w:ascii="宋体" w:hAnsi="宋体" w:cs="宋体" w:eastAsia="宋体" w:hint="default"/>
          <w:spacing w:val="-53"/>
          <w:sz w:val="21"/>
          <w:szCs w:val="21"/>
        </w:rPr>
        <w:t> </w:t>
      </w:r>
      <w:r>
        <w:rPr>
          <w:rFonts w:ascii="宋体" w:hAnsi="宋体" w:cs="宋体" w:eastAsia="宋体" w:hint="default"/>
          <w:sz w:val="21"/>
          <w:szCs w:val="21"/>
        </w:rPr>
        <w:t>万元。 </w:t>
      </w:r>
      <w:bookmarkStart w:name="十六、其他重要事项" w:id="468"/>
      <w:bookmarkEnd w:id="468"/>
      <w:r>
        <w:rPr>
          <w:rFonts w:ascii="宋体" w:hAnsi="宋体" w:cs="宋体" w:eastAsia="宋体" w:hint="default"/>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69"/>
      <w:bookmarkEnd w:id="469"/>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69"/>
        <w:ind w:right="0"/>
        <w:jc w:val="both"/>
        <w:rPr>
          <w:b w:val="0"/>
          <w:bCs w:val="0"/>
        </w:rPr>
      </w:pPr>
      <w:bookmarkStart w:name="（1）追溯重述法" w:id="470"/>
      <w:bookmarkEnd w:id="470"/>
      <w:r>
        <w:rPr>
          <w:b w:val="0"/>
          <w:bCs w:val="0"/>
        </w:rPr>
      </w:r>
      <w:r>
        <w:rPr/>
        <w:t>（</w:t>
      </w:r>
      <w:r>
        <w:rPr>
          <w:rFonts w:ascii="宋体" w:hAnsi="宋体" w:cs="宋体" w:eastAsia="宋体" w:hint="default"/>
        </w:rPr>
        <w:t>1</w:t>
      </w:r>
      <w:r>
        <w:rPr/>
        <w:t>）追溯重述法</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2139"/>
        <w:gridCol w:w="1406"/>
        <w:gridCol w:w="4537"/>
        <w:gridCol w:w="1487"/>
      </w:tblGrid>
      <w:tr>
        <w:trPr>
          <w:trHeight w:val="415" w:hRule="exact"/>
        </w:trPr>
        <w:tc>
          <w:tcPr>
            <w:tcW w:w="213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140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处理程序</w:t>
            </w:r>
          </w:p>
        </w:tc>
        <w:tc>
          <w:tcPr>
            <w:tcW w:w="45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受影响的各个比较期间报表项目名称</w:t>
            </w:r>
          </w:p>
        </w:tc>
        <w:tc>
          <w:tcPr>
            <w:tcW w:w="148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7" w:hRule="exact"/>
        </w:trPr>
        <w:tc>
          <w:tcPr>
            <w:tcW w:w="2139" w:type="dxa"/>
            <w:vMerge w:val="restart"/>
            <w:tcBorders>
              <w:top w:val="single" w:sz="6" w:space="0" w:color="000000"/>
              <w:left w:val="single" w:sz="12" w:space="0" w:color="000000"/>
              <w:right w:val="single" w:sz="9"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2"/>
              <w:ind w:left="13" w:right="26"/>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年度审计结果， 审计师对房产处置收入的 </w:t>
            </w:r>
            <w:r>
              <w:rPr>
                <w:rFonts w:ascii="宋体" w:hAnsi="宋体" w:cs="宋体" w:eastAsia="宋体" w:hint="default"/>
                <w:spacing w:val="-8"/>
                <w:sz w:val="18"/>
                <w:szCs w:val="18"/>
              </w:rPr>
              <w:t>确认时点进行了更正。公司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在编制</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年半年度财务 报告过程中以</w:t>
            </w:r>
            <w:r>
              <w:rPr>
                <w:rFonts w:ascii="宋体" w:hAnsi="宋体" w:cs="宋体" w:eastAsia="宋体" w:hint="default"/>
                <w:sz w:val="18"/>
                <w:szCs w:val="18"/>
              </w:rPr>
              <w:t>"</w:t>
            </w:r>
            <w:r>
              <w:rPr>
                <w:rFonts w:ascii="宋体" w:hAnsi="宋体" w:cs="宋体" w:eastAsia="宋体" w:hint="default"/>
                <w:sz w:val="18"/>
                <w:szCs w:val="18"/>
              </w:rPr>
              <w:t>房产证权属 </w:t>
            </w:r>
            <w:r>
              <w:rPr>
                <w:rFonts w:ascii="宋体" w:hAnsi="宋体" w:cs="宋体" w:eastAsia="宋体" w:hint="default"/>
                <w:spacing w:val="-8"/>
                <w:sz w:val="18"/>
                <w:szCs w:val="18"/>
              </w:rPr>
              <w:t>已变更、公司已收到该事项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绝大部分款项</w:t>
            </w:r>
            <w:r>
              <w:rPr>
                <w:rFonts w:ascii="宋体" w:hAnsi="宋体" w:cs="宋体" w:eastAsia="宋体" w:hint="default"/>
                <w:sz w:val="18"/>
                <w:szCs w:val="18"/>
              </w:rPr>
              <w:t>"</w:t>
            </w:r>
            <w:r>
              <w:rPr>
                <w:rFonts w:ascii="宋体" w:hAnsi="宋体" w:cs="宋体" w:eastAsia="宋体" w:hint="default"/>
                <w:sz w:val="18"/>
                <w:szCs w:val="18"/>
              </w:rPr>
              <w:t>为条件将此 房产处置收入进行了确认 </w:t>
            </w:r>
            <w:r>
              <w:rPr>
                <w:rFonts w:ascii="宋体" w:hAnsi="宋体" w:cs="宋体" w:eastAsia="宋体" w:hint="default"/>
                <w:spacing w:val="-8"/>
                <w:sz w:val="18"/>
                <w:szCs w:val="18"/>
              </w:rPr>
              <w:t>而公司接受年底审计时，审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计师认为该房产移交手续 </w:t>
            </w:r>
            <w:r>
              <w:rPr>
                <w:rFonts w:ascii="宋体" w:hAnsi="宋体" w:cs="宋体" w:eastAsia="宋体" w:hint="default"/>
                <w:spacing w:val="-8"/>
                <w:sz w:val="18"/>
                <w:szCs w:val="18"/>
              </w:rPr>
              <w:t>不全，基于谨慎性原则不予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确认该项房产处置收入。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年度财务人员对</w:t>
            </w:r>
            <w:r>
              <w:rPr>
                <w:rFonts w:ascii="宋体" w:hAnsi="宋体" w:cs="宋体" w:eastAsia="宋体" w:hint="default"/>
                <w:sz w:val="18"/>
                <w:szCs w:val="18"/>
              </w:rPr>
              <w:t>"</w:t>
            </w:r>
            <w:r>
              <w:rPr>
                <w:rFonts w:ascii="宋体" w:hAnsi="宋体" w:cs="宋体" w:eastAsia="宋体" w:hint="default"/>
                <w:sz w:val="18"/>
                <w:szCs w:val="18"/>
              </w:rPr>
              <w:t>其 他收益</w:t>
            </w:r>
            <w:r>
              <w:rPr>
                <w:rFonts w:ascii="宋体" w:hAnsi="宋体" w:cs="宋体" w:eastAsia="宋体" w:hint="default"/>
                <w:sz w:val="18"/>
                <w:szCs w:val="18"/>
              </w:rPr>
              <w:t>"</w:t>
            </w:r>
            <w:r>
              <w:rPr>
                <w:rFonts w:ascii="宋体" w:hAnsi="宋体" w:cs="宋体" w:eastAsia="宋体" w:hint="default"/>
                <w:sz w:val="18"/>
                <w:szCs w:val="18"/>
              </w:rPr>
              <w:t>和</w:t>
            </w:r>
            <w:r>
              <w:rPr>
                <w:rFonts w:ascii="宋体" w:hAnsi="宋体" w:cs="宋体" w:eastAsia="宋体" w:hint="default"/>
                <w:sz w:val="18"/>
                <w:szCs w:val="18"/>
              </w:rPr>
              <w:t>"</w:t>
            </w:r>
            <w:r>
              <w:rPr>
                <w:rFonts w:ascii="宋体" w:hAnsi="宋体" w:cs="宋体" w:eastAsia="宋体" w:hint="default"/>
                <w:sz w:val="18"/>
                <w:szCs w:val="18"/>
              </w:rPr>
              <w:t>营业外收入</w:t>
            </w:r>
            <w:r>
              <w:rPr>
                <w:rFonts w:ascii="宋体" w:hAnsi="宋体" w:cs="宋体" w:eastAsia="宋体" w:hint="default"/>
                <w:sz w:val="18"/>
                <w:szCs w:val="18"/>
              </w:rPr>
              <w:t>"</w:t>
            </w:r>
            <w:r>
              <w:rPr>
                <w:rFonts w:ascii="宋体" w:hAnsi="宋体" w:cs="宋体" w:eastAsia="宋体" w:hint="default"/>
                <w:sz w:val="18"/>
                <w:szCs w:val="18"/>
              </w:rPr>
              <w:t>中 的政府补助事项概念不清 </w:t>
            </w:r>
            <w:r>
              <w:rPr>
                <w:rFonts w:ascii="宋体" w:hAnsi="宋体" w:cs="宋体" w:eastAsia="宋体" w:hint="default"/>
                <w:spacing w:val="-8"/>
                <w:sz w:val="18"/>
                <w:szCs w:val="18"/>
              </w:rPr>
              <w:t>晰，需将与公司经营活动相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关的政府补助从</w:t>
            </w:r>
            <w:r>
              <w:rPr>
                <w:rFonts w:ascii="宋体" w:hAnsi="宋体" w:cs="宋体" w:eastAsia="宋体" w:hint="default"/>
                <w:sz w:val="18"/>
                <w:szCs w:val="18"/>
              </w:rPr>
              <w:t>"</w:t>
            </w:r>
            <w:r>
              <w:rPr>
                <w:rFonts w:ascii="宋体" w:hAnsi="宋体" w:cs="宋体" w:eastAsia="宋体" w:hint="default"/>
                <w:sz w:val="18"/>
                <w:szCs w:val="18"/>
              </w:rPr>
              <w:t>营业外收 入</w:t>
            </w:r>
            <w:r>
              <w:rPr>
                <w:rFonts w:ascii="宋体" w:hAnsi="宋体" w:cs="宋体" w:eastAsia="宋体" w:hint="default"/>
                <w:sz w:val="18"/>
                <w:szCs w:val="18"/>
              </w:rPr>
              <w:t>"</w:t>
            </w:r>
            <w:r>
              <w:rPr>
                <w:rFonts w:ascii="宋体" w:hAnsi="宋体" w:cs="宋体" w:eastAsia="宋体" w:hint="default"/>
                <w:sz w:val="18"/>
                <w:szCs w:val="18"/>
              </w:rPr>
              <w:t>重分类至</w:t>
            </w:r>
            <w:r>
              <w:rPr>
                <w:rFonts w:ascii="宋体" w:hAnsi="宋体" w:cs="宋体" w:eastAsia="宋体" w:hint="default"/>
                <w:sz w:val="18"/>
                <w:szCs w:val="18"/>
              </w:rPr>
              <w:t>"</w:t>
            </w:r>
            <w:r>
              <w:rPr>
                <w:rFonts w:ascii="宋体" w:hAnsi="宋体" w:cs="宋体" w:eastAsia="宋体" w:hint="default"/>
                <w:sz w:val="18"/>
                <w:szCs w:val="18"/>
              </w:rPr>
              <w:t>其他收益</w:t>
            </w:r>
            <w:r>
              <w:rPr>
                <w:rFonts w:ascii="宋体" w:hAnsi="宋体" w:cs="宋体" w:eastAsia="宋体" w:hint="default"/>
                <w:sz w:val="18"/>
                <w:szCs w:val="18"/>
              </w:rPr>
              <w:t>"</w:t>
            </w:r>
            <w:r>
              <w:rPr>
                <w:rFonts w:ascii="宋体" w:hAnsi="宋体" w:cs="宋体" w:eastAsia="宋体" w:hint="default"/>
                <w:sz w:val="18"/>
                <w:szCs w:val="18"/>
              </w:rPr>
              <w:t>科 目</w:t>
            </w:r>
          </w:p>
        </w:tc>
        <w:tc>
          <w:tcPr>
            <w:tcW w:w="1406" w:type="dxa"/>
            <w:vMerge w:val="restart"/>
            <w:tcBorders>
              <w:top w:val="single" w:sz="6" w:space="0" w:color="000000"/>
              <w:left w:val="single" w:sz="9" w:space="0" w:color="FFFFFF"/>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5"/>
              <w:ind w:left="6" w:right="18"/>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 召开第三届董事 会第二十五次会 </w:t>
            </w:r>
            <w:r>
              <w:rPr>
                <w:rFonts w:ascii="宋体" w:hAnsi="宋体" w:cs="宋体" w:eastAsia="宋体" w:hint="default"/>
                <w:spacing w:val="-10"/>
                <w:sz w:val="18"/>
                <w:szCs w:val="18"/>
              </w:rPr>
              <w:t>议、第三届监事会</w:t>
            </w:r>
            <w:r>
              <w:rPr>
                <w:rFonts w:ascii="宋体" w:hAnsi="宋体" w:cs="宋体" w:eastAsia="宋体" w:hint="default"/>
                <w:sz w:val="18"/>
                <w:szCs w:val="18"/>
              </w:rPr>
              <w:t> </w:t>
            </w:r>
            <w:r>
              <w:rPr>
                <w:rFonts w:ascii="宋体" w:hAnsi="宋体" w:cs="宋体" w:eastAsia="宋体" w:hint="default"/>
                <w:spacing w:val="-20"/>
                <w:sz w:val="18"/>
                <w:szCs w:val="18"/>
              </w:rPr>
              <w:t>第十八次会议，审</w:t>
            </w:r>
            <w:r>
              <w:rPr>
                <w:rFonts w:ascii="宋体" w:hAnsi="宋体" w:cs="宋体" w:eastAsia="宋体" w:hint="default"/>
                <w:spacing w:val="-80"/>
                <w:sz w:val="18"/>
                <w:szCs w:val="18"/>
              </w:rPr>
              <w:t> </w:t>
            </w:r>
            <w:r>
              <w:rPr>
                <w:rFonts w:ascii="宋体" w:hAnsi="宋体" w:cs="宋体" w:eastAsia="宋体" w:hint="default"/>
                <w:spacing w:val="-10"/>
                <w:sz w:val="18"/>
                <w:szCs w:val="18"/>
              </w:rPr>
              <w:t>议通过了《关于前</w:t>
            </w:r>
            <w:r>
              <w:rPr>
                <w:rFonts w:ascii="宋体" w:hAnsi="宋体" w:cs="宋体" w:eastAsia="宋体" w:hint="default"/>
                <w:sz w:val="18"/>
                <w:szCs w:val="18"/>
              </w:rPr>
              <w:t> 期会计差错更正 及追溯调整的议</w:t>
            </w:r>
          </w:p>
          <w:p>
            <w:pPr>
              <w:pStyle w:val="TableParagraph"/>
              <w:spacing w:line="196" w:lineRule="exact" w:before="19"/>
              <w:ind w:left="6"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同意根</w:t>
            </w:r>
            <w:r>
              <w:rPr>
                <w:rFonts w:ascii="宋体" w:hAnsi="宋体" w:cs="宋体" w:eastAsia="宋体" w:hint="default"/>
                <w:spacing w:val="-85"/>
                <w:sz w:val="18"/>
                <w:szCs w:val="18"/>
              </w:rPr>
              <w:t>据</w:t>
            </w:r>
            <w:r>
              <w:rPr>
                <w:rFonts w:ascii="宋体" w:hAnsi="宋体" w:cs="宋体" w:eastAsia="宋体" w:hint="default"/>
                <w:spacing w:val="-2"/>
                <w:sz w:val="18"/>
                <w:szCs w:val="18"/>
              </w:rPr>
              <w:t>《</w:t>
            </w:r>
            <w:r>
              <w:rPr>
                <w:rFonts w:ascii="宋体" w:hAnsi="宋体" w:cs="宋体" w:eastAsia="宋体" w:hint="default"/>
                <w:sz w:val="18"/>
                <w:szCs w:val="18"/>
              </w:rPr>
              <w:t>企</w:t>
            </w:r>
          </w:p>
          <w:p>
            <w:pPr>
              <w:pStyle w:val="TableParagraph"/>
              <w:spacing w:line="15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6"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宋体" w:hAnsi="宋体" w:cs="宋体" w:eastAsia="宋体" w:hint="default"/>
                <w:sz w:val="18"/>
                <w:szCs w:val="18"/>
              </w:rPr>
              <w:t>28</w:t>
            </w:r>
          </w:p>
          <w:p>
            <w:pPr>
              <w:pStyle w:val="TableParagraph"/>
              <w:spacing w:line="319" w:lineRule="auto" w:before="76"/>
              <w:ind w:left="6" w:right="18"/>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会计政策、会 计估计变更和差 </w:t>
            </w:r>
            <w:r>
              <w:rPr>
                <w:rFonts w:ascii="宋体" w:hAnsi="宋体" w:cs="宋体" w:eastAsia="宋体" w:hint="default"/>
                <w:spacing w:val="-29"/>
                <w:sz w:val="18"/>
                <w:szCs w:val="18"/>
              </w:rPr>
              <w:t>错更正》、《公开发</w:t>
            </w:r>
            <w:r>
              <w:rPr>
                <w:rFonts w:ascii="宋体" w:hAnsi="宋体" w:cs="宋体" w:eastAsia="宋体" w:hint="default"/>
                <w:sz w:val="18"/>
                <w:szCs w:val="18"/>
              </w:rPr>
              <w:t> 行证券的公司信 息披露编报规则 第</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财务信 息的更正及相关 </w:t>
            </w:r>
            <w:r>
              <w:rPr>
                <w:rFonts w:ascii="宋体" w:hAnsi="宋体" w:cs="宋体" w:eastAsia="宋体" w:hint="default"/>
                <w:spacing w:val="-10"/>
                <w:sz w:val="18"/>
                <w:szCs w:val="18"/>
              </w:rPr>
              <w:t>披露》的相关规定</w:t>
            </w:r>
            <w:r>
              <w:rPr>
                <w:rFonts w:ascii="宋体" w:hAnsi="宋体" w:cs="宋体" w:eastAsia="宋体" w:hint="default"/>
                <w:sz w:val="18"/>
                <w:szCs w:val="18"/>
              </w:rPr>
              <w:t> </w:t>
            </w:r>
            <w:r>
              <w:rPr>
                <w:rFonts w:ascii="宋体" w:hAnsi="宋体" w:cs="宋体" w:eastAsia="宋体" w:hint="default"/>
                <w:spacing w:val="-10"/>
                <w:sz w:val="18"/>
                <w:szCs w:val="18"/>
              </w:rPr>
              <w:t>和要求，对公司前</w:t>
            </w:r>
            <w:r>
              <w:rPr>
                <w:rFonts w:ascii="宋体" w:hAnsi="宋体" w:cs="宋体" w:eastAsia="宋体" w:hint="default"/>
                <w:sz w:val="18"/>
                <w:szCs w:val="18"/>
              </w:rPr>
              <w:t> 期会计差错进行 更正并追溯调整 相关财务数据</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年半年度合并财务报表</w:t>
            </w:r>
            <w:r>
              <w:rPr>
                <w:rFonts w:ascii="宋体" w:hAnsi="宋体" w:cs="宋体" w:eastAsia="宋体" w:hint="default"/>
                <w:sz w:val="18"/>
                <w:szCs w:val="18"/>
              </w:rPr>
              <w:t>/</w:t>
            </w:r>
            <w:r>
              <w:rPr>
                <w:rFonts w:ascii="宋体" w:hAnsi="宋体" w:cs="宋体" w:eastAsia="宋体" w:hint="default"/>
                <w:sz w:val="18"/>
                <w:szCs w:val="18"/>
              </w:rPr>
              <w:t>应收账款</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-17,460,000.00</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年半年度合并资产负债表</w:t>
            </w:r>
            <w:r>
              <w:rPr>
                <w:rFonts w:ascii="宋体" w:hAnsi="宋体" w:cs="宋体" w:eastAsia="宋体" w:hint="default"/>
                <w:sz w:val="18"/>
                <w:szCs w:val="18"/>
              </w:rPr>
              <w:t>/</w:t>
            </w:r>
            <w:r>
              <w:rPr>
                <w:rFonts w:ascii="宋体" w:hAnsi="宋体" w:cs="宋体" w:eastAsia="宋体" w:hint="default"/>
                <w:sz w:val="18"/>
                <w:szCs w:val="18"/>
              </w:rPr>
              <w:t>其他流动资产</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2,832,265.07</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年半年度合并资产负债表</w:t>
            </w:r>
            <w:r>
              <w:rPr>
                <w:rFonts w:ascii="宋体" w:hAnsi="宋体" w:cs="宋体" w:eastAsia="宋体" w:hint="default"/>
                <w:sz w:val="18"/>
                <w:szCs w:val="18"/>
              </w:rPr>
              <w:t>/</w:t>
            </w:r>
            <w:r>
              <w:rPr>
                <w:rFonts w:ascii="宋体" w:hAnsi="宋体" w:cs="宋体" w:eastAsia="宋体" w:hint="default"/>
                <w:sz w:val="18"/>
                <w:szCs w:val="18"/>
              </w:rPr>
              <w:t>固定资产</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52,003,799.17</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年半年度合并资产负债表无形资产</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8,147,874.40</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年半年度合并资产负债表</w:t>
            </w:r>
            <w:r>
              <w:rPr>
                <w:rFonts w:ascii="宋体" w:hAnsi="宋体" w:cs="宋体" w:eastAsia="宋体" w:hint="default"/>
                <w:sz w:val="18"/>
                <w:szCs w:val="18"/>
              </w:rPr>
              <w:t>/</w:t>
            </w:r>
            <w:r>
              <w:rPr>
                <w:rFonts w:ascii="宋体" w:hAnsi="宋体" w:cs="宋体" w:eastAsia="宋体" w:hint="default"/>
                <w:sz w:val="18"/>
                <w:szCs w:val="18"/>
              </w:rPr>
              <w:t>递延所得税资产</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-81,000.00</w:t>
            </w:r>
          </w:p>
        </w:tc>
      </w:tr>
      <w:tr>
        <w:trPr>
          <w:trHeight w:val="408"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年半年度合并资产负债表</w:t>
            </w:r>
            <w:r>
              <w:rPr>
                <w:rFonts w:ascii="宋体" w:hAnsi="宋体" w:cs="宋体" w:eastAsia="宋体" w:hint="default"/>
                <w:sz w:val="18"/>
                <w:szCs w:val="18"/>
              </w:rPr>
              <w:t>/</w:t>
            </w:r>
            <w:r>
              <w:rPr>
                <w:rFonts w:ascii="宋体" w:hAnsi="宋体" w:cs="宋体" w:eastAsia="宋体" w:hint="default"/>
                <w:sz w:val="18"/>
                <w:szCs w:val="18"/>
              </w:rPr>
              <w:t>预收款项</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75,333,333.31</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年半年度合并资产负债表</w:t>
            </w:r>
            <w:r>
              <w:rPr>
                <w:rFonts w:ascii="宋体" w:hAnsi="宋体" w:cs="宋体" w:eastAsia="宋体" w:hint="default"/>
                <w:sz w:val="18"/>
                <w:szCs w:val="18"/>
              </w:rPr>
              <w:t>/</w:t>
            </w:r>
            <w:r>
              <w:rPr>
                <w:rFonts w:ascii="宋体" w:hAnsi="宋体" w:cs="宋体" w:eastAsia="宋体" w:hint="default"/>
                <w:sz w:val="18"/>
                <w:szCs w:val="18"/>
              </w:rPr>
              <w:t>应交税费</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-2,840,044.97</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年半年度合并资产负债表</w:t>
            </w:r>
            <w:r>
              <w:rPr>
                <w:rFonts w:ascii="宋体" w:hAnsi="宋体" w:cs="宋体" w:eastAsia="宋体" w:hint="default"/>
                <w:sz w:val="18"/>
                <w:szCs w:val="18"/>
              </w:rPr>
              <w:t>/</w:t>
            </w:r>
            <w:r>
              <w:rPr>
                <w:rFonts w:ascii="宋体" w:hAnsi="宋体" w:cs="宋体" w:eastAsia="宋体" w:hint="default"/>
                <w:sz w:val="18"/>
                <w:szCs w:val="18"/>
              </w:rPr>
              <w:t>未分配利润</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-27,050,349.70</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年半年度合并利润表</w:t>
            </w:r>
            <w:r>
              <w:rPr>
                <w:rFonts w:ascii="宋体" w:hAnsi="宋体" w:cs="宋体" w:eastAsia="宋体" w:hint="default"/>
                <w:sz w:val="18"/>
                <w:szCs w:val="18"/>
              </w:rPr>
              <w:t>/</w:t>
            </w:r>
            <w:r>
              <w:rPr>
                <w:rFonts w:ascii="宋体" w:hAnsi="宋体" w:cs="宋体" w:eastAsia="宋体" w:hint="default"/>
                <w:sz w:val="18"/>
                <w:szCs w:val="18"/>
              </w:rPr>
              <w:t>管理费用</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15,851.90</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年半年度合并利润表</w:t>
            </w:r>
            <w:r>
              <w:rPr>
                <w:rFonts w:ascii="宋体" w:hAnsi="宋体" w:cs="宋体" w:eastAsia="宋体" w:hint="default"/>
                <w:sz w:val="18"/>
                <w:szCs w:val="18"/>
              </w:rPr>
              <w:t>/</w:t>
            </w:r>
            <w:r>
              <w:rPr>
                <w:rFonts w:ascii="宋体" w:hAnsi="宋体" w:cs="宋体" w:eastAsia="宋体" w:hint="default"/>
                <w:sz w:val="18"/>
                <w:szCs w:val="18"/>
              </w:rPr>
              <w:t>资产减值损失</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-540,000.00</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年半年度合并利润表</w:t>
            </w:r>
            <w:r>
              <w:rPr>
                <w:rFonts w:ascii="宋体" w:hAnsi="宋体" w:cs="宋体" w:eastAsia="宋体" w:hint="default"/>
                <w:sz w:val="18"/>
                <w:szCs w:val="18"/>
              </w:rPr>
              <w:t>/</w:t>
            </w:r>
            <w:r>
              <w:rPr>
                <w:rFonts w:ascii="宋体" w:hAnsi="宋体" w:cs="宋体" w:eastAsia="宋体" w:hint="default"/>
                <w:sz w:val="18"/>
                <w:szCs w:val="18"/>
              </w:rPr>
              <w:t>其他收益</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2,927,334.16</w:t>
            </w:r>
          </w:p>
        </w:tc>
      </w:tr>
      <w:tr>
        <w:trPr>
          <w:trHeight w:val="408"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年半年度合并利润表</w:t>
            </w:r>
            <w:r>
              <w:rPr>
                <w:rFonts w:ascii="宋体" w:hAnsi="宋体" w:cs="宋体" w:eastAsia="宋体" w:hint="default"/>
                <w:sz w:val="18"/>
                <w:szCs w:val="18"/>
              </w:rPr>
              <w:t>/</w:t>
            </w:r>
            <w:r>
              <w:rPr>
                <w:rFonts w:ascii="宋体" w:hAnsi="宋体" w:cs="宋体" w:eastAsia="宋体" w:hint="default"/>
                <w:sz w:val="18"/>
                <w:szCs w:val="18"/>
              </w:rPr>
              <w:t>营业外收入</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-33,260,876.93</w:t>
            </w:r>
          </w:p>
        </w:tc>
      </w:tr>
      <w:tr>
        <w:trPr>
          <w:trHeight w:val="719"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45"/>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年半年度合并利润表</w:t>
            </w:r>
            <w:r>
              <w:rPr>
                <w:rFonts w:ascii="宋体" w:hAnsi="宋体" w:cs="宋体" w:eastAsia="宋体" w:hint="default"/>
                <w:sz w:val="18"/>
                <w:szCs w:val="18"/>
              </w:rPr>
              <w:t>/</w:t>
            </w:r>
            <w:r>
              <w:rPr>
                <w:rFonts w:ascii="宋体" w:hAnsi="宋体" w:cs="宋体" w:eastAsia="宋体" w:hint="default"/>
                <w:sz w:val="18"/>
                <w:szCs w:val="18"/>
              </w:rPr>
              <w:t>营业外收入中：非流动资产处 置利得</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-30,333,542.77</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年半年度合并利润表</w:t>
            </w:r>
            <w:r>
              <w:rPr>
                <w:rFonts w:ascii="宋体" w:hAnsi="宋体" w:cs="宋体" w:eastAsia="宋体" w:hint="default"/>
                <w:sz w:val="18"/>
                <w:szCs w:val="18"/>
              </w:rPr>
              <w:t>/</w:t>
            </w:r>
            <w:r>
              <w:rPr>
                <w:rFonts w:ascii="宋体" w:hAnsi="宋体" w:cs="宋体" w:eastAsia="宋体" w:hint="default"/>
                <w:sz w:val="18"/>
                <w:szCs w:val="18"/>
              </w:rPr>
              <w:t>所得税费用</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-2,759,044.97</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年半年度合并利润表</w:t>
            </w:r>
            <w:r>
              <w:rPr>
                <w:rFonts w:ascii="宋体" w:hAnsi="宋体" w:cs="宋体" w:eastAsia="宋体" w:hint="default"/>
                <w:sz w:val="18"/>
                <w:szCs w:val="18"/>
              </w:rPr>
              <w:t>/</w:t>
            </w:r>
            <w:r>
              <w:rPr>
                <w:rFonts w:ascii="宋体" w:hAnsi="宋体" w:cs="宋体" w:eastAsia="宋体" w:hint="default"/>
                <w:sz w:val="18"/>
                <w:szCs w:val="18"/>
              </w:rPr>
              <w:t>利润</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-27,050,349.70</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年半年度合并利润表</w:t>
            </w:r>
            <w:r>
              <w:rPr>
                <w:rFonts w:ascii="宋体" w:hAnsi="宋体" w:cs="宋体" w:eastAsia="宋体" w:hint="default"/>
                <w:sz w:val="18"/>
                <w:szCs w:val="18"/>
              </w:rPr>
              <w:t>/</w:t>
            </w:r>
            <w:r>
              <w:rPr>
                <w:rFonts w:ascii="宋体" w:hAnsi="宋体" w:cs="宋体" w:eastAsia="宋体" w:hint="default"/>
                <w:sz w:val="18"/>
                <w:szCs w:val="18"/>
              </w:rPr>
              <w:t>归属于母公司所有者的净利润</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-27,050,349.70</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年半年度合并利润表</w:t>
            </w:r>
            <w:r>
              <w:rPr>
                <w:rFonts w:ascii="宋体" w:hAnsi="宋体" w:cs="宋体" w:eastAsia="宋体" w:hint="default"/>
                <w:sz w:val="18"/>
                <w:szCs w:val="18"/>
              </w:rPr>
              <w:t>/</w:t>
            </w:r>
            <w:r>
              <w:rPr>
                <w:rFonts w:ascii="宋体" w:hAnsi="宋体" w:cs="宋体" w:eastAsia="宋体" w:hint="default"/>
                <w:sz w:val="18"/>
                <w:szCs w:val="18"/>
              </w:rPr>
              <w:t>基本每股收益</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-0.07</w:t>
            </w:r>
          </w:p>
        </w:tc>
      </w:tr>
      <w:tr>
        <w:trPr>
          <w:trHeight w:val="408"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年半年度合并利润表</w:t>
            </w:r>
            <w:r>
              <w:rPr>
                <w:rFonts w:ascii="宋体" w:hAnsi="宋体" w:cs="宋体" w:eastAsia="宋体" w:hint="default"/>
                <w:sz w:val="18"/>
                <w:szCs w:val="18"/>
              </w:rPr>
              <w:t>/</w:t>
            </w:r>
            <w:r>
              <w:rPr>
                <w:rFonts w:ascii="宋体" w:hAnsi="宋体" w:cs="宋体" w:eastAsia="宋体" w:hint="default"/>
                <w:sz w:val="18"/>
                <w:szCs w:val="18"/>
              </w:rPr>
              <w:t>稀释每股收益</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-0.07</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年三季度合并资产负债表</w:t>
            </w:r>
            <w:r>
              <w:rPr>
                <w:rFonts w:ascii="宋体" w:hAnsi="宋体" w:cs="宋体" w:eastAsia="宋体" w:hint="default"/>
                <w:sz w:val="18"/>
                <w:szCs w:val="18"/>
              </w:rPr>
              <w:t>/</w:t>
            </w:r>
            <w:r>
              <w:rPr>
                <w:rFonts w:ascii="宋体" w:hAnsi="宋体" w:cs="宋体" w:eastAsia="宋体" w:hint="default"/>
                <w:sz w:val="18"/>
                <w:szCs w:val="18"/>
              </w:rPr>
              <w:t>应收账款</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-17,460,000.00</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年三季度合并资产负债表</w:t>
            </w:r>
            <w:r>
              <w:rPr>
                <w:rFonts w:ascii="宋体" w:hAnsi="宋体" w:cs="宋体" w:eastAsia="宋体" w:hint="default"/>
                <w:sz w:val="18"/>
                <w:szCs w:val="18"/>
              </w:rPr>
              <w:t>/</w:t>
            </w:r>
            <w:r>
              <w:rPr>
                <w:rFonts w:ascii="宋体" w:hAnsi="宋体" w:cs="宋体" w:eastAsia="宋体" w:hint="default"/>
                <w:sz w:val="18"/>
                <w:szCs w:val="18"/>
              </w:rPr>
              <w:t>其他流动资产</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5,672,310.04</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年三季度合并资产负债表</w:t>
            </w:r>
            <w:r>
              <w:rPr>
                <w:rFonts w:ascii="宋体" w:hAnsi="宋体" w:cs="宋体" w:eastAsia="宋体" w:hint="default"/>
                <w:sz w:val="18"/>
                <w:szCs w:val="18"/>
              </w:rPr>
              <w:t>/</w:t>
            </w:r>
            <w:r>
              <w:rPr>
                <w:rFonts w:ascii="宋体" w:hAnsi="宋体" w:cs="宋体" w:eastAsia="宋体" w:hint="default"/>
                <w:sz w:val="18"/>
                <w:szCs w:val="18"/>
              </w:rPr>
              <w:t>固定资产</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51,940,391.57</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年三季度合并资产负债表</w:t>
            </w:r>
            <w:r>
              <w:rPr>
                <w:rFonts w:ascii="宋体" w:hAnsi="宋体" w:cs="宋体" w:eastAsia="宋体" w:hint="default"/>
                <w:sz w:val="18"/>
                <w:szCs w:val="18"/>
              </w:rPr>
              <w:t>/</w:t>
            </w:r>
            <w:r>
              <w:rPr>
                <w:rFonts w:ascii="宋体" w:hAnsi="宋体" w:cs="宋体" w:eastAsia="宋体" w:hint="default"/>
                <w:sz w:val="18"/>
                <w:szCs w:val="18"/>
              </w:rPr>
              <w:t>无形资产</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7,377,038.55</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年三季度合并资产负债表</w:t>
            </w:r>
            <w:r>
              <w:rPr>
                <w:rFonts w:ascii="宋体" w:hAnsi="宋体" w:cs="宋体" w:eastAsia="宋体" w:hint="default"/>
                <w:sz w:val="18"/>
                <w:szCs w:val="18"/>
              </w:rPr>
              <w:t>/</w:t>
            </w:r>
            <w:r>
              <w:rPr>
                <w:rFonts w:ascii="宋体" w:hAnsi="宋体" w:cs="宋体" w:eastAsia="宋体" w:hint="default"/>
                <w:sz w:val="18"/>
                <w:szCs w:val="18"/>
              </w:rPr>
              <w:t>递延所得税资产</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-81,000.00</w:t>
            </w:r>
          </w:p>
        </w:tc>
      </w:tr>
      <w:tr>
        <w:trPr>
          <w:trHeight w:val="408"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年三季度合并资产负债表</w:t>
            </w:r>
            <w:r>
              <w:rPr>
                <w:rFonts w:ascii="宋体" w:hAnsi="宋体" w:cs="宋体" w:eastAsia="宋体" w:hint="default"/>
                <w:sz w:val="18"/>
                <w:szCs w:val="18"/>
              </w:rPr>
              <w:t>/</w:t>
            </w:r>
            <w:r>
              <w:rPr>
                <w:rFonts w:ascii="宋体" w:hAnsi="宋体" w:cs="宋体" w:eastAsia="宋体" w:hint="default"/>
                <w:sz w:val="18"/>
                <w:szCs w:val="18"/>
              </w:rPr>
              <w:t>预收款项</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75,333,333.31</w:t>
            </w:r>
          </w:p>
        </w:tc>
      </w:tr>
      <w:tr>
        <w:trPr>
          <w:trHeight w:val="407" w:hRule="exact"/>
        </w:trPr>
        <w:tc>
          <w:tcPr>
            <w:tcW w:w="2139" w:type="dxa"/>
            <w:vMerge/>
            <w:tcBorders>
              <w:left w:val="single" w:sz="12" w:space="0" w:color="000000"/>
              <w:right w:val="single" w:sz="9" w:space="0" w:color="FFFFFF"/>
            </w:tcBorders>
          </w:tcPr>
          <w:p>
            <w:pPr/>
          </w:p>
        </w:tc>
        <w:tc>
          <w:tcPr>
            <w:tcW w:w="1406" w:type="dxa"/>
            <w:vMerge/>
            <w:tcBorders>
              <w:left w:val="single" w:sz="9" w:space="0" w:color="FFFFFF"/>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年三季度合并资产负债表</w:t>
            </w:r>
            <w:r>
              <w:rPr>
                <w:rFonts w:ascii="宋体" w:hAnsi="宋体" w:cs="宋体" w:eastAsia="宋体" w:hint="default"/>
                <w:sz w:val="18"/>
                <w:szCs w:val="18"/>
              </w:rPr>
              <w:t>/</w:t>
            </w:r>
            <w:r>
              <w:rPr>
                <w:rFonts w:ascii="宋体" w:hAnsi="宋体" w:cs="宋体" w:eastAsia="宋体" w:hint="default"/>
                <w:sz w:val="18"/>
                <w:szCs w:val="18"/>
              </w:rPr>
              <w:t>未分配利润</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-27,884,593.15</w:t>
            </w:r>
          </w:p>
        </w:tc>
      </w:tr>
      <w:tr>
        <w:trPr>
          <w:trHeight w:val="415" w:hRule="exact"/>
        </w:trPr>
        <w:tc>
          <w:tcPr>
            <w:tcW w:w="2139" w:type="dxa"/>
            <w:vMerge/>
            <w:tcBorders>
              <w:left w:val="single" w:sz="12" w:space="0" w:color="000000"/>
              <w:bottom w:val="single" w:sz="12" w:space="0" w:color="000000"/>
              <w:right w:val="single" w:sz="9" w:space="0" w:color="FFFFFF"/>
            </w:tcBorders>
          </w:tcPr>
          <w:p>
            <w:pPr/>
          </w:p>
        </w:tc>
        <w:tc>
          <w:tcPr>
            <w:tcW w:w="1406" w:type="dxa"/>
            <w:vMerge/>
            <w:tcBorders>
              <w:left w:val="single" w:sz="9" w:space="0" w:color="FFFFFF"/>
              <w:bottom w:val="single" w:sz="12" w:space="0" w:color="000000"/>
              <w:right w:val="single" w:sz="6" w:space="0" w:color="000000"/>
            </w:tcBorders>
          </w:tcPr>
          <w:p>
            <w:pPr/>
          </w:p>
        </w:tc>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年三季度合并本报告期利润表</w:t>
            </w:r>
            <w:r>
              <w:rPr>
                <w:rFonts w:ascii="宋体" w:hAnsi="宋体" w:cs="宋体" w:eastAsia="宋体" w:hint="default"/>
                <w:sz w:val="18"/>
                <w:szCs w:val="18"/>
              </w:rPr>
              <w:t>/</w:t>
            </w:r>
            <w:r>
              <w:rPr>
                <w:rFonts w:ascii="宋体" w:hAnsi="宋体" w:cs="宋体" w:eastAsia="宋体" w:hint="default"/>
                <w:sz w:val="18"/>
                <w:szCs w:val="18"/>
              </w:rPr>
              <w:t>管理费用</w:t>
            </w:r>
          </w:p>
        </w:tc>
        <w:tc>
          <w:tcPr>
            <w:tcW w:w="14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834,243.45</w:t>
            </w:r>
          </w:p>
        </w:tc>
      </w:tr>
    </w:tbl>
    <w:p>
      <w:pPr>
        <w:spacing w:after="0" w:line="240" w:lineRule="auto"/>
        <w:jc w:val="right"/>
        <w:rPr>
          <w:rFonts w:ascii="宋体" w:hAnsi="宋体" w:cs="宋体" w:eastAsia="宋体" w:hint="default"/>
          <w:sz w:val="18"/>
          <w:szCs w:val="18"/>
        </w:rPr>
        <w:sectPr>
          <w:pgSz w:w="11910" w:h="16840"/>
          <w:pgMar w:header="877" w:footer="1000" w:top="1040" w:bottom="1180" w:left="980" w:right="0"/>
        </w:sectPr>
      </w:pPr>
    </w:p>
    <w:p>
      <w:pPr>
        <w:spacing w:line="240" w:lineRule="auto" w:before="3"/>
        <w:rPr>
          <w:rFonts w:ascii="宋体" w:hAnsi="宋体" w:cs="宋体" w:eastAsia="宋体" w:hint="default"/>
          <w:b/>
          <w:bCs/>
          <w:sz w:val="29"/>
          <w:szCs w:val="29"/>
        </w:rPr>
      </w:pPr>
    </w:p>
    <w:tbl>
      <w:tblPr>
        <w:tblW w:w="0" w:type="auto"/>
        <w:jc w:val="left"/>
        <w:tblInd w:w="138" w:type="dxa"/>
        <w:tblLayout w:type="fixed"/>
        <w:tblCellMar>
          <w:top w:w="0" w:type="dxa"/>
          <w:left w:w="0" w:type="dxa"/>
          <w:bottom w:w="0" w:type="dxa"/>
          <w:right w:w="0" w:type="dxa"/>
        </w:tblCellMar>
        <w:tblLook w:val="01E0"/>
      </w:tblPr>
      <w:tblGrid>
        <w:gridCol w:w="2129"/>
        <w:gridCol w:w="1416"/>
        <w:gridCol w:w="4537"/>
        <w:gridCol w:w="1495"/>
      </w:tblGrid>
      <w:tr>
        <w:trPr>
          <w:trHeight w:val="415" w:hRule="exact"/>
        </w:trPr>
        <w:tc>
          <w:tcPr>
            <w:tcW w:w="2129" w:type="dxa"/>
            <w:vMerge w:val="restart"/>
            <w:tcBorders>
              <w:top w:val="single" w:sz="12" w:space="0" w:color="000000"/>
              <w:left w:val="single" w:sz="12" w:space="0" w:color="000000"/>
              <w:right w:val="single" w:sz="6" w:space="0" w:color="000000"/>
            </w:tcBorders>
          </w:tcPr>
          <w:p>
            <w:pPr/>
          </w:p>
        </w:tc>
        <w:tc>
          <w:tcPr>
            <w:tcW w:w="1416" w:type="dxa"/>
            <w:vMerge w:val="restart"/>
            <w:tcBorders>
              <w:top w:val="single" w:sz="12" w:space="0" w:color="000000"/>
              <w:left w:val="single" w:sz="6" w:space="0" w:color="000000"/>
              <w:right w:val="single" w:sz="6" w:space="0" w:color="000000"/>
            </w:tcBorders>
          </w:tcPr>
          <w:p>
            <w:pPr/>
          </w:p>
        </w:tc>
        <w:tc>
          <w:tcPr>
            <w:tcW w:w="45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年三季度合并本报告期利润表</w:t>
            </w:r>
            <w:r>
              <w:rPr>
                <w:rFonts w:ascii="宋体" w:hAnsi="宋体" w:cs="宋体" w:eastAsia="宋体" w:hint="default"/>
                <w:sz w:val="18"/>
                <w:szCs w:val="18"/>
              </w:rPr>
              <w:t>/</w:t>
            </w:r>
            <w:r>
              <w:rPr>
                <w:rFonts w:ascii="宋体" w:hAnsi="宋体" w:cs="宋体" w:eastAsia="宋体" w:hint="default"/>
                <w:sz w:val="18"/>
                <w:szCs w:val="18"/>
              </w:rPr>
              <w:t>净利润</w:t>
            </w:r>
          </w:p>
        </w:tc>
        <w:tc>
          <w:tcPr>
            <w:tcW w:w="149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-834,243.45</w:t>
            </w:r>
          </w:p>
        </w:tc>
      </w:tr>
      <w:tr>
        <w:trPr>
          <w:trHeight w:val="719" w:hRule="exact"/>
        </w:trPr>
        <w:tc>
          <w:tcPr>
            <w:tcW w:w="2129" w:type="dxa"/>
            <w:vMerge/>
            <w:tcBorders>
              <w:left w:val="single" w:sz="12"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45"/>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年三季度合并本报告期利润表</w:t>
            </w:r>
            <w:r>
              <w:rPr>
                <w:rFonts w:ascii="宋体" w:hAnsi="宋体" w:cs="宋体" w:eastAsia="宋体" w:hint="default"/>
                <w:sz w:val="18"/>
                <w:szCs w:val="18"/>
              </w:rPr>
              <w:t>/</w:t>
            </w:r>
            <w:r>
              <w:rPr>
                <w:rFonts w:ascii="宋体" w:hAnsi="宋体" w:cs="宋体" w:eastAsia="宋体" w:hint="default"/>
                <w:sz w:val="18"/>
                <w:szCs w:val="18"/>
              </w:rPr>
              <w:t>归属于母公司所有者 的净利润</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-834,243.45</w:t>
            </w:r>
          </w:p>
        </w:tc>
      </w:tr>
      <w:tr>
        <w:trPr>
          <w:trHeight w:val="407" w:hRule="exact"/>
        </w:trPr>
        <w:tc>
          <w:tcPr>
            <w:tcW w:w="2129" w:type="dxa"/>
            <w:vMerge/>
            <w:tcBorders>
              <w:left w:val="single" w:sz="12"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年三季度合并年初到报告期末利润表</w:t>
            </w:r>
            <w:r>
              <w:rPr>
                <w:rFonts w:ascii="宋体" w:hAnsi="宋体" w:cs="宋体" w:eastAsia="宋体" w:hint="default"/>
                <w:sz w:val="18"/>
                <w:szCs w:val="18"/>
              </w:rPr>
              <w:t>/</w:t>
            </w:r>
            <w:r>
              <w:rPr>
                <w:rFonts w:ascii="宋体" w:hAnsi="宋体" w:cs="宋体" w:eastAsia="宋体" w:hint="default"/>
                <w:sz w:val="18"/>
                <w:szCs w:val="18"/>
              </w:rPr>
              <w:t>管理费用</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850,095.35</w:t>
            </w:r>
          </w:p>
        </w:tc>
      </w:tr>
      <w:tr>
        <w:trPr>
          <w:trHeight w:val="407" w:hRule="exact"/>
        </w:trPr>
        <w:tc>
          <w:tcPr>
            <w:tcW w:w="2129" w:type="dxa"/>
            <w:vMerge/>
            <w:tcBorders>
              <w:left w:val="single" w:sz="12"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年三季度合并年初到报告期末利润表</w:t>
            </w:r>
            <w:r>
              <w:rPr>
                <w:rFonts w:ascii="宋体" w:hAnsi="宋体" w:cs="宋体" w:eastAsia="宋体" w:hint="default"/>
                <w:sz w:val="18"/>
                <w:szCs w:val="18"/>
              </w:rPr>
              <w:t>/</w:t>
            </w:r>
            <w:r>
              <w:rPr>
                <w:rFonts w:ascii="宋体" w:hAnsi="宋体" w:cs="宋体" w:eastAsia="宋体" w:hint="default"/>
                <w:sz w:val="18"/>
                <w:szCs w:val="18"/>
              </w:rPr>
              <w:t>资产减值损失</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-540,000.00</w:t>
            </w:r>
          </w:p>
        </w:tc>
      </w:tr>
      <w:tr>
        <w:trPr>
          <w:trHeight w:val="407" w:hRule="exact"/>
        </w:trPr>
        <w:tc>
          <w:tcPr>
            <w:tcW w:w="2129" w:type="dxa"/>
            <w:vMerge/>
            <w:tcBorders>
              <w:left w:val="single" w:sz="12"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年三季度合并年初到报告期末利润表</w:t>
            </w:r>
            <w:r>
              <w:rPr>
                <w:rFonts w:ascii="宋体" w:hAnsi="宋体" w:cs="宋体" w:eastAsia="宋体" w:hint="default"/>
                <w:sz w:val="18"/>
                <w:szCs w:val="18"/>
              </w:rPr>
              <w:t>/</w:t>
            </w:r>
            <w:r>
              <w:rPr>
                <w:rFonts w:ascii="宋体" w:hAnsi="宋体" w:cs="宋体" w:eastAsia="宋体" w:hint="default"/>
                <w:sz w:val="18"/>
                <w:szCs w:val="18"/>
              </w:rPr>
              <w:t>其他收益</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4,113,531.87</w:t>
            </w:r>
          </w:p>
        </w:tc>
      </w:tr>
      <w:tr>
        <w:trPr>
          <w:trHeight w:val="407" w:hRule="exact"/>
        </w:trPr>
        <w:tc>
          <w:tcPr>
            <w:tcW w:w="2129" w:type="dxa"/>
            <w:vMerge/>
            <w:tcBorders>
              <w:left w:val="single" w:sz="12"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年三季度合并年初到报告期末利润表</w:t>
            </w:r>
            <w:r>
              <w:rPr>
                <w:rFonts w:ascii="宋体" w:hAnsi="宋体" w:cs="宋体" w:eastAsia="宋体" w:hint="default"/>
                <w:sz w:val="18"/>
                <w:szCs w:val="18"/>
              </w:rPr>
              <w:t>/</w:t>
            </w:r>
            <w:r>
              <w:rPr>
                <w:rFonts w:ascii="宋体" w:hAnsi="宋体" w:cs="宋体" w:eastAsia="宋体" w:hint="default"/>
                <w:sz w:val="18"/>
                <w:szCs w:val="18"/>
              </w:rPr>
              <w:t>营业外收入</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-34,447,074.64</w:t>
            </w:r>
          </w:p>
        </w:tc>
      </w:tr>
      <w:tr>
        <w:trPr>
          <w:trHeight w:val="720" w:hRule="exact"/>
        </w:trPr>
        <w:tc>
          <w:tcPr>
            <w:tcW w:w="2129" w:type="dxa"/>
            <w:vMerge/>
            <w:tcBorders>
              <w:left w:val="single" w:sz="12"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225"/>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年三季度合并年初到报告期末利润表</w:t>
            </w:r>
            <w:r>
              <w:rPr>
                <w:rFonts w:ascii="宋体" w:hAnsi="宋体" w:cs="宋体" w:eastAsia="宋体" w:hint="default"/>
                <w:sz w:val="18"/>
                <w:szCs w:val="18"/>
              </w:rPr>
              <w:t>/</w:t>
            </w:r>
            <w:r>
              <w:rPr>
                <w:rFonts w:ascii="宋体" w:hAnsi="宋体" w:cs="宋体" w:eastAsia="宋体" w:hint="default"/>
                <w:sz w:val="18"/>
                <w:szCs w:val="18"/>
              </w:rPr>
              <w:t>营业外收入 中：非流动资产处置利得</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-30,333,542.77</w:t>
            </w:r>
          </w:p>
        </w:tc>
      </w:tr>
      <w:tr>
        <w:trPr>
          <w:trHeight w:val="407" w:hRule="exact"/>
        </w:trPr>
        <w:tc>
          <w:tcPr>
            <w:tcW w:w="2129" w:type="dxa"/>
            <w:vMerge/>
            <w:tcBorders>
              <w:left w:val="single" w:sz="12"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年三季度合并年初到报告期末利润表</w:t>
            </w:r>
            <w:r>
              <w:rPr>
                <w:rFonts w:ascii="宋体" w:hAnsi="宋体" w:cs="宋体" w:eastAsia="宋体" w:hint="default"/>
                <w:sz w:val="18"/>
                <w:szCs w:val="18"/>
              </w:rPr>
              <w:t>/</w:t>
            </w:r>
            <w:r>
              <w:rPr>
                <w:rFonts w:ascii="宋体" w:hAnsi="宋体" w:cs="宋体" w:eastAsia="宋体" w:hint="default"/>
                <w:sz w:val="18"/>
                <w:szCs w:val="18"/>
              </w:rPr>
              <w:t>所得税费用</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-2,759,044.97</w:t>
            </w:r>
          </w:p>
        </w:tc>
      </w:tr>
      <w:tr>
        <w:trPr>
          <w:trHeight w:val="407" w:hRule="exact"/>
        </w:trPr>
        <w:tc>
          <w:tcPr>
            <w:tcW w:w="2129" w:type="dxa"/>
            <w:vMerge/>
            <w:tcBorders>
              <w:left w:val="single" w:sz="12" w:space="0" w:color="000000"/>
              <w:right w:val="single" w:sz="6" w:space="0" w:color="000000"/>
            </w:tcBorders>
          </w:tcPr>
          <w:p>
            <w:pPr/>
          </w:p>
        </w:tc>
        <w:tc>
          <w:tcPr>
            <w:tcW w:w="1416" w:type="dxa"/>
            <w:vMerge/>
            <w:tcBorders>
              <w:left w:val="single" w:sz="6" w:space="0" w:color="000000"/>
              <w:right w:val="single" w:sz="6" w:space="0" w:color="000000"/>
            </w:tcBorders>
          </w:tcPr>
          <w:p>
            <w:pP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年三季度合并年初到报告期末利润表</w:t>
            </w:r>
            <w:r>
              <w:rPr>
                <w:rFonts w:ascii="宋体" w:hAnsi="宋体" w:cs="宋体" w:eastAsia="宋体" w:hint="default"/>
                <w:sz w:val="18"/>
                <w:szCs w:val="18"/>
              </w:rPr>
              <w:t>/</w:t>
            </w:r>
            <w:r>
              <w:rPr>
                <w:rFonts w:ascii="宋体" w:hAnsi="宋体" w:cs="宋体" w:eastAsia="宋体" w:hint="default"/>
                <w:sz w:val="18"/>
                <w:szCs w:val="18"/>
              </w:rPr>
              <w:t>净利润</w:t>
            </w:r>
          </w:p>
        </w:tc>
        <w:tc>
          <w:tcPr>
            <w:tcW w:w="14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-27,884,593.15</w:t>
            </w:r>
          </w:p>
        </w:tc>
      </w:tr>
      <w:tr>
        <w:trPr>
          <w:trHeight w:val="727" w:hRule="exact"/>
        </w:trPr>
        <w:tc>
          <w:tcPr>
            <w:tcW w:w="2129" w:type="dxa"/>
            <w:vMerge/>
            <w:tcBorders>
              <w:left w:val="single" w:sz="12" w:space="0" w:color="000000"/>
              <w:bottom w:val="single" w:sz="12" w:space="0" w:color="000000"/>
              <w:right w:val="single" w:sz="6" w:space="0" w:color="000000"/>
            </w:tcBorders>
          </w:tcPr>
          <w:p>
            <w:pPr/>
          </w:p>
        </w:tc>
        <w:tc>
          <w:tcPr>
            <w:tcW w:w="1416" w:type="dxa"/>
            <w:vMerge/>
            <w:tcBorders>
              <w:left w:val="single" w:sz="6" w:space="0" w:color="000000"/>
              <w:bottom w:val="single" w:sz="12" w:space="0" w:color="000000"/>
              <w:right w:val="single" w:sz="6" w:space="0" w:color="000000"/>
            </w:tcBorders>
          </w:tcPr>
          <w:p>
            <w:pPr/>
          </w:p>
        </w:tc>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51"/>
              <w:ind w:left="21" w:right="45"/>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年三季度合并年初到报告期末利润表</w:t>
            </w:r>
            <w:r>
              <w:rPr>
                <w:rFonts w:ascii="宋体" w:hAnsi="宋体" w:cs="宋体" w:eastAsia="宋体" w:hint="default"/>
                <w:sz w:val="18"/>
                <w:szCs w:val="18"/>
              </w:rPr>
              <w:t>/</w:t>
            </w:r>
            <w:r>
              <w:rPr>
                <w:rFonts w:ascii="宋体" w:hAnsi="宋体" w:cs="宋体" w:eastAsia="宋体" w:hint="default"/>
                <w:sz w:val="18"/>
                <w:szCs w:val="18"/>
              </w:rPr>
              <w:t>归属于母公司 所有者的净利润</w:t>
            </w:r>
          </w:p>
        </w:tc>
        <w:tc>
          <w:tcPr>
            <w:tcW w:w="14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-27,884,593.15</w:t>
            </w:r>
          </w:p>
        </w:tc>
      </w:tr>
    </w:tbl>
    <w:p>
      <w:pPr>
        <w:pStyle w:val="Heading4"/>
        <w:spacing w:line="240" w:lineRule="auto" w:before="63"/>
        <w:ind w:right="1122"/>
        <w:jc w:val="left"/>
        <w:rPr>
          <w:b w:val="0"/>
          <w:bCs w:val="0"/>
        </w:rPr>
      </w:pPr>
      <w:bookmarkStart w:name="（2）未来适用法" w:id="471"/>
      <w:bookmarkEnd w:id="471"/>
      <w:r>
        <w:rPr>
          <w:b w:val="0"/>
          <w:bCs w:val="0"/>
        </w:rPr>
      </w:r>
      <w:r>
        <w:rPr/>
        <w:t>（</w:t>
      </w:r>
      <w:r>
        <w:rPr>
          <w:rFonts w:ascii="宋体" w:hAnsi="宋体" w:cs="宋体" w:eastAsia="宋体" w:hint="default"/>
        </w:rPr>
        <w:t>2</w:t>
      </w:r>
      <w:r>
        <w:rPr/>
        <w:t>）未来适用法</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债务重组" w:id="472"/>
      <w:bookmarkEnd w:id="472"/>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资产置换" w:id="473"/>
      <w:bookmarkEnd w:id="473"/>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4"/>
        <w:spacing w:line="240" w:lineRule="auto" w:before="46"/>
        <w:ind w:right="1122"/>
        <w:jc w:val="left"/>
        <w:rPr>
          <w:b w:val="0"/>
          <w:bCs w:val="0"/>
        </w:rPr>
      </w:pPr>
      <w:bookmarkStart w:name="（1）非货币性资产交换" w:id="474"/>
      <w:bookmarkEnd w:id="474"/>
      <w:r>
        <w:rPr>
          <w:b w:val="0"/>
          <w:bCs w:val="0"/>
        </w:rPr>
      </w:r>
      <w:r>
        <w:rPr/>
        <w:t>（</w:t>
      </w:r>
      <w:r>
        <w:rPr>
          <w:rFonts w:ascii="宋体" w:hAnsi="宋体" w:cs="宋体" w:eastAsia="宋体" w:hint="default"/>
        </w:rPr>
        <w:t>1</w:t>
      </w:r>
      <w:r>
        <w:rPr/>
        <w:t>）非货币性资产交换</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2）其他资产置换" w:id="475"/>
      <w:bookmarkEnd w:id="475"/>
      <w:r>
        <w:rPr>
          <w:b w:val="0"/>
          <w:bCs w:val="0"/>
        </w:rPr>
      </w:r>
      <w:r>
        <w:rPr/>
        <w:t>（</w:t>
      </w:r>
      <w:r>
        <w:rPr>
          <w:rFonts w:ascii="宋体" w:hAnsi="宋体" w:cs="宋体" w:eastAsia="宋体" w:hint="default"/>
        </w:rPr>
        <w:t>2</w:t>
      </w:r>
      <w:r>
        <w:rPr/>
        <w:t>）其他资产置换</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年金计划" w:id="476"/>
      <w:bookmarkEnd w:id="476"/>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终止经营" w:id="477"/>
      <w:bookmarkEnd w:id="477"/>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分部信息" w:id="478"/>
      <w:bookmarkEnd w:id="478"/>
      <w:r>
        <w:rPr>
          <w:rFonts w:ascii="宋体" w:hAnsi="宋体" w:cs="宋体" w:eastAsia="宋体" w:hint="default"/>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408" w:lineRule="auto" w:before="46"/>
        <w:ind w:left="577" w:right="1122" w:hanging="424"/>
        <w:jc w:val="left"/>
        <w:rPr>
          <w:rFonts w:ascii="宋体" w:hAnsi="宋体" w:cs="宋体" w:eastAsia="宋体" w:hint="default"/>
          <w:sz w:val="21"/>
          <w:szCs w:val="21"/>
        </w:rPr>
      </w:pPr>
      <w:bookmarkStart w:name="（1）报告分部的确定依据与会计政策" w:id="479"/>
      <w:bookmarkEnd w:id="47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经营分部，是指企业内同时满足下列条件的组成部分：</w:t>
      </w:r>
      <w:r>
        <w:rPr>
          <w:rFonts w:ascii="宋体" w:hAnsi="宋体" w:cs="宋体" w:eastAsia="宋体" w:hint="default"/>
          <w:sz w:val="21"/>
          <w:szCs w:val="21"/>
        </w:rPr>
        <w:t>(1)</w:t>
      </w:r>
      <w:r>
        <w:rPr>
          <w:rFonts w:ascii="宋体" w:hAnsi="宋体" w:cs="宋体" w:eastAsia="宋体" w:hint="default"/>
          <w:sz w:val="21"/>
          <w:szCs w:val="21"/>
        </w:rPr>
        <w:t>该组成部分能够在日常活动中产生收入、</w:t>
      </w:r>
    </w:p>
    <w:p>
      <w:pPr>
        <w:pStyle w:val="BodyText"/>
        <w:spacing w:line="408" w:lineRule="auto"/>
        <w:ind w:right="1122"/>
        <w:jc w:val="left"/>
      </w:pPr>
      <w:r>
        <w:rPr>
          <w:spacing w:val="-1"/>
        </w:rPr>
        <w:t>发生费用；</w:t>
      </w:r>
      <w:r>
        <w:rPr>
          <w:rFonts w:ascii="宋体" w:hAnsi="宋体" w:cs="宋体" w:eastAsia="宋体" w:hint="default"/>
          <w:spacing w:val="-1"/>
        </w:rPr>
        <w:t>(2)</w:t>
      </w:r>
      <w:r>
        <w:rPr>
          <w:spacing w:val="-1"/>
        </w:rPr>
        <w:t>企业管理层能够定期评价该组成部分的经营成果，以决定向其配置资源、评价其业绩；</w:t>
      </w:r>
      <w:r>
        <w:rPr>
          <w:rFonts w:ascii="宋体" w:hAnsi="宋体" w:cs="宋体" w:eastAsia="宋体" w:hint="default"/>
          <w:spacing w:val="-1"/>
        </w:rPr>
        <w:t>(3)</w:t>
      </w:r>
      <w:r>
        <w:rPr>
          <w:rFonts w:ascii="宋体" w:hAnsi="宋体" w:cs="宋体" w:eastAsia="宋体" w:hint="default"/>
          <w:spacing w:val="-83"/>
        </w:rPr>
        <w:t> </w:t>
      </w:r>
      <w:r>
        <w:rPr/>
        <w:t>企业能够取得该组成部分的财务状况、经营成果和现金流量等有关会计信息。</w:t>
      </w:r>
    </w:p>
    <w:p>
      <w:pPr>
        <w:pStyle w:val="BodyText"/>
        <w:spacing w:line="240" w:lineRule="auto"/>
        <w:ind w:left="577" w:right="1122"/>
        <w:jc w:val="left"/>
      </w:pPr>
      <w:r>
        <w:rPr/>
        <w:t>重要性标准的判断：</w:t>
      </w:r>
    </w:p>
    <w:p>
      <w:pPr>
        <w:spacing w:after="0" w:line="240" w:lineRule="auto"/>
        <w:jc w:val="left"/>
        <w:sectPr>
          <w:pgSz w:w="11910" w:h="16840"/>
          <w:pgMar w:header="877" w:footer="1000" w:top="1040" w:bottom="118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023" w:firstLine="423"/>
        <w:jc w:val="left"/>
      </w:pPr>
      <w:r>
        <w:rPr/>
        <w:t>报告分部是指符合经营分部定义，按规定应予披露的经营分部。报告分部的确定应当以经营分部为基 础，而经营分部的划分通常是以不同的风险和报酬为基础，而不论其是否重要。存在多种产品经营或者跨 多个地区经营的企业可能会拥有大量规模较小、不是很重要的经营分部，而单独披露如此之多但规模较小 </w:t>
      </w:r>
      <w:r>
        <w:rPr>
          <w:spacing w:val="-3"/>
        </w:rPr>
        <w:t>的经营分部信息不仅会给财务报表使用者带来困惑，也会给财务报告编制者带来不必要的披露成本。因此，</w:t>
      </w:r>
      <w:r>
        <w:rPr>
          <w:spacing w:val="-92"/>
        </w:rPr>
        <w:t> </w:t>
      </w:r>
      <w:r>
        <w:rPr>
          <w:spacing w:val="-92"/>
        </w:rPr>
      </w:r>
      <w:r>
        <w:rPr/>
        <w:t>报告分部的确定应当考虑重要性原则，通常情况下，符合重要性标准的经营分部才能确定为报告分部。</w:t>
      </w:r>
    </w:p>
    <w:p>
      <w:pPr>
        <w:pStyle w:val="BodyText"/>
        <w:spacing w:line="240" w:lineRule="auto"/>
        <w:ind w:left="577" w:right="1122"/>
        <w:jc w:val="left"/>
      </w:pPr>
      <w:r>
        <w:rPr/>
        <w:t>经营分部满足下列条件之一的，应当确定为报告分部：</w:t>
      </w:r>
    </w:p>
    <w:p>
      <w:pPr>
        <w:spacing w:line="240" w:lineRule="auto" w:before="10"/>
        <w:rPr>
          <w:rFonts w:ascii="宋体" w:hAnsi="宋体" w:cs="宋体" w:eastAsia="宋体" w:hint="default"/>
          <w:sz w:val="14"/>
          <w:szCs w:val="14"/>
        </w:rPr>
      </w:pPr>
    </w:p>
    <w:p>
      <w:pPr>
        <w:pStyle w:val="BodyText"/>
        <w:spacing w:line="408" w:lineRule="auto" w:before="0"/>
        <w:ind w:right="1132" w:firstLine="423"/>
        <w:jc w:val="both"/>
      </w:pPr>
      <w:r>
        <w:rPr>
          <w:spacing w:val="-1"/>
        </w:rPr>
        <w:t>（</w:t>
      </w:r>
      <w:r>
        <w:rPr>
          <w:rFonts w:ascii="宋体" w:hAnsi="宋体" w:cs="宋体" w:eastAsia="宋体" w:hint="default"/>
          <w:spacing w:val="-1"/>
        </w:rPr>
        <w:t>1</w:t>
      </w:r>
      <w:r>
        <w:rPr>
          <w:spacing w:val="-1"/>
        </w:rPr>
        <w:t>）该经营分部的分部收入占所有分部收入合计的</w:t>
      </w:r>
      <w:r>
        <w:rPr>
          <w:rFonts w:ascii="宋体" w:hAnsi="宋体" w:cs="宋体" w:eastAsia="宋体" w:hint="default"/>
          <w:spacing w:val="-1"/>
        </w:rPr>
        <w:t>10%</w:t>
      </w:r>
      <w:r>
        <w:rPr>
          <w:spacing w:val="-1"/>
        </w:rPr>
        <w:t>或者以上。分部收入是指可归属于分部的对外</w:t>
      </w:r>
      <w:r>
        <w:rPr/>
        <w:t> 交易收入和对其他分部交易收入。</w:t>
      </w:r>
    </w:p>
    <w:p>
      <w:pPr>
        <w:pStyle w:val="BodyText"/>
        <w:spacing w:line="408" w:lineRule="auto"/>
        <w:ind w:right="1139" w:firstLine="423"/>
        <w:jc w:val="both"/>
      </w:pPr>
      <w:r>
        <w:rPr/>
        <w:t>（</w:t>
      </w:r>
      <w:r>
        <w:rPr>
          <w:rFonts w:ascii="宋体" w:hAnsi="宋体" w:cs="宋体" w:eastAsia="宋体" w:hint="default"/>
        </w:rPr>
        <w:t>2</w:t>
      </w:r>
      <w:r>
        <w:rPr/>
        <w:t>）该分部的分部利润</w:t>
      </w:r>
      <w:r>
        <w:rPr>
          <w:rFonts w:ascii="宋体" w:hAnsi="宋体" w:cs="宋体" w:eastAsia="宋体" w:hint="default"/>
        </w:rPr>
        <w:t>(</w:t>
      </w:r>
      <w:r>
        <w:rPr/>
        <w:t>亏损</w:t>
      </w:r>
      <w:r>
        <w:rPr>
          <w:rFonts w:ascii="宋体" w:hAnsi="宋体" w:cs="宋体" w:eastAsia="宋体" w:hint="default"/>
        </w:rPr>
        <w:t>)</w:t>
      </w:r>
      <w:r>
        <w:rPr/>
        <w:t>的绝对额，占所有盈利分部利润合计额或者所有亏损分部亏损合计额 的绝对额两者中较大者的</w:t>
      </w:r>
      <w:r>
        <w:rPr>
          <w:rFonts w:ascii="宋体" w:hAnsi="宋体" w:cs="宋体" w:eastAsia="宋体" w:hint="default"/>
        </w:rPr>
        <w:t>10%</w:t>
      </w:r>
      <w:r>
        <w:rPr/>
        <w:t>或者以上。</w:t>
      </w:r>
    </w:p>
    <w:p>
      <w:pPr>
        <w:pStyle w:val="BodyText"/>
        <w:spacing w:line="408" w:lineRule="auto"/>
        <w:ind w:right="1132" w:firstLine="423"/>
        <w:jc w:val="both"/>
      </w:pPr>
      <w:r>
        <w:rPr>
          <w:spacing w:val="-1"/>
        </w:rPr>
        <w:t>（</w:t>
      </w:r>
      <w:r>
        <w:rPr>
          <w:rFonts w:ascii="宋体" w:hAnsi="宋体" w:cs="宋体" w:eastAsia="宋体" w:hint="default"/>
          <w:spacing w:val="-1"/>
        </w:rPr>
        <w:t>3</w:t>
      </w:r>
      <w:r>
        <w:rPr>
          <w:spacing w:val="-1"/>
        </w:rPr>
        <w:t>）该分部的分部资产占所有分部资产合计额的</w:t>
      </w:r>
      <w:r>
        <w:rPr>
          <w:rFonts w:ascii="宋体" w:hAnsi="宋体" w:cs="宋体" w:eastAsia="宋体" w:hint="default"/>
          <w:spacing w:val="-1"/>
        </w:rPr>
        <w:t>10%</w:t>
      </w:r>
      <w:r>
        <w:rPr>
          <w:spacing w:val="-1"/>
        </w:rPr>
        <w:t>或者以上。分部资产，是指经营分部日常活动中</w:t>
      </w:r>
      <w:r>
        <w:rPr/>
        <w:t> 使用的可以归属于该分部的资产，不包括递延所得税资产。</w:t>
      </w:r>
    </w:p>
    <w:p>
      <w:pPr>
        <w:pStyle w:val="BodyText"/>
        <w:spacing w:line="408" w:lineRule="auto"/>
        <w:ind w:left="577" w:right="2664"/>
        <w:jc w:val="left"/>
      </w:pPr>
      <w:r>
        <w:rPr/>
        <w:t>低于</w:t>
      </w:r>
      <w:r>
        <w:rPr>
          <w:rFonts w:ascii="宋体" w:hAnsi="宋体" w:cs="宋体" w:eastAsia="宋体" w:hint="default"/>
        </w:rPr>
        <w:t>10%</w:t>
      </w:r>
      <w:r>
        <w:rPr/>
        <w:t>重要性标准的选择 经营分部未满足上述</w:t>
      </w:r>
      <w:r>
        <w:rPr>
          <w:rFonts w:ascii="宋体" w:hAnsi="宋体" w:cs="宋体" w:eastAsia="宋体" w:hint="default"/>
        </w:rPr>
        <w:t>10%</w:t>
      </w:r>
      <w:r>
        <w:rPr/>
        <w:t>重要性判断标准的，可以按照下列规定进行确定报告分部：</w:t>
      </w:r>
    </w:p>
    <w:p>
      <w:pPr>
        <w:pStyle w:val="BodyText"/>
        <w:spacing w:line="408" w:lineRule="auto"/>
        <w:ind w:right="1138" w:firstLine="423"/>
        <w:jc w:val="both"/>
      </w:pPr>
      <w:r>
        <w:rPr/>
        <w:t>（</w:t>
      </w:r>
      <w:r>
        <w:rPr>
          <w:rFonts w:ascii="宋体" w:hAnsi="宋体" w:cs="宋体" w:eastAsia="宋体" w:hint="default"/>
        </w:rPr>
        <w:t>1</w:t>
      </w:r>
      <w:r>
        <w:rPr/>
        <w:t>）企业管理层如果认为披露该经营分部信息对会计信息使用者有用，那么可以将其确定为报告分 部。在这种情况下，无论该分部是否满足</w:t>
      </w:r>
      <w:r>
        <w:rPr>
          <w:rFonts w:ascii="宋体" w:hAnsi="宋体" w:cs="宋体" w:eastAsia="宋体" w:hint="default"/>
        </w:rPr>
        <w:t>10%</w:t>
      </w:r>
      <w:r>
        <w:rPr/>
        <w:t>的重要性标准，企业都可以直接将其指定为报告分部。</w:t>
      </w:r>
    </w:p>
    <w:p>
      <w:pPr>
        <w:pStyle w:val="BodyText"/>
        <w:spacing w:line="408" w:lineRule="auto"/>
        <w:ind w:right="1131" w:firstLine="423"/>
        <w:jc w:val="both"/>
      </w:pPr>
      <w:r>
        <w:rPr/>
        <w:t>（</w:t>
      </w:r>
      <w:r>
        <w:rPr>
          <w:rFonts w:ascii="宋体" w:hAnsi="宋体" w:cs="宋体" w:eastAsia="宋体" w:hint="default"/>
        </w:rPr>
        <w:t>2</w:t>
      </w:r>
      <w:r>
        <w:rPr/>
        <w:t>）将该经营分部与一个或一个以上的具有相似经济特征、满足经营分部合并条件的其他经营分部 </w:t>
      </w:r>
      <w:r>
        <w:rPr>
          <w:spacing w:val="-1"/>
        </w:rPr>
        <w:t>合并，作为一个报告分部。对经营分部</w:t>
      </w:r>
      <w:r>
        <w:rPr>
          <w:rFonts w:ascii="宋体" w:hAnsi="宋体" w:cs="宋体" w:eastAsia="宋体" w:hint="default"/>
          <w:spacing w:val="-1"/>
        </w:rPr>
        <w:t>10%</w:t>
      </w:r>
      <w:r>
        <w:rPr>
          <w:spacing w:val="-1"/>
        </w:rPr>
        <w:t>的重要性测试可能会导致企业拥有大量未满足</w:t>
      </w:r>
      <w:r>
        <w:rPr>
          <w:rFonts w:ascii="宋体" w:hAnsi="宋体" w:cs="宋体" w:eastAsia="宋体" w:hint="default"/>
          <w:spacing w:val="-1"/>
        </w:rPr>
        <w:t>10%</w:t>
      </w:r>
      <w:r>
        <w:rPr>
          <w:spacing w:val="-1"/>
        </w:rPr>
        <w:t>数量临界线的</w:t>
      </w:r>
      <w:r>
        <w:rPr>
          <w:spacing w:val="-81"/>
        </w:rPr>
        <w:t> </w:t>
      </w:r>
      <w:r>
        <w:rPr>
          <w:spacing w:val="-81"/>
        </w:rPr>
      </w:r>
      <w:r>
        <w:rPr>
          <w:spacing w:val="-1"/>
        </w:rPr>
        <w:t>经营分部，在这种情况下，如果企业没有直接将这些分部指定为报告分部的，可以将一个或一个以上具有</w:t>
      </w:r>
      <w:r>
        <w:rPr>
          <w:spacing w:val="-83"/>
        </w:rPr>
        <w:t> </w:t>
      </w:r>
      <w:r>
        <w:rPr>
          <w:spacing w:val="-83"/>
        </w:rPr>
      </w:r>
      <w:r>
        <w:rPr/>
        <w:t>相似经济特征、满足经营分部合并条件的一个以上的经营分部合并成一个报告分部。</w:t>
      </w:r>
    </w:p>
    <w:p>
      <w:pPr>
        <w:pStyle w:val="BodyText"/>
        <w:spacing w:line="408" w:lineRule="auto"/>
        <w:ind w:right="1131" w:firstLine="423"/>
        <w:jc w:val="both"/>
      </w:pPr>
      <w:r>
        <w:rPr/>
        <w:t>（</w:t>
      </w:r>
      <w:r>
        <w:rPr>
          <w:rFonts w:ascii="宋体" w:hAnsi="宋体" w:cs="宋体" w:eastAsia="宋体" w:hint="default"/>
        </w:rPr>
        <w:t>3</w:t>
      </w:r>
      <w:r>
        <w:rPr/>
        <w:t>）不将该经营分部指定为报告分部，也不将该经营分部与其他未作为报告分部的经营分部合并为 </w:t>
      </w:r>
      <w:r>
        <w:rPr>
          <w:spacing w:val="-1"/>
        </w:rPr>
        <w:t>一个报告分部的，企业在披露分部信息时，应当将该经营分部的信息与其他组成部分的信息合并，作为其</w:t>
      </w:r>
      <w:r>
        <w:rPr>
          <w:spacing w:val="-83"/>
        </w:rPr>
        <w:t> </w:t>
      </w:r>
      <w:r>
        <w:rPr>
          <w:spacing w:val="-83"/>
        </w:rPr>
      </w:r>
      <w:r>
        <w:rPr/>
        <w:t>他项目单独披露。</w:t>
      </w:r>
    </w:p>
    <w:p>
      <w:pPr>
        <w:pStyle w:val="BodyText"/>
        <w:spacing w:line="240" w:lineRule="auto"/>
        <w:ind w:left="577" w:right="0"/>
        <w:jc w:val="left"/>
      </w:pPr>
      <w:r>
        <w:rPr/>
        <w:t>根据本公司内部组织结构、管理要求、内部报告制度为依据确定将索瑞及其子公司作为一个经营分部</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（简称湖北分部），除索瑞分部以外的公司作为一个经营分部（简称南京分部）。</w:t>
      </w:r>
    </w:p>
    <w:p>
      <w:pPr>
        <w:spacing w:line="240" w:lineRule="auto" w:before="10"/>
        <w:rPr>
          <w:rFonts w:ascii="宋体" w:hAnsi="宋体" w:cs="宋体" w:eastAsia="宋体" w:hint="default"/>
          <w:sz w:val="14"/>
          <w:szCs w:val="14"/>
        </w:rPr>
      </w:pPr>
    </w:p>
    <w:p>
      <w:pPr>
        <w:pStyle w:val="Heading4"/>
        <w:spacing w:line="240" w:lineRule="auto"/>
        <w:ind w:right="1122"/>
        <w:jc w:val="left"/>
        <w:rPr>
          <w:b w:val="0"/>
          <w:bCs w:val="0"/>
        </w:rPr>
      </w:pPr>
      <w:bookmarkStart w:name="（2）报告分部的财务信息" w:id="480"/>
      <w:bookmarkEnd w:id="480"/>
      <w:r>
        <w:rPr>
          <w:b w:val="0"/>
          <w:bCs w:val="0"/>
        </w:rPr>
      </w:r>
      <w:r>
        <w:rPr/>
        <w:t>（</w:t>
      </w:r>
      <w:r>
        <w:rPr>
          <w:rFonts w:ascii="宋体" w:hAnsi="宋体" w:cs="宋体" w:eastAsia="宋体" w:hint="default"/>
        </w:rPr>
        <w:t>2</w:t>
      </w:r>
      <w:r>
        <w:rPr/>
        <w:t>）报告分部的财务信息</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961"/>
        <w:gridCol w:w="1659"/>
        <w:gridCol w:w="1649"/>
        <w:gridCol w:w="1648"/>
        <w:gridCol w:w="1648"/>
      </w:tblGrid>
      <w:tr>
        <w:trPr>
          <w:trHeight w:val="415" w:hRule="exact"/>
        </w:trPr>
        <w:tc>
          <w:tcPr>
            <w:tcW w:w="296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5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湖北分部</w:t>
            </w:r>
          </w:p>
        </w:tc>
        <w:tc>
          <w:tcPr>
            <w:tcW w:w="164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南京分部</w:t>
            </w:r>
          </w:p>
        </w:tc>
        <w:tc>
          <w:tcPr>
            <w:tcW w:w="164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48" w:type="dxa"/>
            <w:tcBorders>
              <w:top w:val="single" w:sz="12" w:space="0" w:color="000000"/>
              <w:left w:val="single" w:sz="14" w:space="0" w:color="D9D9D9"/>
              <w:bottom w:val="single" w:sz="6" w:space="0" w:color="000000"/>
              <w:right w:val="single" w:sz="12"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29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9"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168,498,541.70</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270,290,199.21</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32" w:right="0"/>
              <w:jc w:val="left"/>
              <w:rPr>
                <w:rFonts w:ascii="宋体" w:hAnsi="宋体" w:cs="宋体" w:eastAsia="宋体" w:hint="default"/>
                <w:sz w:val="18"/>
                <w:szCs w:val="18"/>
              </w:rPr>
            </w:pPr>
            <w:r>
              <w:rPr>
                <w:rFonts w:ascii="宋体"/>
                <w:sz w:val="18"/>
              </w:rPr>
              <w:t>2,857,327.58</w:t>
            </w:r>
          </w:p>
        </w:tc>
        <w:tc>
          <w:tcPr>
            <w:tcW w:w="16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435,931,413.33</w:t>
            </w:r>
          </w:p>
        </w:tc>
      </w:tr>
      <w:tr>
        <w:trPr>
          <w:trHeight w:val="415" w:hRule="exact"/>
        </w:trPr>
        <w:tc>
          <w:tcPr>
            <w:tcW w:w="296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其中：对外交易</w:t>
            </w:r>
          </w:p>
        </w:tc>
        <w:tc>
          <w:tcPr>
            <w:tcW w:w="1659" w:type="dxa"/>
            <w:tcBorders>
              <w:top w:val="single" w:sz="6" w:space="0" w:color="000000"/>
              <w:left w:val="single" w:sz="9" w:space="0" w:color="D9D9D9"/>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165,641,214.12</w:t>
            </w:r>
          </w:p>
        </w:tc>
        <w:tc>
          <w:tcPr>
            <w:tcW w:w="16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270,290,199.21</w:t>
            </w:r>
          </w:p>
        </w:tc>
        <w:tc>
          <w:tcPr>
            <w:tcW w:w="1648" w:type="dxa"/>
            <w:tcBorders>
              <w:top w:val="single" w:sz="6" w:space="0" w:color="000000"/>
              <w:left w:val="single" w:sz="6" w:space="0" w:color="000000"/>
              <w:bottom w:val="single" w:sz="12" w:space="0" w:color="000000"/>
              <w:right w:val="single" w:sz="6" w:space="0" w:color="000000"/>
            </w:tcBorders>
          </w:tcPr>
          <w:p>
            <w:pPr/>
          </w:p>
        </w:tc>
        <w:tc>
          <w:tcPr>
            <w:tcW w:w="164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435,931,413.33</w:t>
            </w:r>
          </w:p>
        </w:tc>
      </w:tr>
    </w:tbl>
    <w:p>
      <w:pPr>
        <w:spacing w:after="0" w:line="240" w:lineRule="auto"/>
        <w:jc w:val="right"/>
        <w:rPr>
          <w:rFonts w:ascii="宋体" w:hAnsi="宋体" w:cs="宋体" w:eastAsia="宋体" w:hint="default"/>
          <w:sz w:val="18"/>
          <w:szCs w:val="18"/>
        </w:rPr>
        <w:sectPr>
          <w:pgSz w:w="11910" w:h="16840"/>
          <w:pgMar w:header="877" w:footer="1000" w:top="1040" w:bottom="1180" w:left="980" w:right="0"/>
        </w:sectPr>
      </w:pPr>
    </w:p>
    <w:p>
      <w:pPr>
        <w:spacing w:line="240" w:lineRule="auto" w:before="3"/>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2961"/>
        <w:gridCol w:w="1659"/>
        <w:gridCol w:w="1649"/>
        <w:gridCol w:w="1648"/>
        <w:gridCol w:w="1648"/>
      </w:tblGrid>
      <w:tr>
        <w:trPr>
          <w:trHeight w:val="415" w:hRule="exact"/>
        </w:trPr>
        <w:tc>
          <w:tcPr>
            <w:tcW w:w="296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5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湖北分部</w:t>
            </w:r>
          </w:p>
        </w:tc>
        <w:tc>
          <w:tcPr>
            <w:tcW w:w="164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南京分部</w:t>
            </w:r>
          </w:p>
        </w:tc>
        <w:tc>
          <w:tcPr>
            <w:tcW w:w="164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48" w:type="dxa"/>
            <w:tcBorders>
              <w:top w:val="single" w:sz="12" w:space="0" w:color="000000"/>
              <w:left w:val="single" w:sz="14" w:space="0" w:color="D9D9D9"/>
              <w:bottom w:val="single" w:sz="6" w:space="0" w:color="000000"/>
              <w:right w:val="single" w:sz="12"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29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分部间交易</w:t>
            </w:r>
          </w:p>
        </w:tc>
        <w:tc>
          <w:tcPr>
            <w:tcW w:w="1659"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2,857,327.58</w:t>
            </w:r>
          </w:p>
        </w:tc>
        <w:tc>
          <w:tcPr>
            <w:tcW w:w="1649"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2,857,327.58</w:t>
            </w:r>
          </w:p>
        </w:tc>
        <w:tc>
          <w:tcPr>
            <w:tcW w:w="164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9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对外交易收入占分部收入总额百分比</w:t>
            </w:r>
          </w:p>
        </w:tc>
        <w:tc>
          <w:tcPr>
            <w:tcW w:w="1659"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98.30</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100.00</w:t>
            </w:r>
          </w:p>
        </w:tc>
        <w:tc>
          <w:tcPr>
            <w:tcW w:w="1648"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07" w:hRule="exact"/>
        </w:trPr>
        <w:tc>
          <w:tcPr>
            <w:tcW w:w="29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59"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12,362,032.42</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4,193,397.91</w:t>
            </w:r>
          </w:p>
        </w:tc>
        <w:tc>
          <w:tcPr>
            <w:tcW w:w="1648"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16,555,430.33</w:t>
            </w:r>
          </w:p>
        </w:tc>
      </w:tr>
      <w:tr>
        <w:trPr>
          <w:trHeight w:val="407" w:hRule="exact"/>
        </w:trPr>
        <w:tc>
          <w:tcPr>
            <w:tcW w:w="29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9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59"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2,624,187.46</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24,128,461.64</w:t>
            </w:r>
          </w:p>
        </w:tc>
        <w:tc>
          <w:tcPr>
            <w:tcW w:w="1648"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26,752,649.10</w:t>
            </w:r>
          </w:p>
        </w:tc>
      </w:tr>
      <w:tr>
        <w:trPr>
          <w:trHeight w:val="407" w:hRule="exact"/>
        </w:trPr>
        <w:tc>
          <w:tcPr>
            <w:tcW w:w="29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9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59"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185,197.69</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5,076,773.91</w:t>
            </w:r>
          </w:p>
        </w:tc>
        <w:tc>
          <w:tcPr>
            <w:tcW w:w="1648"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5,261,971.60</w:t>
            </w:r>
          </w:p>
        </w:tc>
      </w:tr>
      <w:tr>
        <w:trPr>
          <w:trHeight w:val="408" w:hRule="exact"/>
        </w:trPr>
        <w:tc>
          <w:tcPr>
            <w:tcW w:w="29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2"/>
              <w:ind w:left="9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59"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2,438,989.77</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19,051,687.73</w:t>
            </w:r>
          </w:p>
        </w:tc>
        <w:tc>
          <w:tcPr>
            <w:tcW w:w="1648"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21,490,677.50</w:t>
            </w:r>
          </w:p>
        </w:tc>
      </w:tr>
      <w:tr>
        <w:trPr>
          <w:trHeight w:val="407" w:hRule="exact"/>
        </w:trPr>
        <w:tc>
          <w:tcPr>
            <w:tcW w:w="296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59" w:type="dxa"/>
            <w:tcBorders>
              <w:top w:val="single" w:sz="6" w:space="0" w:color="000000"/>
              <w:left w:val="single" w:sz="9" w:space="0" w:color="D9D9D9"/>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649,849,014.19</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1,835,768,936.63</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661,829,756.12</w:t>
            </w:r>
          </w:p>
        </w:tc>
        <w:tc>
          <w:tcPr>
            <w:tcW w:w="16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1,823,788,194.70</w:t>
            </w:r>
          </w:p>
        </w:tc>
      </w:tr>
      <w:tr>
        <w:trPr>
          <w:trHeight w:val="415" w:hRule="exact"/>
        </w:trPr>
        <w:tc>
          <w:tcPr>
            <w:tcW w:w="2961"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59" w:type="dxa"/>
            <w:tcBorders>
              <w:top w:val="single" w:sz="6" w:space="0" w:color="000000"/>
              <w:left w:val="single" w:sz="9" w:space="0" w:color="D9D9D9"/>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94,313,020.14</w:t>
            </w:r>
          </w:p>
        </w:tc>
        <w:tc>
          <w:tcPr>
            <w:tcW w:w="16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723,065,073.91</w:t>
            </w:r>
          </w:p>
        </w:tc>
        <w:tc>
          <w:tcPr>
            <w:tcW w:w="16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50,518,956.12</w:t>
            </w:r>
          </w:p>
        </w:tc>
        <w:tc>
          <w:tcPr>
            <w:tcW w:w="164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766,859,137.93</w:t>
            </w:r>
          </w:p>
        </w:tc>
      </w:tr>
    </w:tbl>
    <w:p>
      <w:pPr>
        <w:pStyle w:val="Heading4"/>
        <w:spacing w:line="240" w:lineRule="auto" w:before="63"/>
        <w:ind w:right="0"/>
        <w:jc w:val="both"/>
        <w:rPr>
          <w:b w:val="0"/>
          <w:bCs w:val="0"/>
        </w:rPr>
      </w:pPr>
      <w:bookmarkStart w:name="（3）公司无报告分部的，或者不能披露各报告分部的资产总额和负债总额的，应说明原因" w:id="481"/>
      <w:bookmarkEnd w:id="481"/>
      <w:r>
        <w:rPr>
          <w:b w:val="0"/>
          <w:bCs w:val="0"/>
        </w:rPr>
      </w:r>
      <w:r>
        <w:rPr/>
        <w:t>（</w:t>
      </w:r>
      <w:r>
        <w:rPr>
          <w:rFonts w:ascii="宋体" w:hAnsi="宋体" w:cs="宋体" w:eastAsia="宋体"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4）其他说明" w:id="482"/>
      <w:bookmarkEnd w:id="482"/>
      <w:r>
        <w:rPr>
          <w:b w:val="0"/>
          <w:bCs w:val="0"/>
        </w:rPr>
      </w:r>
      <w:r>
        <w:rPr/>
        <w:t>（</w:t>
      </w:r>
      <w:r>
        <w:rPr>
          <w:rFonts w:ascii="宋体" w:hAnsi="宋体" w:cs="宋体" w:eastAsia="宋体" w:hint="default"/>
        </w:rPr>
        <w:t>4</w:t>
      </w:r>
      <w:r>
        <w:rPr/>
        <w:t>）其他说明</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655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其他对投资者决策有影响的重要交易和事项" w:id="483"/>
      <w:bookmarkEnd w:id="483"/>
      <w:r>
        <w:rPr>
          <w:rFonts w:ascii="宋体" w:hAnsi="宋体" w:cs="宋体" w:eastAsia="宋体" w:hint="default"/>
          <w:sz w:val="21"/>
          <w:szCs w:val="21"/>
        </w:rPr>
      </w:r>
      <w:r>
        <w:rPr>
          <w:rFonts w:ascii="宋体" w:hAnsi="宋体" w:cs="宋体" w:eastAsia="宋体" w:hint="default"/>
          <w:b/>
          <w:bCs/>
          <w:w w:val="95"/>
          <w:sz w:val="21"/>
          <w:szCs w:val="21"/>
        </w:rPr>
        <w:t>7</w:t>
      </w:r>
      <w:r>
        <w:rPr>
          <w:rFonts w:ascii="宋体" w:hAnsi="宋体" w:cs="宋体" w:eastAsia="宋体" w:hint="default"/>
          <w:b/>
          <w:bCs/>
          <w:w w:val="95"/>
          <w:sz w:val="21"/>
          <w:szCs w:val="21"/>
        </w:rPr>
        <w:t>、其他对投资者决策有影响的重要交易和事项</w:t>
      </w:r>
      <w:r>
        <w:rPr>
          <w:rFonts w:ascii="宋体" w:hAnsi="宋体" w:cs="宋体" w:eastAsia="宋体" w:hint="default"/>
          <w:sz w:val="21"/>
          <w:szCs w:val="21"/>
        </w:rPr>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8、其他" w:id="484"/>
      <w:bookmarkEnd w:id="484"/>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408" w:lineRule="auto"/>
        <w:ind w:left="577" w:right="1122"/>
        <w:jc w:val="left"/>
      </w:pPr>
      <w:r>
        <w:rPr/>
        <w:t>（</w:t>
      </w:r>
      <w:r>
        <w:rPr>
          <w:rFonts w:ascii="宋体" w:hAnsi="宋体" w:cs="宋体" w:eastAsia="宋体" w:hint="default"/>
        </w:rPr>
        <w:t>1</w:t>
      </w:r>
      <w:r>
        <w:rPr/>
        <w:t>）诉讼 </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20</w:t>
      </w:r>
      <w:r>
        <w:rPr/>
        <w:t>日作为本公司供应商的北京联泰时代科技发展有限公司向北京市东城区人民法院提起民</w:t>
      </w:r>
    </w:p>
    <w:p>
      <w:pPr>
        <w:pStyle w:val="BodyText"/>
        <w:spacing w:line="408" w:lineRule="auto"/>
        <w:ind w:right="1103"/>
        <w:jc w:val="both"/>
      </w:pPr>
      <w:r>
        <w:rPr/>
        <w:t>事</w:t>
      </w:r>
      <w:r>
        <w:rPr>
          <w:spacing w:val="-77"/>
        </w:rPr>
        <w:t> </w:t>
      </w:r>
      <w:r>
        <w:rPr/>
        <w:t>起</w:t>
      </w:r>
      <w:r>
        <w:rPr>
          <w:spacing w:val="-77"/>
        </w:rPr>
        <w:t> </w:t>
      </w:r>
      <w:r>
        <w:rPr/>
        <w:t>诉</w:t>
      </w:r>
      <w:r>
        <w:rPr>
          <w:spacing w:val="-77"/>
        </w:rPr>
        <w:t> </w:t>
      </w:r>
      <w:r>
        <w:rPr/>
        <w:t>请</w:t>
      </w:r>
      <w:r>
        <w:rPr>
          <w:spacing w:val="-77"/>
        </w:rPr>
        <w:t> </w:t>
      </w:r>
      <w:r>
        <w:rPr/>
        <w:t>求</w:t>
      </w:r>
      <w:r>
        <w:rPr>
          <w:spacing w:val="-76"/>
        </w:rPr>
        <w:t> </w:t>
      </w:r>
      <w:r>
        <w:rPr/>
        <w:t>法</w:t>
      </w:r>
      <w:r>
        <w:rPr>
          <w:spacing w:val="-77"/>
        </w:rPr>
        <w:t> </w:t>
      </w:r>
      <w:r>
        <w:rPr/>
        <w:t>院</w:t>
      </w:r>
      <w:r>
        <w:rPr>
          <w:spacing w:val="-77"/>
        </w:rPr>
        <w:t> </w:t>
      </w:r>
      <w:r>
        <w:rPr/>
        <w:t>判</w:t>
      </w:r>
      <w:r>
        <w:rPr>
          <w:spacing w:val="-77"/>
        </w:rPr>
        <w:t> </w:t>
      </w:r>
      <w:r>
        <w:rPr/>
        <w:t>令</w:t>
      </w:r>
      <w:r>
        <w:rPr>
          <w:spacing w:val="-77"/>
        </w:rPr>
        <w:t> </w:t>
      </w:r>
      <w:r>
        <w:rPr/>
        <w:t>本</w:t>
      </w:r>
      <w:r>
        <w:rPr>
          <w:spacing w:val="-76"/>
        </w:rPr>
        <w:t> </w:t>
      </w:r>
      <w:r>
        <w:rPr/>
        <w:t>公</w:t>
      </w:r>
      <w:r>
        <w:rPr>
          <w:spacing w:val="-77"/>
        </w:rPr>
        <w:t> </w:t>
      </w:r>
      <w:r>
        <w:rPr/>
        <w:t>司</w:t>
      </w:r>
      <w:r>
        <w:rPr>
          <w:spacing w:val="-77"/>
        </w:rPr>
        <w:t> </w:t>
      </w:r>
      <w:r>
        <w:rPr/>
        <w:t>全</w:t>
      </w:r>
      <w:r>
        <w:rPr>
          <w:spacing w:val="-77"/>
        </w:rPr>
        <w:t> </w:t>
      </w:r>
      <w:r>
        <w:rPr/>
        <w:t>资</w:t>
      </w:r>
      <w:r>
        <w:rPr>
          <w:spacing w:val="-77"/>
        </w:rPr>
        <w:t> </w:t>
      </w:r>
      <w:r>
        <w:rPr/>
        <w:t>子</w:t>
      </w:r>
      <w:r>
        <w:rPr>
          <w:spacing w:val="-76"/>
        </w:rPr>
        <w:t> </w:t>
      </w:r>
      <w:r>
        <w:rPr/>
        <w:t>公</w:t>
      </w:r>
      <w:r>
        <w:rPr>
          <w:spacing w:val="-77"/>
        </w:rPr>
        <w:t> </w:t>
      </w:r>
      <w:r>
        <w:rPr/>
        <w:t>司</w:t>
      </w:r>
      <w:r>
        <w:rPr>
          <w:spacing w:val="-77"/>
        </w:rPr>
        <w:t> </w:t>
      </w:r>
      <w:r>
        <w:rPr/>
        <w:t>湖</w:t>
      </w:r>
      <w:r>
        <w:rPr>
          <w:spacing w:val="-77"/>
        </w:rPr>
        <w:t> </w:t>
      </w:r>
      <w:r>
        <w:rPr/>
        <w:t>北</w:t>
      </w:r>
      <w:r>
        <w:rPr>
          <w:spacing w:val="-77"/>
        </w:rPr>
        <w:t> </w:t>
      </w:r>
      <w:r>
        <w:rPr/>
        <w:t>索</w:t>
      </w:r>
      <w:r>
        <w:rPr>
          <w:spacing w:val="-76"/>
        </w:rPr>
        <w:t> </w:t>
      </w:r>
      <w:r>
        <w:rPr/>
        <w:t>瑞</w:t>
      </w:r>
      <w:r>
        <w:rPr>
          <w:spacing w:val="-77"/>
        </w:rPr>
        <w:t> </w:t>
      </w:r>
      <w:r>
        <w:rPr/>
        <w:t>电</w:t>
      </w:r>
      <w:r>
        <w:rPr>
          <w:spacing w:val="-77"/>
        </w:rPr>
        <w:t> </w:t>
      </w:r>
      <w:r>
        <w:rPr/>
        <w:t>气</w:t>
      </w:r>
      <w:r>
        <w:rPr>
          <w:spacing w:val="-77"/>
        </w:rPr>
        <w:t> </w:t>
      </w:r>
      <w:r>
        <w:rPr/>
        <w:t>有</w:t>
      </w:r>
      <w:r>
        <w:rPr>
          <w:spacing w:val="-77"/>
        </w:rPr>
        <w:t> </w:t>
      </w:r>
      <w:r>
        <w:rPr/>
        <w:t>限</w:t>
      </w:r>
      <w:r>
        <w:rPr>
          <w:spacing w:val="-76"/>
        </w:rPr>
        <w:t> </w:t>
      </w:r>
      <w:r>
        <w:rPr/>
        <w:t>公</w:t>
      </w:r>
      <w:r>
        <w:rPr>
          <w:spacing w:val="-77"/>
        </w:rPr>
        <w:t> </w:t>
      </w:r>
      <w:r>
        <w:rPr/>
        <w:t>司</w:t>
      </w:r>
      <w:r>
        <w:rPr>
          <w:spacing w:val="-77"/>
        </w:rPr>
        <w:t> </w:t>
      </w:r>
      <w:r>
        <w:rPr/>
        <w:t>支</w:t>
      </w:r>
      <w:r>
        <w:rPr>
          <w:spacing w:val="-77"/>
        </w:rPr>
        <w:t> </w:t>
      </w:r>
      <w:r>
        <w:rPr/>
        <w:t>付</w:t>
      </w:r>
      <w:r>
        <w:rPr>
          <w:spacing w:val="-77"/>
        </w:rPr>
        <w:t> </w:t>
      </w:r>
      <w:r>
        <w:rPr/>
        <w:t>截</w:t>
      </w:r>
      <w:r>
        <w:rPr>
          <w:spacing w:val="-76"/>
        </w:rPr>
        <w:t> </w:t>
      </w:r>
      <w:r>
        <w:rPr/>
        <w:t>至</w:t>
      </w:r>
      <w:r>
        <w:rPr>
          <w:spacing w:val="-69"/>
        </w:rPr>
        <w:t> </w:t>
      </w:r>
      <w:r>
        <w:rPr>
          <w:rFonts w:ascii="宋体" w:hAnsi="宋体" w:cs="宋体" w:eastAsia="宋体" w:hint="default"/>
        </w:rPr>
        <w:t>2018</w:t>
      </w:r>
      <w:r>
        <w:rPr>
          <w:rFonts w:ascii="宋体" w:hAnsi="宋体" w:cs="宋体" w:eastAsia="宋体" w:hint="default"/>
          <w:spacing w:val="-77"/>
        </w:rPr>
        <w:t> </w:t>
      </w:r>
      <w:r>
        <w:rPr/>
        <w:t>年</w:t>
      </w:r>
      <w:r>
        <w:rPr>
          <w:spacing w:val="-77"/>
        </w:rPr>
        <w:t> </w:t>
      </w:r>
      <w:r>
        <w:rPr>
          <w:rFonts w:ascii="宋体" w:hAnsi="宋体" w:cs="宋体" w:eastAsia="宋体" w:hint="default"/>
        </w:rPr>
        <w:t>8</w:t>
      </w:r>
      <w:r>
        <w:rPr>
          <w:rFonts w:ascii="宋体" w:hAnsi="宋体" w:cs="宋体" w:eastAsia="宋体" w:hint="default"/>
          <w:spacing w:val="-77"/>
        </w:rPr>
        <w:t> </w:t>
      </w:r>
      <w:r>
        <w:rPr/>
        <w:t>月</w:t>
      </w:r>
      <w:r>
        <w:rPr>
          <w:spacing w:val="-77"/>
        </w:rPr>
        <w:t> </w:t>
      </w:r>
      <w:r>
        <w:rPr>
          <w:rFonts w:ascii="宋体" w:hAnsi="宋体" w:cs="宋体" w:eastAsia="宋体" w:hint="default"/>
        </w:rPr>
        <w:t>30</w:t>
      </w:r>
      <w:r>
        <w:rPr>
          <w:rFonts w:ascii="宋体" w:hAnsi="宋体" w:cs="宋体" w:eastAsia="宋体" w:hint="default"/>
          <w:spacing w:val="-76"/>
        </w:rPr>
        <w:t> </w:t>
      </w:r>
      <w:r>
        <w:rPr>
          <w:spacing w:val="21"/>
        </w:rPr>
        <w:t>日的货款</w:t>
      </w:r>
      <w:r>
        <w:rPr>
          <w:spacing w:val="-77"/>
        </w:rPr>
        <w:t> </w:t>
      </w:r>
      <w:r>
        <w:rPr>
          <w:rFonts w:ascii="宋体" w:hAnsi="宋体" w:cs="宋体" w:eastAsia="宋体" w:hint="default"/>
        </w:rPr>
        <w:t>11,972,778.79</w:t>
      </w:r>
      <w:r>
        <w:rPr/>
        <w:t>元，另请求支付逾期利息</w:t>
      </w:r>
      <w:r>
        <w:rPr>
          <w:rFonts w:ascii="宋体" w:hAnsi="宋体" w:cs="宋体" w:eastAsia="宋体" w:hint="default"/>
        </w:rPr>
        <w:t>940,617.00</w:t>
      </w:r>
      <w:r>
        <w:rPr/>
        <w:t>元，</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21</w:t>
      </w:r>
      <w:r>
        <w:rPr/>
        <w:t>日，经北京市东城区人民法院裁定</w:t>
      </w:r>
      <w:r>
        <w:rPr>
          <w:spacing w:val="-33"/>
        </w:rPr>
        <w:t> </w:t>
      </w:r>
      <w:r>
        <w:rPr>
          <w:spacing w:val="-33"/>
        </w:rPr>
      </w:r>
      <w:r>
        <w:rPr>
          <w:spacing w:val="-1"/>
        </w:rPr>
        <w:t>本案管辖权存在异议，将管辖权移送至公安县人民法院，截至本报告签发日，本案尚未开庭审理，本公司</w:t>
      </w:r>
      <w:r>
        <w:rPr>
          <w:spacing w:val="-86"/>
        </w:rPr>
        <w:t> </w:t>
      </w:r>
      <w:r>
        <w:rPr>
          <w:spacing w:val="-86"/>
        </w:rPr>
      </w:r>
      <w:r>
        <w:rPr/>
        <w:t>现准备积极应诉。</w:t>
      </w:r>
    </w:p>
    <w:p>
      <w:pPr>
        <w:pStyle w:val="BodyText"/>
        <w:spacing w:line="408" w:lineRule="auto"/>
        <w:ind w:left="577" w:right="1192"/>
        <w:jc w:val="left"/>
      </w:pPr>
      <w:r>
        <w:rPr/>
        <w:t>（</w:t>
      </w:r>
      <w:r>
        <w:rPr>
          <w:rFonts w:ascii="宋体" w:hAnsi="宋体" w:cs="宋体" w:eastAsia="宋体" w:hint="default"/>
        </w:rPr>
        <w:t>2</w:t>
      </w:r>
      <w:r>
        <w:rPr/>
        <w:t>）重大资产重组 </w:t>
      </w:r>
      <w:r>
        <w:rPr>
          <w:rFonts w:ascii="宋体" w:hAnsi="宋体" w:cs="宋体" w:eastAsia="宋体" w:hint="default"/>
          <w:spacing w:val="-6"/>
        </w:rPr>
        <w:t>2018</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11</w:t>
      </w:r>
      <w:r>
        <w:rPr>
          <w:spacing w:val="-6"/>
        </w:rPr>
        <w:t>日公司披露了《关于重大资产重组进展暨调整重组标的的公告》（公告编号</w:t>
      </w:r>
      <w:r>
        <w:rPr>
          <w:rFonts w:ascii="宋体" w:hAnsi="宋体" w:cs="宋体" w:eastAsia="宋体" w:hint="default"/>
          <w:spacing w:val="-6"/>
        </w:rPr>
        <w:t>2018-112</w:t>
      </w:r>
      <w:r>
        <w:rPr>
          <w:spacing w:val="-6"/>
        </w:rPr>
        <w:t>），</w:t>
      </w:r>
      <w:r>
        <w:rPr/>
      </w:r>
    </w:p>
    <w:p>
      <w:pPr>
        <w:pStyle w:val="BodyText"/>
        <w:spacing w:line="408" w:lineRule="auto"/>
        <w:ind w:right="1129"/>
        <w:jc w:val="both"/>
      </w:pPr>
      <w:r>
        <w:rPr>
          <w:spacing w:val="-1"/>
        </w:rPr>
        <w:t>对重组方案进行调整，终止对标的公司安瑞信杰的股权收购，继续推进标的公司森宇文化的股权收构，同</w:t>
      </w:r>
      <w:r>
        <w:rPr>
          <w:spacing w:val="-83"/>
        </w:rPr>
        <w:t> </w:t>
      </w:r>
      <w:r>
        <w:rPr>
          <w:spacing w:val="-83"/>
        </w:rPr>
      </w:r>
      <w:r>
        <w:rPr/>
        <w:t>时增加龙源数媒的股权收购，调整后的股权收购方案仍采用发行股份及支付现金购买资产方式。</w:t>
      </w:r>
      <w:r>
        <w:rPr>
          <w:rFonts w:ascii="宋体" w:hAnsi="宋体" w:cs="宋体" w:eastAsia="宋体" w:hint="default"/>
        </w:rPr>
        <w:t>2019</w:t>
      </w:r>
      <w:r>
        <w:rPr/>
        <w:t>年</w:t>
      </w:r>
      <w:r>
        <w:rPr>
          <w:rFonts w:ascii="宋体" w:hAnsi="宋体" w:cs="宋体" w:eastAsia="宋体" w:hint="default"/>
        </w:rPr>
        <w:t>4</w:t>
      </w:r>
      <w:r>
        <w:rPr>
          <w:rFonts w:ascii="宋体" w:hAnsi="宋体" w:cs="宋体" w:eastAsia="宋体" w:hint="default"/>
          <w:spacing w:val="-24"/>
        </w:rPr>
        <w:t> </w:t>
      </w:r>
      <w:r>
        <w:rPr>
          <w:spacing w:val="-1"/>
        </w:rPr>
        <w:t>月</w:t>
      </w:r>
      <w:r>
        <w:rPr>
          <w:rFonts w:ascii="宋体" w:hAnsi="宋体" w:cs="宋体" w:eastAsia="宋体" w:hint="default"/>
          <w:spacing w:val="-1"/>
        </w:rPr>
        <w:t>19</w:t>
      </w:r>
      <w:r>
        <w:rPr>
          <w:spacing w:val="-1"/>
        </w:rPr>
        <w:t>日召开第四届董事会第二次会议审议通过了《关于终止筹划重大资产重组的议案》，经审慎研究并与</w:t>
      </w:r>
      <w:r>
        <w:rPr>
          <w:spacing w:val="-84"/>
        </w:rPr>
        <w:t> </w:t>
      </w:r>
      <w:r>
        <w:rPr>
          <w:spacing w:val="-84"/>
        </w:rPr>
      </w:r>
      <w:r>
        <w:rPr/>
        <w:t>交易对方友好协商，交易各方决定终止筹划本次重大资产重组。</w:t>
      </w:r>
    </w:p>
    <w:p>
      <w:pPr>
        <w:spacing w:after="0" w:line="408" w:lineRule="auto"/>
        <w:jc w:val="both"/>
        <w:sectPr>
          <w:pgSz w:w="11910" w:h="16840"/>
          <w:pgMar w:header="877" w:footer="1000" w:top="1040" w:bottom="1180" w:left="980" w:right="0"/>
        </w:sectPr>
      </w:pPr>
    </w:p>
    <w:p>
      <w:pPr>
        <w:spacing w:line="240" w:lineRule="auto" w:before="0"/>
        <w:rPr>
          <w:rFonts w:ascii="宋体" w:hAnsi="宋体" w:cs="宋体" w:eastAsia="宋体" w:hint="default"/>
          <w:sz w:val="20"/>
          <w:szCs w:val="20"/>
        </w:rPr>
      </w:pPr>
    </w:p>
    <w:p>
      <w:pPr>
        <w:pStyle w:val="Heading2"/>
        <w:spacing w:line="240" w:lineRule="auto" w:before="161"/>
        <w:ind w:right="1122"/>
        <w:jc w:val="left"/>
        <w:rPr>
          <w:b w:val="0"/>
          <w:bCs w:val="0"/>
        </w:rPr>
      </w:pPr>
      <w:bookmarkStart w:name="十七、母公司财务报表主要项目注释" w:id="485"/>
      <w:bookmarkEnd w:id="485"/>
      <w:r>
        <w:rPr>
          <w:b w:val="0"/>
          <w:bCs w:val="0"/>
        </w:rPr>
      </w:r>
      <w:r>
        <w:rPr/>
        <w:t>十七、母公司财务报表主要项目注释</w:t>
      </w:r>
      <w:r>
        <w:rPr>
          <w:b w:val="0"/>
          <w:bCs w:val="0"/>
        </w:rPr>
      </w:r>
    </w:p>
    <w:p>
      <w:pPr>
        <w:pStyle w:val="Heading4"/>
        <w:spacing w:line="240" w:lineRule="auto" w:before="177"/>
        <w:ind w:right="1122"/>
        <w:jc w:val="left"/>
        <w:rPr>
          <w:b w:val="0"/>
          <w:bCs w:val="0"/>
        </w:rPr>
      </w:pPr>
      <w:bookmarkStart w:name="1、应收票据及应收账款" w:id="486"/>
      <w:bookmarkEnd w:id="486"/>
      <w:r>
        <w:rPr>
          <w:b w:val="0"/>
          <w:bCs w:val="0"/>
        </w:rPr>
      </w:r>
      <w:r>
        <w:rPr>
          <w:rFonts w:ascii="宋体" w:hAnsi="宋体" w:cs="宋体" w:eastAsia="宋体" w:hint="default"/>
        </w:rPr>
        <w:t>1</w:t>
      </w:r>
      <w:r>
        <w:rPr/>
        <w:t>、应收票据及应收账款</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72"/>
        <w:gridCol w:w="3202"/>
        <w:gridCol w:w="3189"/>
      </w:tblGrid>
      <w:tr>
        <w:trPr>
          <w:trHeight w:val="413" w:hRule="exact"/>
        </w:trPr>
        <w:tc>
          <w:tcPr>
            <w:tcW w:w="317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3,407,400.00</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3,405,328.00</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200,371,602.75</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176,729,591.48</w:t>
            </w:r>
          </w:p>
        </w:tc>
      </w:tr>
      <w:tr>
        <w:trPr>
          <w:trHeight w:val="412" w:hRule="exact"/>
        </w:trPr>
        <w:tc>
          <w:tcPr>
            <w:tcW w:w="317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203,779,002.75</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180,134,919.48</w:t>
            </w:r>
          </w:p>
        </w:tc>
      </w:tr>
    </w:tbl>
    <w:p>
      <w:pPr>
        <w:spacing w:line="408" w:lineRule="auto" w:before="63"/>
        <w:ind w:left="154" w:right="8862" w:firstLine="0"/>
        <w:jc w:val="left"/>
        <w:rPr>
          <w:rFonts w:ascii="宋体" w:hAnsi="宋体" w:cs="宋体" w:eastAsia="宋体" w:hint="default"/>
          <w:sz w:val="21"/>
          <w:szCs w:val="21"/>
        </w:rPr>
      </w:pPr>
      <w:bookmarkStart w:name="（1）应收票据" w:id="487"/>
      <w:bookmarkEnd w:id="48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）应收票据</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应收票据分类列示</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72"/>
        <w:gridCol w:w="3202"/>
        <w:gridCol w:w="3189"/>
      </w:tblGrid>
      <w:tr>
        <w:trPr>
          <w:trHeight w:val="411" w:hRule="exact"/>
        </w:trPr>
        <w:tc>
          <w:tcPr>
            <w:tcW w:w="317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3,407,400.00</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3,405,328.00</w:t>
            </w:r>
          </w:p>
        </w:tc>
      </w:tr>
      <w:tr>
        <w:trPr>
          <w:trHeight w:val="412" w:hRule="exact"/>
        </w:trPr>
        <w:tc>
          <w:tcPr>
            <w:tcW w:w="317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3,407,400.00</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3,405,328.00</w:t>
            </w:r>
          </w:p>
        </w:tc>
      </w:tr>
    </w:tbl>
    <w:p>
      <w:pPr>
        <w:pStyle w:val="BodyText"/>
        <w:spacing w:line="240" w:lineRule="auto" w:before="63"/>
        <w:ind w:right="1122"/>
        <w:jc w:val="left"/>
      </w:pPr>
      <w:r>
        <w:rPr>
          <w:rFonts w:ascii="宋体" w:hAnsi="宋体" w:cs="宋体" w:eastAsia="宋体" w:hint="default"/>
        </w:rPr>
        <w:t>2)</w:t>
      </w:r>
      <w:r>
        <w:rPr/>
        <w:t>期末公司已质押的应收票据</w:t>
      </w:r>
    </w:p>
    <w:p>
      <w:pPr>
        <w:spacing w:line="240" w:lineRule="auto" w:before="10"/>
        <w:rPr>
          <w:rFonts w:ascii="宋体" w:hAnsi="宋体" w:cs="宋体" w:eastAsia="宋体" w:hint="default"/>
          <w:sz w:val="14"/>
          <w:szCs w:val="14"/>
        </w:rPr>
      </w:pPr>
    </w:p>
    <w:p>
      <w:pPr>
        <w:pStyle w:val="BodyText"/>
        <w:spacing w:line="408" w:lineRule="auto" w:before="0"/>
        <w:ind w:right="4872"/>
        <w:jc w:val="left"/>
      </w:pPr>
      <w:r>
        <w:rPr/>
        <w:t>□ 适用 √</w:t>
      </w:r>
      <w:r>
        <w:rPr>
          <w:spacing w:val="-1"/>
        </w:rPr>
        <w:t> </w:t>
      </w:r>
      <w:r>
        <w:rPr/>
        <w:t>不适用</w:t>
      </w:r>
      <w:r>
        <w:rPr/>
        <w:t> </w:t>
      </w:r>
      <w:r>
        <w:rPr>
          <w:rFonts w:ascii="宋体" w:hAnsi="宋体" w:cs="宋体" w:eastAsia="宋体" w:hint="default"/>
        </w:rPr>
        <w:t>3)</w:t>
      </w:r>
      <w:r>
        <w:rPr/>
        <w:t>期末公司已背书或贴现且在资产负债表日尚未到期的应收票据</w:t>
      </w:r>
    </w:p>
    <w:p>
      <w:pPr>
        <w:spacing w:line="230"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72"/>
        <w:gridCol w:w="3202"/>
        <w:gridCol w:w="3189"/>
      </w:tblGrid>
      <w:tr>
        <w:trPr>
          <w:trHeight w:val="412" w:hRule="exact"/>
        </w:trPr>
        <w:tc>
          <w:tcPr>
            <w:tcW w:w="317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10,308,000.00</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3,875,000.00</w:t>
            </w:r>
          </w:p>
        </w:tc>
      </w:tr>
      <w:tr>
        <w:trPr>
          <w:trHeight w:val="412" w:hRule="exact"/>
        </w:trPr>
        <w:tc>
          <w:tcPr>
            <w:tcW w:w="317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10,308,000.00</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3,875,000.00</w:t>
            </w:r>
          </w:p>
        </w:tc>
      </w:tr>
    </w:tbl>
    <w:p>
      <w:pPr>
        <w:pStyle w:val="BodyText"/>
        <w:spacing w:line="240" w:lineRule="auto" w:before="63"/>
        <w:ind w:right="1122"/>
        <w:jc w:val="left"/>
      </w:pPr>
      <w:r>
        <w:rPr>
          <w:rFonts w:ascii="宋体" w:hAnsi="宋体" w:cs="宋体" w:eastAsia="宋体" w:hint="default"/>
        </w:rPr>
        <w:t>4)</w:t>
      </w:r>
      <w:r>
        <w:rPr/>
        <w:t>期末公司因出票人未履约而将其转应收账款的票据</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spacing w:line="408" w:lineRule="auto" w:before="0"/>
        <w:ind w:left="154" w:right="8862" w:firstLine="0"/>
        <w:jc w:val="left"/>
        <w:rPr>
          <w:rFonts w:ascii="宋体" w:hAnsi="宋体" w:cs="宋体" w:eastAsia="宋体" w:hint="default"/>
          <w:sz w:val="21"/>
          <w:szCs w:val="21"/>
        </w:rPr>
      </w:pPr>
      <w:bookmarkStart w:name="（2）应收账款" w:id="488"/>
      <w:bookmarkEnd w:id="488"/>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应收账款分类披露</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823"/>
        <w:gridCol w:w="1417"/>
        <w:gridCol w:w="851"/>
        <w:gridCol w:w="1276"/>
        <w:gridCol w:w="851"/>
        <w:gridCol w:w="1424"/>
      </w:tblGrid>
      <w:tr>
        <w:trPr>
          <w:trHeight w:val="412" w:hRule="exact"/>
        </w:trPr>
        <w:tc>
          <w:tcPr>
            <w:tcW w:w="3823" w:type="dxa"/>
            <w:tcBorders>
              <w:top w:val="single" w:sz="12" w:space="0" w:color="000000"/>
              <w:left w:val="single" w:sz="12" w:space="0" w:color="000000"/>
              <w:bottom w:val="nil" w:sz="6" w:space="0" w:color="auto"/>
              <w:right w:val="single" w:sz="4" w:space="0" w:color="000000"/>
            </w:tcBorders>
            <w:shd w:val="clear" w:color="auto" w:fill="D2D2D2"/>
          </w:tcPr>
          <w:p>
            <w:pPr/>
          </w:p>
        </w:tc>
        <w:tc>
          <w:tcPr>
            <w:tcW w:w="5819" w:type="dxa"/>
            <w:gridSpan w:val="5"/>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6" w:hRule="exact"/>
        </w:trPr>
        <w:tc>
          <w:tcPr>
            <w:tcW w:w="3823"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56"/>
              <w:ind w:right="16"/>
              <w:jc w:val="center"/>
              <w:rPr>
                <w:rFonts w:ascii="宋体" w:hAnsi="宋体" w:cs="宋体" w:eastAsia="宋体" w:hint="default"/>
                <w:sz w:val="18"/>
                <w:szCs w:val="18"/>
              </w:rPr>
            </w:pPr>
            <w:r>
              <w:rPr>
                <w:rFonts w:ascii="宋体" w:hAnsi="宋体" w:cs="宋体" w:eastAsia="宋体" w:hint="default"/>
                <w:sz w:val="18"/>
                <w:szCs w:val="18"/>
              </w:rPr>
              <w:t>类别</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4"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191" w:hRule="exact"/>
        </w:trPr>
        <w:tc>
          <w:tcPr>
            <w:tcW w:w="3823" w:type="dxa"/>
            <w:vMerge/>
            <w:tcBorders>
              <w:left w:val="single" w:sz="12" w:space="0" w:color="000000"/>
              <w:bottom w:val="nil" w:sz="6" w:space="0" w:color="auto"/>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1424"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3823" w:type="dxa"/>
            <w:vMerge w:val="restart"/>
            <w:tcBorders>
              <w:top w:val="nil" w:sz="6" w:space="0" w:color="auto"/>
              <w:left w:val="single" w:sz="12"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5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24" w:type="dxa"/>
            <w:vMerge/>
            <w:tcBorders>
              <w:left w:val="single" w:sz="4" w:space="0" w:color="000000"/>
              <w:bottom w:val="nil" w:sz="6" w:space="0" w:color="auto"/>
              <w:right w:val="single" w:sz="12" w:space="0" w:color="000000"/>
            </w:tcBorders>
            <w:shd w:val="clear" w:color="auto" w:fill="D2D2D2"/>
          </w:tcPr>
          <w:p>
            <w:pPr/>
          </w:p>
        </w:tc>
      </w:tr>
      <w:tr>
        <w:trPr>
          <w:trHeight w:val="206" w:hRule="exact"/>
        </w:trPr>
        <w:tc>
          <w:tcPr>
            <w:tcW w:w="3823" w:type="dxa"/>
            <w:vMerge/>
            <w:tcBorders>
              <w:left w:val="single" w:sz="12"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424"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2" w:hRule="exact"/>
        </w:trPr>
        <w:tc>
          <w:tcPr>
            <w:tcW w:w="38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按信用风险特征组合计提坏账准备的应收账款</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219,847,693.84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19,476,091.09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8.86%</w:t>
            </w:r>
          </w:p>
        </w:tc>
        <w:tc>
          <w:tcPr>
            <w:tcW w:w="14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200,371,602.75</w:t>
            </w:r>
          </w:p>
        </w:tc>
      </w:tr>
      <w:tr>
        <w:trPr>
          <w:trHeight w:val="412" w:hRule="exact"/>
        </w:trPr>
        <w:tc>
          <w:tcPr>
            <w:tcW w:w="382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219,847,693.84</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19,476,091.09</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8.86%</w:t>
            </w:r>
          </w:p>
        </w:tc>
        <w:tc>
          <w:tcPr>
            <w:tcW w:w="142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200,371,602.75</w:t>
            </w:r>
          </w:p>
        </w:tc>
      </w:tr>
    </w:tbl>
    <w:p>
      <w:pPr>
        <w:spacing w:after="0" w:line="240" w:lineRule="auto"/>
        <w:jc w:val="right"/>
        <w:rPr>
          <w:rFonts w:ascii="宋体" w:hAnsi="宋体" w:cs="宋体" w:eastAsia="宋体" w:hint="default"/>
          <w:sz w:val="18"/>
          <w:szCs w:val="18"/>
        </w:rPr>
        <w:sectPr>
          <w:pgSz w:w="11910" w:h="16840"/>
          <w:pgMar w:header="877" w:footer="1000" w:top="1040" w:bottom="1180" w:left="980" w:right="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829"/>
        <w:gridCol w:w="1417"/>
        <w:gridCol w:w="851"/>
        <w:gridCol w:w="1276"/>
        <w:gridCol w:w="851"/>
        <w:gridCol w:w="1424"/>
      </w:tblGrid>
      <w:tr>
        <w:trPr>
          <w:trHeight w:val="412" w:hRule="exact"/>
        </w:trPr>
        <w:tc>
          <w:tcPr>
            <w:tcW w:w="3829" w:type="dxa"/>
            <w:vMerge w:val="restart"/>
            <w:tcBorders>
              <w:top w:val="single" w:sz="12" w:space="0" w:color="000000"/>
              <w:left w:val="single" w:sz="12" w:space="0" w:color="000000"/>
              <w:right w:val="single" w:sz="13" w:space="0" w:color="D7D7D7"/>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819" w:type="dxa"/>
            <w:gridSpan w:val="5"/>
            <w:tcBorders>
              <w:top w:val="single" w:sz="12" w:space="0" w:color="000000"/>
              <w:left w:val="single" w:sz="4" w:space="0" w:color="000000"/>
              <w:bottom w:val="single" w:sz="4" w:space="0" w:color="000000"/>
              <w:right w:val="single" w:sz="12" w:space="0" w:color="000000"/>
            </w:tcBorders>
            <w:shd w:val="clear" w:color="auto" w:fill="D7D7D7"/>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829" w:type="dxa"/>
            <w:vMerge/>
            <w:tcBorders>
              <w:left w:val="single" w:sz="12" w:space="0" w:color="000000"/>
              <w:right w:val="single" w:sz="13" w:space="0" w:color="D7D7D7"/>
            </w:tcBorders>
            <w:shd w:val="clear" w:color="auto" w:fill="D2D2D2"/>
          </w:tcPr>
          <w:p>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4" w:type="dxa"/>
            <w:vMerge w:val="restart"/>
            <w:tcBorders>
              <w:top w:val="single" w:sz="4" w:space="0" w:color="000000"/>
              <w:left w:val="single" w:sz="4" w:space="0" w:color="000000"/>
              <w:right w:val="single" w:sz="12" w:space="0" w:color="000000"/>
            </w:tcBorders>
            <w:shd w:val="clear" w:color="auto" w:fill="D7D7D7"/>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3829" w:type="dxa"/>
            <w:vMerge/>
            <w:tcBorders>
              <w:left w:val="single" w:sz="12" w:space="0" w:color="000000"/>
              <w:bottom w:val="single" w:sz="4" w:space="0" w:color="000000"/>
              <w:right w:val="single" w:sz="13" w:space="0" w:color="D7D7D7"/>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right="5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24" w:type="dxa"/>
            <w:vMerge/>
            <w:tcBorders>
              <w:left w:val="single" w:sz="4" w:space="0" w:color="000000"/>
              <w:bottom w:val="single" w:sz="4" w:space="0" w:color="000000"/>
              <w:right w:val="single" w:sz="12" w:space="0" w:color="000000"/>
            </w:tcBorders>
            <w:shd w:val="clear" w:color="auto" w:fill="D7D7D7"/>
          </w:tcPr>
          <w:p>
            <w:pPr/>
          </w:p>
        </w:tc>
      </w:tr>
      <w:tr>
        <w:trPr>
          <w:trHeight w:val="402" w:hRule="exact"/>
        </w:trPr>
        <w:tc>
          <w:tcPr>
            <w:tcW w:w="38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194,444,812.91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宋体" w:hAnsi="宋体" w:cs="宋体" w:eastAsia="宋体" w:hint="default"/>
                <w:sz w:val="18"/>
                <w:szCs w:val="18"/>
              </w:rPr>
            </w:pPr>
            <w:r>
              <w:rPr>
                <w:rFonts w:ascii="宋体"/>
                <w:sz w:val="18"/>
              </w:rPr>
              <w:t>17,715,221.43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9.11%</w:t>
            </w:r>
          </w:p>
        </w:tc>
        <w:tc>
          <w:tcPr>
            <w:tcW w:w="14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176,729,591.48</w:t>
            </w:r>
          </w:p>
        </w:tc>
      </w:tr>
      <w:tr>
        <w:trPr>
          <w:trHeight w:val="412" w:hRule="exact"/>
        </w:trPr>
        <w:tc>
          <w:tcPr>
            <w:tcW w:w="382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194,444,812.91</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88" w:right="0"/>
              <w:jc w:val="lef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7" w:right="0"/>
              <w:jc w:val="center"/>
              <w:rPr>
                <w:rFonts w:ascii="宋体" w:hAnsi="宋体" w:cs="宋体" w:eastAsia="宋体" w:hint="default"/>
                <w:sz w:val="18"/>
                <w:szCs w:val="18"/>
              </w:rPr>
            </w:pPr>
            <w:r>
              <w:rPr>
                <w:rFonts w:ascii="宋体"/>
                <w:sz w:val="18"/>
              </w:rPr>
              <w:t>17,715,221.43</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9.11%</w:t>
            </w:r>
          </w:p>
        </w:tc>
        <w:tc>
          <w:tcPr>
            <w:tcW w:w="142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176,729,591.48</w:t>
            </w:r>
          </w:p>
        </w:tc>
      </w:tr>
    </w:tbl>
    <w:p>
      <w:pPr>
        <w:pStyle w:val="BodyText"/>
        <w:spacing w:line="240" w:lineRule="auto" w:before="63"/>
        <w:ind w:right="1122"/>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408" w:lineRule="auto" w:before="0"/>
        <w:ind w:right="6132"/>
        <w:jc w:val="left"/>
      </w:pPr>
      <w:r>
        <w:rPr/>
        <w:t>□ 适用 √</w:t>
      </w:r>
      <w:r>
        <w:rPr>
          <w:spacing w:val="-1"/>
        </w:rPr>
        <w:t> </w:t>
      </w:r>
      <w:r>
        <w:rPr/>
        <w:t>不适用</w:t>
      </w:r>
      <w:r>
        <w:rPr/>
        <w:t> 组合中，按账龄分析法计提坏账准备的应收账款：</w:t>
      </w:r>
    </w:p>
    <w:p>
      <w:pPr>
        <w:pStyle w:val="BodyText"/>
        <w:spacing w:line="240" w:lineRule="auto"/>
        <w:ind w:right="1122"/>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489"/>
        <w:gridCol w:w="2301"/>
        <w:gridCol w:w="2391"/>
        <w:gridCol w:w="2389"/>
      </w:tblGrid>
      <w:tr>
        <w:trPr>
          <w:trHeight w:val="412" w:hRule="exact"/>
        </w:trPr>
        <w:tc>
          <w:tcPr>
            <w:tcW w:w="2489"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9" w:type="dxa"/>
            <w:vMerge/>
            <w:tcBorders>
              <w:left w:val="single" w:sz="12"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155,039,089.88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4,651,172.70</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2" w:hRule="exact"/>
        </w:trPr>
        <w:tc>
          <w:tcPr>
            <w:tcW w:w="24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155,039,089.88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4,651,172.70</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2" w:hRule="exact"/>
        </w:trPr>
        <w:tc>
          <w:tcPr>
            <w:tcW w:w="24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34,217,265.85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3,421,726.59</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02" w:hRule="exact"/>
        </w:trPr>
        <w:tc>
          <w:tcPr>
            <w:tcW w:w="24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12,124,449.44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3,637,334.83</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w:t>
            </w:r>
          </w:p>
        </w:tc>
      </w:tr>
      <w:tr>
        <w:trPr>
          <w:trHeight w:val="402" w:hRule="exact"/>
        </w:trPr>
        <w:tc>
          <w:tcPr>
            <w:tcW w:w="24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11,409,454.27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7,765,856.97</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68.07%</w:t>
            </w:r>
          </w:p>
        </w:tc>
      </w:tr>
      <w:tr>
        <w:trPr>
          <w:trHeight w:val="402" w:hRule="exact"/>
        </w:trPr>
        <w:tc>
          <w:tcPr>
            <w:tcW w:w="24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6,910,839.99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3,455,420.00</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w:t>
            </w:r>
          </w:p>
        </w:tc>
      </w:tr>
      <w:tr>
        <w:trPr>
          <w:trHeight w:val="402" w:hRule="exact"/>
        </w:trPr>
        <w:tc>
          <w:tcPr>
            <w:tcW w:w="24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627,257.70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439,080.39</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70.00%</w:t>
            </w:r>
          </w:p>
        </w:tc>
      </w:tr>
      <w:tr>
        <w:trPr>
          <w:trHeight w:val="402" w:hRule="exact"/>
        </w:trPr>
        <w:tc>
          <w:tcPr>
            <w:tcW w:w="24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3,871,356.58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3,871,356.58</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12" w:hRule="exact"/>
        </w:trPr>
        <w:tc>
          <w:tcPr>
            <w:tcW w:w="248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212,790,259.44</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19,476,091.09</w:t>
            </w:r>
          </w:p>
        </w:tc>
        <w:tc>
          <w:tcPr>
            <w:tcW w:w="23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9.15%</w:t>
            </w:r>
          </w:p>
        </w:tc>
      </w:tr>
    </w:tbl>
    <w:p>
      <w:pPr>
        <w:pStyle w:val="BodyText"/>
        <w:spacing w:line="408" w:lineRule="auto" w:before="63"/>
        <w:ind w:right="5712"/>
        <w:jc w:val="left"/>
      </w:pPr>
      <w:r>
        <w:rPr/>
        <w:t>确定该组合依据的说明： 组合中，采用余额百分比法计提坏账准备的应收账款：</w:t>
      </w:r>
    </w:p>
    <w:p>
      <w:pPr>
        <w:pStyle w:val="BodyText"/>
        <w:spacing w:line="408" w:lineRule="auto"/>
        <w:ind w:right="6132"/>
        <w:jc w:val="left"/>
      </w:pPr>
      <w:r>
        <w:rPr/>
        <w:t>□ 适用 √</w:t>
      </w:r>
      <w:r>
        <w:rPr>
          <w:spacing w:val="-1"/>
        </w:rPr>
        <w:t> </w:t>
      </w:r>
      <w:r>
        <w:rPr/>
        <w:t>不适用</w:t>
      </w:r>
      <w:r>
        <w:rPr/>
        <w:t> 组合中，采用其他方法计提坏账准备的应收账款： </w:t>
      </w:r>
      <w:r>
        <w:rPr>
          <w:rFonts w:ascii="宋体" w:hAnsi="宋体" w:cs="宋体" w:eastAsia="宋体" w:hint="default"/>
        </w:rPr>
        <w:t>2)</w:t>
      </w:r>
      <w:r>
        <w:rPr/>
        <w:t>本期计提、收回或转回的坏账准备情况</w:t>
      </w:r>
    </w:p>
    <w:p>
      <w:pPr>
        <w:pStyle w:val="BodyText"/>
        <w:spacing w:line="408" w:lineRule="auto"/>
        <w:ind w:right="3192"/>
        <w:jc w:val="left"/>
      </w:pPr>
      <w:r>
        <w:rPr/>
        <w:t>本期计提坏账准备金额</w:t>
      </w:r>
      <w:r>
        <w:rPr>
          <w:spacing w:val="-52"/>
        </w:rPr>
        <w:t> </w:t>
      </w:r>
      <w:r>
        <w:rPr>
          <w:rFonts w:ascii="宋体" w:hAnsi="宋体" w:cs="宋体" w:eastAsia="宋体" w:hint="default"/>
        </w:rPr>
        <w:t>1,762,134.66</w:t>
      </w:r>
      <w:r>
        <w:rPr>
          <w:rFonts w:ascii="宋体" w:hAnsi="宋体" w:cs="宋体" w:eastAsia="宋体" w:hint="default"/>
          <w:spacing w:val="-54"/>
        </w:rPr>
        <w:t> </w:t>
      </w:r>
      <w:r>
        <w:rPr/>
        <w:t>元；本期收回或转回坏账准备金额</w:t>
      </w:r>
      <w:r>
        <w:rPr>
          <w:spacing w:val="-52"/>
        </w:rPr>
        <w:t> </w:t>
      </w:r>
      <w:r>
        <w:rPr>
          <w:rFonts w:ascii="宋体" w:hAnsi="宋体" w:cs="宋体" w:eastAsia="宋体" w:hint="default"/>
        </w:rPr>
        <w:t>0.00</w:t>
      </w:r>
      <w:r>
        <w:rPr>
          <w:rFonts w:ascii="宋体" w:hAnsi="宋体" w:cs="宋体" w:eastAsia="宋体" w:hint="default"/>
          <w:spacing w:val="-52"/>
        </w:rPr>
        <w:t> </w:t>
      </w:r>
      <w:r>
        <w:rPr/>
        <w:t>元。 </w:t>
      </w:r>
      <w:r>
        <w:rPr>
          <w:rFonts w:ascii="宋体" w:hAnsi="宋体" w:cs="宋体" w:eastAsia="宋体" w:hint="default"/>
        </w:rPr>
        <w:t>3)</w:t>
      </w:r>
      <w:r>
        <w:rPr/>
        <w:t>本期实际核销的应收账款情况</w:t>
      </w:r>
    </w:p>
    <w:p>
      <w:pPr>
        <w:spacing w:line="230"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985"/>
        <w:gridCol w:w="4584"/>
      </w:tblGrid>
      <w:tr>
        <w:trPr>
          <w:trHeight w:val="412" w:hRule="exact"/>
        </w:trPr>
        <w:tc>
          <w:tcPr>
            <w:tcW w:w="498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12" w:hRule="exact"/>
        </w:trPr>
        <w:tc>
          <w:tcPr>
            <w:tcW w:w="498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1,265.00</w:t>
            </w:r>
          </w:p>
        </w:tc>
      </w:tr>
    </w:tbl>
    <w:p>
      <w:pPr>
        <w:spacing w:after="0" w:line="240" w:lineRule="auto"/>
        <w:jc w:val="right"/>
        <w:rPr>
          <w:rFonts w:ascii="宋体" w:hAnsi="宋体" w:cs="宋体" w:eastAsia="宋体" w:hint="default"/>
          <w:sz w:val="18"/>
          <w:szCs w:val="18"/>
        </w:rPr>
        <w:sectPr>
          <w:pgSz w:w="11910" w:h="16840"/>
          <w:pgMar w:header="877" w:footer="1000" w:top="1040" w:bottom="118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left="234" w:right="0"/>
        <w:jc w:val="left"/>
      </w:pPr>
      <w:r>
        <w:rPr>
          <w:rFonts w:ascii="宋体" w:hAnsi="宋体" w:cs="宋体" w:eastAsia="宋体" w:hint="default"/>
        </w:rPr>
        <w:t>4)</w:t>
      </w:r>
      <w:r>
        <w:rPr/>
        <w:t>按欠款方归集的期末余额前五名的应收账款情况</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695"/>
        <w:gridCol w:w="989"/>
        <w:gridCol w:w="1476"/>
        <w:gridCol w:w="2163"/>
        <w:gridCol w:w="1178"/>
        <w:gridCol w:w="1465"/>
      </w:tblGrid>
      <w:tr>
        <w:trPr>
          <w:trHeight w:val="647" w:hRule="exact"/>
        </w:trPr>
        <w:tc>
          <w:tcPr>
            <w:tcW w:w="269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89"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307" w:right="125"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178"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21" w:right="131" w:hanging="90"/>
              <w:jc w:val="left"/>
              <w:rPr>
                <w:rFonts w:ascii="宋体" w:hAnsi="宋体" w:cs="宋体" w:eastAsia="宋体" w:hint="default"/>
                <w:sz w:val="18"/>
                <w:szCs w:val="18"/>
              </w:rPr>
            </w:pPr>
            <w:r>
              <w:rPr>
                <w:rFonts w:ascii="宋体" w:hAnsi="宋体" w:cs="宋体" w:eastAsia="宋体" w:hint="default"/>
                <w:sz w:val="18"/>
                <w:szCs w:val="18"/>
              </w:rPr>
              <w:t>占应收账款 总额比例</w:t>
            </w:r>
          </w:p>
        </w:tc>
        <w:tc>
          <w:tcPr>
            <w:tcW w:w="146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坏账准备金额</w:t>
            </w:r>
          </w:p>
        </w:tc>
      </w:tr>
      <w:tr>
        <w:trPr>
          <w:trHeight w:val="638"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237"/>
              <w:jc w:val="left"/>
              <w:rPr>
                <w:rFonts w:ascii="宋体" w:hAnsi="宋体" w:cs="宋体" w:eastAsia="宋体" w:hint="default"/>
                <w:sz w:val="18"/>
                <w:szCs w:val="18"/>
              </w:rPr>
            </w:pPr>
            <w:r>
              <w:rPr>
                <w:rFonts w:ascii="宋体" w:hAnsi="宋体" w:cs="宋体" w:eastAsia="宋体" w:hint="default"/>
                <w:sz w:val="18"/>
                <w:szCs w:val="18"/>
              </w:rPr>
              <w:t>国网江苏省电力有限公司物资 分公司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69,388,952.49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31.56%</w:t>
            </w:r>
          </w:p>
        </w:tc>
        <w:tc>
          <w:tcPr>
            <w:tcW w:w="14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9"/>
              <w:jc w:val="right"/>
              <w:rPr>
                <w:rFonts w:ascii="宋体" w:hAnsi="宋体" w:cs="宋体" w:eastAsia="宋体" w:hint="default"/>
                <w:sz w:val="18"/>
                <w:szCs w:val="18"/>
              </w:rPr>
            </w:pPr>
            <w:r>
              <w:rPr>
                <w:rFonts w:ascii="宋体"/>
                <w:sz w:val="18"/>
              </w:rPr>
              <w:t>2,081,668.57</w:t>
            </w:r>
          </w:p>
        </w:tc>
      </w:tr>
      <w:tr>
        <w:trPr>
          <w:trHeight w:val="640"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南京万形电气有限公司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20,261,626.90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3"/>
                <w:sz w:val="18"/>
                <w:szCs w:val="18"/>
              </w:rPr>
              <w:t> </w:t>
            </w:r>
            <w:r>
              <w:rPr>
                <w:rFonts w:ascii="宋体" w:hAnsi="宋体" w:cs="宋体" w:eastAsia="宋体" w:hint="default"/>
                <w:sz w:val="18"/>
                <w:szCs w:val="18"/>
              </w:rPr>
              <w:t>年以内</w:t>
            </w:r>
            <w:r>
              <w:rPr>
                <w:rFonts w:ascii="宋体" w:hAnsi="宋体" w:cs="宋体" w:eastAsia="宋体" w:hint="default"/>
                <w:spacing w:val="-63"/>
                <w:sz w:val="18"/>
                <w:szCs w:val="18"/>
              </w:rPr>
              <w:t> </w:t>
            </w:r>
            <w:r>
              <w:rPr>
                <w:rFonts w:ascii="宋体" w:hAnsi="宋体" w:cs="宋体" w:eastAsia="宋体" w:hint="default"/>
                <w:sz w:val="18"/>
                <w:szCs w:val="18"/>
              </w:rPr>
              <w:t>20,259,420.00</w:t>
            </w:r>
            <w:r>
              <w:rPr>
                <w:rFonts w:ascii="宋体" w:hAnsi="宋体" w:cs="宋体" w:eastAsia="宋体" w:hint="default"/>
                <w:sz w:val="18"/>
                <w:szCs w:val="18"/>
              </w:rPr>
              <w:t>；</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2,206.90</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9.22%</w:t>
            </w:r>
          </w:p>
        </w:tc>
        <w:tc>
          <w:tcPr>
            <w:tcW w:w="14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9"/>
              <w:jc w:val="right"/>
              <w:rPr>
                <w:rFonts w:ascii="宋体" w:hAnsi="宋体" w:cs="宋体" w:eastAsia="宋体" w:hint="default"/>
                <w:sz w:val="18"/>
                <w:szCs w:val="18"/>
              </w:rPr>
            </w:pPr>
            <w:r>
              <w:rPr>
                <w:rFonts w:ascii="宋体"/>
                <w:sz w:val="18"/>
              </w:rPr>
              <w:t>608,003.29</w:t>
            </w:r>
          </w:p>
        </w:tc>
      </w:tr>
      <w:tr>
        <w:trPr>
          <w:trHeight w:val="638"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国网河南省电力公司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7,985,371.49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6,823,763.64</w:t>
            </w:r>
            <w:r>
              <w:rPr>
                <w:rFonts w:ascii="宋体" w:hAnsi="宋体" w:cs="宋体" w:eastAsia="宋体" w:hint="default"/>
                <w:sz w:val="18"/>
                <w:szCs w:val="18"/>
              </w:rPr>
              <w:t>；</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1,161,607.85</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3.63%</w:t>
            </w:r>
          </w:p>
        </w:tc>
        <w:tc>
          <w:tcPr>
            <w:tcW w:w="14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9"/>
              <w:jc w:val="right"/>
              <w:rPr>
                <w:rFonts w:ascii="宋体" w:hAnsi="宋体" w:cs="宋体" w:eastAsia="宋体" w:hint="default"/>
                <w:sz w:val="18"/>
                <w:szCs w:val="18"/>
              </w:rPr>
            </w:pPr>
            <w:r>
              <w:rPr>
                <w:rFonts w:ascii="宋体"/>
                <w:sz w:val="18"/>
              </w:rPr>
              <w:t>320,873.69</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国网山东省电力公司物资公司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7,844,046.69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3.57%</w:t>
            </w:r>
          </w:p>
        </w:tc>
        <w:tc>
          <w:tcPr>
            <w:tcW w:w="14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z w:val="18"/>
              </w:rPr>
              <w:t>784,404.67</w:t>
            </w:r>
          </w:p>
        </w:tc>
      </w:tr>
      <w:tr>
        <w:trPr>
          <w:trHeight w:val="638"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青岛世泽智能科技有限公司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6,961,800.00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6,837,820.50</w:t>
            </w:r>
            <w:r>
              <w:rPr>
                <w:rFonts w:ascii="宋体" w:hAnsi="宋体" w:cs="宋体" w:eastAsia="宋体" w:hint="default"/>
                <w:sz w:val="18"/>
                <w:szCs w:val="18"/>
              </w:rPr>
              <w:t>；</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123,979.50</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3.17%</w:t>
            </w:r>
          </w:p>
        </w:tc>
        <w:tc>
          <w:tcPr>
            <w:tcW w:w="14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9"/>
              <w:jc w:val="right"/>
              <w:rPr>
                <w:rFonts w:ascii="宋体" w:hAnsi="宋体" w:cs="宋体" w:eastAsia="宋体" w:hint="default"/>
                <w:sz w:val="18"/>
                <w:szCs w:val="18"/>
              </w:rPr>
            </w:pPr>
            <w:r>
              <w:rPr>
                <w:rFonts w:ascii="宋体"/>
                <w:sz w:val="18"/>
              </w:rPr>
              <w:t>2,113,335.90</w:t>
            </w:r>
          </w:p>
        </w:tc>
      </w:tr>
      <w:tr>
        <w:trPr>
          <w:trHeight w:val="421" w:hRule="exact"/>
        </w:trPr>
        <w:tc>
          <w:tcPr>
            <w:tcW w:w="26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989"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112,441,797.57</w:t>
            </w:r>
          </w:p>
        </w:tc>
        <w:tc>
          <w:tcPr>
            <w:tcW w:w="2163" w:type="dxa"/>
            <w:tcBorders>
              <w:top w:val="single" w:sz="6" w:space="0" w:color="000000"/>
              <w:left w:val="single" w:sz="6" w:space="0" w:color="000000"/>
              <w:bottom w:val="single" w:sz="12" w:space="0" w:color="000000"/>
              <w:right w:val="single" w:sz="6" w:space="0" w:color="000000"/>
            </w:tcBorders>
          </w:tcPr>
          <w:p>
            <w:pPr/>
          </w:p>
        </w:tc>
        <w:tc>
          <w:tcPr>
            <w:tcW w:w="1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51.15%</w:t>
            </w:r>
          </w:p>
        </w:tc>
        <w:tc>
          <w:tcPr>
            <w:tcW w:w="14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z w:val="18"/>
              </w:rPr>
              <w:t>5,908,286.12</w:t>
            </w:r>
          </w:p>
        </w:tc>
      </w:tr>
    </w:tbl>
    <w:p>
      <w:pPr>
        <w:pStyle w:val="BodyText"/>
        <w:spacing w:line="240" w:lineRule="auto" w:before="63"/>
        <w:ind w:left="234" w:right="0"/>
        <w:jc w:val="left"/>
      </w:pPr>
      <w:r>
        <w:rPr>
          <w:rFonts w:ascii="宋体" w:hAnsi="宋体" w:cs="宋体" w:eastAsia="宋体" w:hint="default"/>
        </w:rPr>
        <w:t>5)</w:t>
      </w:r>
      <w:r>
        <w:rPr>
          <w:rFonts w:ascii="宋体" w:hAnsi="宋体" w:cs="宋体" w:eastAsia="宋体" w:hint="default"/>
          <w:spacing w:val="-4"/>
        </w:rPr>
        <w:t> </w:t>
      </w:r>
      <w:r>
        <w:rPr/>
        <w:t>因金融资产转移而终止确认的应收账款</w:t>
      </w:r>
    </w:p>
    <w:p>
      <w:pPr>
        <w:spacing w:line="240" w:lineRule="auto" w:before="10"/>
        <w:rPr>
          <w:rFonts w:ascii="宋体" w:hAnsi="宋体" w:cs="宋体" w:eastAsia="宋体" w:hint="default"/>
          <w:sz w:val="14"/>
          <w:szCs w:val="14"/>
        </w:rPr>
      </w:pPr>
    </w:p>
    <w:p>
      <w:pPr>
        <w:pStyle w:val="BodyText"/>
        <w:spacing w:line="240" w:lineRule="auto" w:before="0"/>
        <w:ind w:left="23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before="0"/>
        <w:ind w:left="234" w:right="0"/>
        <w:jc w:val="left"/>
      </w:pPr>
      <w:r>
        <w:rPr>
          <w:rFonts w:ascii="宋体" w:hAnsi="宋体" w:cs="宋体" w:eastAsia="宋体" w:hint="default"/>
        </w:rPr>
        <w:t>6)</w:t>
      </w:r>
      <w:r>
        <w:rPr>
          <w:rFonts w:ascii="宋体" w:hAnsi="宋体" w:cs="宋体" w:eastAsia="宋体" w:hint="default"/>
          <w:spacing w:val="-4"/>
        </w:rPr>
        <w:t> </w:t>
      </w:r>
      <w:r>
        <w:rPr/>
        <w:t>转移应收账款且继续涉入形成的资产、负债金额</w:t>
      </w:r>
    </w:p>
    <w:p>
      <w:pPr>
        <w:spacing w:line="240" w:lineRule="auto" w:before="10"/>
        <w:rPr>
          <w:rFonts w:ascii="宋体" w:hAnsi="宋体" w:cs="宋体" w:eastAsia="宋体" w:hint="default"/>
          <w:sz w:val="14"/>
          <w:szCs w:val="14"/>
        </w:rPr>
      </w:pPr>
    </w:p>
    <w:p>
      <w:pPr>
        <w:spacing w:line="408" w:lineRule="auto" w:before="0"/>
        <w:ind w:left="2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其他应收款" w:id="489"/>
      <w:bookmarkEnd w:id="489"/>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225" w:type="dxa"/>
        <w:tblLayout w:type="fixed"/>
        <w:tblCellMar>
          <w:top w:w="0" w:type="dxa"/>
          <w:left w:w="0" w:type="dxa"/>
          <w:bottom w:w="0" w:type="dxa"/>
          <w:right w:w="0" w:type="dxa"/>
        </w:tblCellMar>
        <w:tblLook w:val="01E0"/>
      </w:tblPr>
      <w:tblGrid>
        <w:gridCol w:w="3172"/>
        <w:gridCol w:w="3202"/>
        <w:gridCol w:w="3189"/>
      </w:tblGrid>
      <w:tr>
        <w:trPr>
          <w:trHeight w:val="411" w:hRule="exact"/>
        </w:trPr>
        <w:tc>
          <w:tcPr>
            <w:tcW w:w="317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3,283.52</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10,764,100.00</w:t>
            </w:r>
          </w:p>
        </w:tc>
        <w:tc>
          <w:tcPr>
            <w:tcW w:w="3189"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10,941,353.54</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24,820,063.70</w:t>
            </w:r>
          </w:p>
        </w:tc>
      </w:tr>
      <w:tr>
        <w:trPr>
          <w:trHeight w:val="412" w:hRule="exact"/>
        </w:trPr>
        <w:tc>
          <w:tcPr>
            <w:tcW w:w="317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21,705,453.54</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24,823,347.22</w:t>
            </w:r>
          </w:p>
        </w:tc>
      </w:tr>
    </w:tbl>
    <w:p>
      <w:pPr>
        <w:spacing w:line="408" w:lineRule="auto" w:before="63"/>
        <w:ind w:left="234" w:right="9282" w:firstLine="0"/>
        <w:jc w:val="left"/>
        <w:rPr>
          <w:rFonts w:ascii="宋体" w:hAnsi="宋体" w:cs="宋体" w:eastAsia="宋体" w:hint="default"/>
          <w:sz w:val="21"/>
          <w:szCs w:val="21"/>
        </w:rPr>
      </w:pPr>
      <w:bookmarkStart w:name="（1）应收利息" w:id="490"/>
      <w:bookmarkEnd w:id="49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应收利息分类</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225" w:type="dxa"/>
        <w:tblLayout w:type="fixed"/>
        <w:tblCellMar>
          <w:top w:w="0" w:type="dxa"/>
          <w:left w:w="0" w:type="dxa"/>
          <w:bottom w:w="0" w:type="dxa"/>
          <w:right w:w="0" w:type="dxa"/>
        </w:tblCellMar>
        <w:tblLook w:val="01E0"/>
      </w:tblPr>
      <w:tblGrid>
        <w:gridCol w:w="3174"/>
        <w:gridCol w:w="3201"/>
        <w:gridCol w:w="3188"/>
      </w:tblGrid>
      <w:tr>
        <w:trPr>
          <w:trHeight w:val="415" w:hRule="exact"/>
        </w:trPr>
        <w:tc>
          <w:tcPr>
            <w:tcW w:w="317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6" w:space="0" w:color="000000"/>
              <w:left w:val="single" w:sz="14"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3,283.52</w:t>
            </w:r>
          </w:p>
        </w:tc>
      </w:tr>
      <w:tr>
        <w:trPr>
          <w:trHeight w:val="415" w:hRule="exact"/>
        </w:trPr>
        <w:tc>
          <w:tcPr>
            <w:tcW w:w="317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14" w:space="0" w:color="D2D2D2"/>
              <w:bottom w:val="single" w:sz="12" w:space="0" w:color="000000"/>
              <w:right w:val="single" w:sz="6" w:space="0" w:color="000000"/>
            </w:tcBorders>
          </w:tcPr>
          <w:p>
            <w:pP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3,283.52</w:t>
            </w:r>
          </w:p>
        </w:tc>
      </w:tr>
    </w:tbl>
    <w:p>
      <w:pPr>
        <w:pStyle w:val="BodyText"/>
        <w:spacing w:line="240" w:lineRule="auto" w:before="63"/>
        <w:ind w:left="234" w:right="0"/>
        <w:jc w:val="left"/>
      </w:pPr>
      <w:r>
        <w:rPr>
          <w:rFonts w:ascii="宋体" w:hAnsi="宋体" w:cs="宋体" w:eastAsia="宋体" w:hint="default"/>
        </w:rPr>
        <w:t>2)</w:t>
      </w:r>
      <w:r>
        <w:rPr/>
        <w:t>重要逾期利息</w:t>
      </w:r>
    </w:p>
    <w:p>
      <w:pPr>
        <w:spacing w:line="240" w:lineRule="auto" w:before="10"/>
        <w:rPr>
          <w:rFonts w:ascii="宋体" w:hAnsi="宋体" w:cs="宋体" w:eastAsia="宋体" w:hint="default"/>
          <w:sz w:val="14"/>
          <w:szCs w:val="14"/>
        </w:rPr>
      </w:pPr>
    </w:p>
    <w:p>
      <w:pPr>
        <w:pStyle w:val="BodyText"/>
        <w:spacing w:line="240" w:lineRule="auto" w:before="0"/>
        <w:ind w:left="23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spacing w:line="408" w:lineRule="auto" w:before="0"/>
        <w:ind w:left="234" w:right="9381" w:firstLine="0"/>
        <w:jc w:val="left"/>
        <w:rPr>
          <w:rFonts w:ascii="宋体" w:hAnsi="宋体" w:cs="宋体" w:eastAsia="宋体" w:hint="default"/>
          <w:sz w:val="21"/>
          <w:szCs w:val="21"/>
        </w:rPr>
      </w:pPr>
      <w:bookmarkStart w:name="（2）应收股利" w:id="491"/>
      <w:bookmarkEnd w:id="49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应收股利</w:t>
      </w:r>
    </w:p>
    <w:p>
      <w:pPr>
        <w:spacing w:after="0" w:line="408" w:lineRule="auto"/>
        <w:jc w:val="left"/>
        <w:rPr>
          <w:rFonts w:ascii="宋体" w:hAnsi="宋体" w:cs="宋体" w:eastAsia="宋体" w:hint="default"/>
          <w:sz w:val="21"/>
          <w:szCs w:val="21"/>
        </w:rPr>
        <w:sectPr>
          <w:pgSz w:w="11910" w:h="16840"/>
          <w:pgMar w:header="877" w:footer="1000" w:top="1040" w:bottom="1180" w:left="900" w:right="0"/>
        </w:sectPr>
      </w:pPr>
    </w:p>
    <w:p>
      <w:pPr>
        <w:spacing w:line="240" w:lineRule="auto" w:before="9"/>
        <w:rPr>
          <w:rFonts w:ascii="宋体" w:hAnsi="宋体" w:cs="宋体" w:eastAsia="宋体" w:hint="default"/>
          <w:sz w:val="26"/>
          <w:szCs w:val="2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91"/>
        <w:gridCol w:w="3191"/>
        <w:gridCol w:w="3188"/>
      </w:tblGrid>
      <w:tr>
        <w:trPr>
          <w:trHeight w:val="412" w:hRule="exact"/>
        </w:trPr>
        <w:tc>
          <w:tcPr>
            <w:tcW w:w="31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8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10,764,100.00</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10,764,100.00</w:t>
            </w:r>
          </w:p>
        </w:tc>
        <w:tc>
          <w:tcPr>
            <w:tcW w:w="3188"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40" w:lineRule="auto" w:before="63"/>
        <w:ind w:right="1122"/>
        <w:jc w:val="left"/>
      </w:pPr>
      <w:r>
        <w:rPr>
          <w:rFonts w:ascii="宋体" w:hAnsi="宋体" w:cs="宋体" w:eastAsia="宋体" w:hint="default"/>
        </w:rPr>
        <w:t>2)</w:t>
      </w:r>
      <w:r>
        <w:rPr/>
        <w:t>重要的账龄超过</w:t>
      </w:r>
      <w:r>
        <w:rPr>
          <w:spacing w:val="-54"/>
        </w:rPr>
        <w:t> </w:t>
      </w:r>
      <w:r>
        <w:rPr>
          <w:rFonts w:ascii="宋体" w:hAnsi="宋体" w:cs="宋体" w:eastAsia="宋体" w:hint="default"/>
        </w:rPr>
        <w:t>1</w:t>
      </w:r>
      <w:r>
        <w:rPr>
          <w:rFonts w:ascii="宋体" w:hAnsi="宋体" w:cs="宋体" w:eastAsia="宋体" w:hint="default"/>
          <w:spacing w:val="-54"/>
        </w:rPr>
        <w:t> </w:t>
      </w:r>
      <w:r>
        <w:rPr/>
        <w:t>年的应收股利</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spacing w:line="408" w:lineRule="auto" w:before="0"/>
        <w:ind w:left="154" w:right="8652" w:firstLine="0"/>
        <w:jc w:val="left"/>
        <w:rPr>
          <w:rFonts w:ascii="宋体" w:hAnsi="宋体" w:cs="宋体" w:eastAsia="宋体" w:hint="default"/>
          <w:sz w:val="21"/>
          <w:szCs w:val="21"/>
        </w:rPr>
      </w:pPr>
      <w:bookmarkStart w:name="（3）其他应收款" w:id="492"/>
      <w:bookmarkEnd w:id="492"/>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其他应收款分类披露</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102"/>
        <w:gridCol w:w="1286"/>
        <w:gridCol w:w="709"/>
        <w:gridCol w:w="1418"/>
        <w:gridCol w:w="851"/>
        <w:gridCol w:w="1243"/>
      </w:tblGrid>
      <w:tr>
        <w:trPr>
          <w:trHeight w:val="418" w:hRule="exact"/>
        </w:trPr>
        <w:tc>
          <w:tcPr>
            <w:tcW w:w="410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5507"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17" w:hRule="exact"/>
        </w:trPr>
        <w:tc>
          <w:tcPr>
            <w:tcW w:w="410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9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4"/>
              <w:ind w:left="6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43"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6" w:hRule="exact"/>
        </w:trPr>
        <w:tc>
          <w:tcPr>
            <w:tcW w:w="4102" w:type="dxa"/>
            <w:vMerge/>
            <w:tcBorders>
              <w:left w:val="single" w:sz="12" w:space="0" w:color="000000"/>
              <w:bottom w:val="nil" w:sz="6" w:space="0" w:color="auto"/>
              <w:right w:val="single" w:sz="6" w:space="0" w:color="000000"/>
            </w:tcBorders>
            <w:shd w:val="clear" w:color="auto" w:fill="D2D2D2"/>
          </w:tcPr>
          <w:p>
            <w:pPr/>
          </w:p>
        </w:tc>
        <w:tc>
          <w:tcPr>
            <w:tcW w:w="1996" w:type="dxa"/>
            <w:gridSpan w:val="2"/>
            <w:vMerge/>
            <w:tcBorders>
              <w:left w:val="single" w:sz="6" w:space="0" w:color="000000"/>
              <w:bottom w:val="single" w:sz="6" w:space="0" w:color="000000"/>
              <w:right w:val="single" w:sz="6" w:space="0" w:color="000000"/>
            </w:tcBorders>
            <w:shd w:val="clear" w:color="auto" w:fill="D2D2D2"/>
          </w:tcPr>
          <w:p>
            <w:pPr/>
          </w:p>
        </w:tc>
        <w:tc>
          <w:tcPr>
            <w:tcW w:w="2268" w:type="dxa"/>
            <w:gridSpan w:val="2"/>
            <w:vMerge/>
            <w:tcBorders>
              <w:left w:val="single" w:sz="6" w:space="0" w:color="000000"/>
              <w:bottom w:val="single" w:sz="6" w:space="0" w:color="000000"/>
              <w:right w:val="single" w:sz="6" w:space="0" w:color="000000"/>
            </w:tcBorders>
            <w:shd w:val="clear" w:color="auto" w:fill="D2D2D2"/>
          </w:tcPr>
          <w:p>
            <w:pPr/>
          </w:p>
        </w:tc>
        <w:tc>
          <w:tcPr>
            <w:tcW w:w="1243"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4102" w:type="dxa"/>
            <w:vMerge w:val="restart"/>
            <w:tcBorders>
              <w:top w:val="nil" w:sz="6" w:space="0" w:color="auto"/>
              <w:left w:val="single" w:sz="12" w:space="0" w:color="000000"/>
              <w:right w:val="single" w:sz="6" w:space="0" w:color="000000"/>
            </w:tcBorders>
            <w:shd w:val="clear" w:color="auto" w:fill="D2D2D2"/>
          </w:tcPr>
          <w:p>
            <w:pPr/>
          </w:p>
        </w:tc>
        <w:tc>
          <w:tcPr>
            <w:tcW w:w="12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3"/>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8" w:type="dxa"/>
            <w:vMerge w:val="restart"/>
            <w:tcBorders>
              <w:top w:val="single" w:sz="6" w:space="0" w:color="000000"/>
              <w:left w:val="single" w:sz="6" w:space="0" w:color="000000"/>
              <w:right w:val="single" w:sz="6" w:space="0" w:color="FFFFFF"/>
            </w:tcBorders>
            <w:shd w:val="clear" w:color="auto" w:fill="D2D2D2"/>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6" w:space="0" w:color="000000"/>
              <w:left w:val="single" w:sz="6" w:space="0" w:color="FFFFFF"/>
              <w:right w:val="single" w:sz="6" w:space="0" w:color="000000"/>
            </w:tcBorders>
            <w:shd w:val="clear" w:color="auto" w:fill="D2D2D2"/>
          </w:tcPr>
          <w:p>
            <w:pPr>
              <w:pStyle w:val="TableParagraph"/>
              <w:spacing w:line="240" w:lineRule="auto" w:before="63"/>
              <w:ind w:left="5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43" w:type="dxa"/>
            <w:vMerge/>
            <w:tcBorders>
              <w:left w:val="single" w:sz="6" w:space="0" w:color="000000"/>
              <w:bottom w:val="nil" w:sz="6" w:space="0" w:color="auto"/>
              <w:right w:val="single" w:sz="12" w:space="0" w:color="000000"/>
            </w:tcBorders>
            <w:shd w:val="clear" w:color="auto" w:fill="D2D2D2"/>
          </w:tcPr>
          <w:p>
            <w:pPr/>
          </w:p>
        </w:tc>
      </w:tr>
      <w:tr>
        <w:trPr>
          <w:trHeight w:val="218" w:hRule="exact"/>
        </w:trPr>
        <w:tc>
          <w:tcPr>
            <w:tcW w:w="4102" w:type="dxa"/>
            <w:vMerge/>
            <w:tcBorders>
              <w:left w:val="single" w:sz="12" w:space="0" w:color="000000"/>
              <w:bottom w:val="single" w:sz="6" w:space="0" w:color="000000"/>
              <w:right w:val="single" w:sz="6" w:space="0" w:color="000000"/>
            </w:tcBorders>
            <w:shd w:val="clear" w:color="auto" w:fill="D2D2D2"/>
          </w:tcPr>
          <w:p>
            <w:pPr/>
          </w:p>
        </w:tc>
        <w:tc>
          <w:tcPr>
            <w:tcW w:w="1286" w:type="dxa"/>
            <w:vMerge/>
            <w:tcBorders>
              <w:left w:val="single" w:sz="6" w:space="0" w:color="000000"/>
              <w:bottom w:val="single" w:sz="6" w:space="0" w:color="000000"/>
              <w:right w:val="single" w:sz="6" w:space="0" w:color="000000"/>
            </w:tcBorders>
            <w:shd w:val="clear" w:color="auto" w:fill="D2D2D2"/>
          </w:tcPr>
          <w:p>
            <w:pPr/>
          </w:p>
        </w:tc>
        <w:tc>
          <w:tcPr>
            <w:tcW w:w="709"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FFFFFF"/>
            </w:tcBorders>
            <w:shd w:val="clear" w:color="auto" w:fill="D2D2D2"/>
          </w:tcPr>
          <w:p>
            <w:pPr/>
          </w:p>
        </w:tc>
        <w:tc>
          <w:tcPr>
            <w:tcW w:w="851" w:type="dxa"/>
            <w:vMerge/>
            <w:tcBorders>
              <w:left w:val="single" w:sz="6" w:space="0" w:color="FFFFFF"/>
              <w:bottom w:val="single" w:sz="6" w:space="0" w:color="000000"/>
              <w:right w:val="single" w:sz="6" w:space="0" w:color="000000"/>
            </w:tcBorders>
            <w:shd w:val="clear" w:color="auto" w:fill="D2D2D2"/>
          </w:tcPr>
          <w:p>
            <w:pPr/>
          </w:p>
        </w:tc>
        <w:tc>
          <w:tcPr>
            <w:tcW w:w="1243"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0" w:hRule="exact"/>
        </w:trPr>
        <w:tc>
          <w:tcPr>
            <w:tcW w:w="41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286" w:type="dxa"/>
            <w:tcBorders>
              <w:top w:val="single" w:sz="7" w:space="0" w:color="000000"/>
              <w:left w:val="single" w:sz="14" w:space="0" w:color="D2D2D2"/>
              <w:bottom w:val="single" w:sz="6" w:space="0" w:color="000000"/>
              <w:right w:val="single" w:sz="6" w:space="0" w:color="000000"/>
            </w:tcBorders>
          </w:tcPr>
          <w:p>
            <w:pPr/>
          </w:p>
        </w:tc>
        <w:tc>
          <w:tcPr>
            <w:tcW w:w="709" w:type="dxa"/>
            <w:tcBorders>
              <w:top w:val="single" w:sz="7" w:space="0" w:color="000000"/>
              <w:left w:val="single" w:sz="6" w:space="0" w:color="000000"/>
              <w:bottom w:val="single" w:sz="6" w:space="0" w:color="000000"/>
              <w:right w:val="single" w:sz="6" w:space="0" w:color="000000"/>
            </w:tcBorders>
          </w:tcPr>
          <w:p>
            <w:pPr/>
          </w:p>
        </w:tc>
        <w:tc>
          <w:tcPr>
            <w:tcW w:w="1418" w:type="dxa"/>
            <w:tcBorders>
              <w:top w:val="single" w:sz="7" w:space="0" w:color="000000"/>
              <w:left w:val="single" w:sz="6" w:space="0" w:color="000000"/>
              <w:bottom w:val="single" w:sz="6" w:space="0" w:color="000000"/>
              <w:right w:val="single" w:sz="6" w:space="0" w:color="FFFFFF"/>
            </w:tcBorders>
          </w:tcPr>
          <w:p>
            <w:pPr/>
          </w:p>
        </w:tc>
        <w:tc>
          <w:tcPr>
            <w:tcW w:w="851" w:type="dxa"/>
            <w:tcBorders>
              <w:top w:val="single" w:sz="7" w:space="0" w:color="000000"/>
              <w:left w:val="single" w:sz="6" w:space="0" w:color="FFFFFF"/>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12,752,469.46</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18"/>
                <w:szCs w:val="18"/>
              </w:rPr>
            </w:pPr>
            <w:r>
              <w:rPr>
                <w:rFonts w:ascii="宋体"/>
                <w:sz w:val="18"/>
              </w:rPr>
              <w:t>100.00%</w:t>
            </w:r>
          </w:p>
        </w:tc>
        <w:tc>
          <w:tcPr>
            <w:tcW w:w="1418" w:type="dxa"/>
            <w:tcBorders>
              <w:top w:val="single" w:sz="6" w:space="0" w:color="000000"/>
              <w:left w:val="single" w:sz="6" w:space="0" w:color="000000"/>
              <w:bottom w:val="single" w:sz="6" w:space="0" w:color="000000"/>
              <w:right w:val="single" w:sz="6" w:space="0" w:color="FFFFFF"/>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1,811,115.92</w:t>
            </w:r>
          </w:p>
        </w:tc>
        <w:tc>
          <w:tcPr>
            <w:tcW w:w="851"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14.20%</w:t>
            </w:r>
          </w:p>
        </w:tc>
        <w:tc>
          <w:tcPr>
            <w:tcW w:w="12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4" w:right="0"/>
              <w:jc w:val="center"/>
              <w:rPr>
                <w:rFonts w:ascii="宋体" w:hAnsi="宋体" w:cs="宋体" w:eastAsia="宋体" w:hint="default"/>
                <w:sz w:val="18"/>
                <w:szCs w:val="18"/>
              </w:rPr>
            </w:pPr>
            <w:r>
              <w:rPr>
                <w:rFonts w:ascii="宋体"/>
                <w:sz w:val="18"/>
              </w:rPr>
              <w:t>10,941,353.54</w:t>
            </w:r>
          </w:p>
        </w:tc>
      </w:tr>
      <w:tr>
        <w:trPr>
          <w:trHeight w:val="412" w:hRule="exact"/>
        </w:trPr>
        <w:tc>
          <w:tcPr>
            <w:tcW w:w="41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FFFFFF"/>
            </w:tcBorders>
          </w:tcPr>
          <w:p>
            <w:pPr/>
          </w:p>
        </w:tc>
        <w:tc>
          <w:tcPr>
            <w:tcW w:w="851" w:type="dxa"/>
            <w:tcBorders>
              <w:top w:val="single" w:sz="6" w:space="0" w:color="000000"/>
              <w:left w:val="single" w:sz="6" w:space="0" w:color="FFFFFF"/>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410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12,752,469.46</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18"/>
                <w:szCs w:val="18"/>
              </w:rPr>
            </w:pPr>
            <w:r>
              <w:rPr>
                <w:rFonts w:ascii="宋体"/>
                <w:sz w:val="18"/>
              </w:rPr>
              <w:t>100.00%</w:t>
            </w:r>
          </w:p>
        </w:tc>
        <w:tc>
          <w:tcPr>
            <w:tcW w:w="1418" w:type="dxa"/>
            <w:tcBorders>
              <w:top w:val="single" w:sz="6" w:space="0" w:color="000000"/>
              <w:left w:val="single" w:sz="6" w:space="0" w:color="000000"/>
              <w:bottom w:val="single" w:sz="12" w:space="0" w:color="000000"/>
              <w:right w:val="single" w:sz="6" w:space="0" w:color="FFFFFF"/>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1,811,115.92</w:t>
            </w:r>
          </w:p>
        </w:tc>
        <w:tc>
          <w:tcPr>
            <w:tcW w:w="851" w:type="dxa"/>
            <w:tcBorders>
              <w:top w:val="single" w:sz="6" w:space="0" w:color="000000"/>
              <w:left w:val="single" w:sz="6" w:space="0" w:color="FFFFFF"/>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14.20%</w:t>
            </w:r>
          </w:p>
        </w:tc>
        <w:tc>
          <w:tcPr>
            <w:tcW w:w="124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4"/>
              <w:ind w:left="24" w:right="0"/>
              <w:jc w:val="center"/>
              <w:rPr>
                <w:rFonts w:ascii="宋体" w:hAnsi="宋体" w:cs="宋体" w:eastAsia="宋体" w:hint="default"/>
                <w:sz w:val="18"/>
                <w:szCs w:val="18"/>
              </w:rPr>
            </w:pPr>
            <w:r>
              <w:rPr>
                <w:rFonts w:ascii="宋体"/>
                <w:sz w:val="18"/>
              </w:rPr>
              <w:t>10,941,353.54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4102"/>
        <w:gridCol w:w="1286"/>
        <w:gridCol w:w="709"/>
        <w:gridCol w:w="1418"/>
        <w:gridCol w:w="851"/>
        <w:gridCol w:w="1226"/>
      </w:tblGrid>
      <w:tr>
        <w:trPr>
          <w:trHeight w:val="419" w:hRule="exact"/>
        </w:trPr>
        <w:tc>
          <w:tcPr>
            <w:tcW w:w="410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5490"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15" w:hRule="exact"/>
        </w:trPr>
        <w:tc>
          <w:tcPr>
            <w:tcW w:w="410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9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4"/>
              <w:ind w:left="6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26"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6" w:hRule="exact"/>
        </w:trPr>
        <w:tc>
          <w:tcPr>
            <w:tcW w:w="4102" w:type="dxa"/>
            <w:vMerge/>
            <w:tcBorders>
              <w:left w:val="single" w:sz="12" w:space="0" w:color="000000"/>
              <w:bottom w:val="nil" w:sz="6" w:space="0" w:color="auto"/>
              <w:right w:val="single" w:sz="6" w:space="0" w:color="000000"/>
            </w:tcBorders>
            <w:shd w:val="clear" w:color="auto" w:fill="D2D2D2"/>
          </w:tcPr>
          <w:p>
            <w:pPr/>
          </w:p>
        </w:tc>
        <w:tc>
          <w:tcPr>
            <w:tcW w:w="1996" w:type="dxa"/>
            <w:gridSpan w:val="2"/>
            <w:vMerge/>
            <w:tcBorders>
              <w:left w:val="single" w:sz="6" w:space="0" w:color="000000"/>
              <w:bottom w:val="single" w:sz="6" w:space="0" w:color="000000"/>
              <w:right w:val="single" w:sz="6" w:space="0" w:color="000000"/>
            </w:tcBorders>
            <w:shd w:val="clear" w:color="auto" w:fill="D2D2D2"/>
          </w:tcPr>
          <w:p>
            <w:pPr/>
          </w:p>
        </w:tc>
        <w:tc>
          <w:tcPr>
            <w:tcW w:w="2268" w:type="dxa"/>
            <w:gridSpan w:val="2"/>
            <w:vMerge/>
            <w:tcBorders>
              <w:left w:val="single" w:sz="6" w:space="0" w:color="000000"/>
              <w:bottom w:val="single" w:sz="6" w:space="0" w:color="000000"/>
              <w:right w:val="single" w:sz="6" w:space="0" w:color="000000"/>
            </w:tcBorders>
            <w:shd w:val="clear" w:color="auto" w:fill="D2D2D2"/>
          </w:tcPr>
          <w:p>
            <w:pPr/>
          </w:p>
        </w:tc>
        <w:tc>
          <w:tcPr>
            <w:tcW w:w="1226"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4102" w:type="dxa"/>
            <w:vMerge w:val="restart"/>
            <w:tcBorders>
              <w:top w:val="nil" w:sz="6" w:space="0" w:color="auto"/>
              <w:left w:val="single" w:sz="12" w:space="0" w:color="000000"/>
              <w:right w:val="single" w:sz="6" w:space="0" w:color="000000"/>
            </w:tcBorders>
            <w:shd w:val="clear" w:color="auto" w:fill="D2D2D2"/>
          </w:tcPr>
          <w:p>
            <w:pPr/>
          </w:p>
        </w:tc>
        <w:tc>
          <w:tcPr>
            <w:tcW w:w="12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4"/>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4"/>
              <w:ind w:left="5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26" w:type="dxa"/>
            <w:vMerge/>
            <w:tcBorders>
              <w:left w:val="single" w:sz="6" w:space="0" w:color="000000"/>
              <w:bottom w:val="nil" w:sz="6" w:space="0" w:color="auto"/>
              <w:right w:val="single" w:sz="12" w:space="0" w:color="000000"/>
            </w:tcBorders>
            <w:shd w:val="clear" w:color="auto" w:fill="D2D2D2"/>
          </w:tcPr>
          <w:p>
            <w:pPr/>
          </w:p>
        </w:tc>
      </w:tr>
      <w:tr>
        <w:trPr>
          <w:trHeight w:val="217" w:hRule="exact"/>
        </w:trPr>
        <w:tc>
          <w:tcPr>
            <w:tcW w:w="4102" w:type="dxa"/>
            <w:vMerge/>
            <w:tcBorders>
              <w:left w:val="single" w:sz="12" w:space="0" w:color="000000"/>
              <w:bottom w:val="single" w:sz="6" w:space="0" w:color="000000"/>
              <w:right w:val="single" w:sz="6" w:space="0" w:color="000000"/>
            </w:tcBorders>
            <w:shd w:val="clear" w:color="auto" w:fill="D2D2D2"/>
          </w:tcPr>
          <w:p>
            <w:pPr/>
          </w:p>
        </w:tc>
        <w:tc>
          <w:tcPr>
            <w:tcW w:w="1286" w:type="dxa"/>
            <w:vMerge/>
            <w:tcBorders>
              <w:left w:val="single" w:sz="6" w:space="0" w:color="000000"/>
              <w:bottom w:val="single" w:sz="6" w:space="0" w:color="000000"/>
              <w:right w:val="single" w:sz="6" w:space="0" w:color="000000"/>
            </w:tcBorders>
            <w:shd w:val="clear" w:color="auto" w:fill="D2D2D2"/>
          </w:tcPr>
          <w:p>
            <w:pPr/>
          </w:p>
        </w:tc>
        <w:tc>
          <w:tcPr>
            <w:tcW w:w="709"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000000"/>
            </w:tcBorders>
            <w:shd w:val="clear" w:color="auto" w:fill="D2D2D2"/>
          </w:tcPr>
          <w:p>
            <w:pPr/>
          </w:p>
        </w:tc>
        <w:tc>
          <w:tcPr>
            <w:tcW w:w="851" w:type="dxa"/>
            <w:vMerge/>
            <w:tcBorders>
              <w:left w:val="single" w:sz="6" w:space="0" w:color="000000"/>
              <w:bottom w:val="single" w:sz="6" w:space="0" w:color="000000"/>
              <w:right w:val="single" w:sz="6" w:space="0" w:color="000000"/>
            </w:tcBorders>
            <w:shd w:val="clear" w:color="auto" w:fill="D2D2D2"/>
          </w:tcPr>
          <w:p>
            <w:pPr/>
          </w:p>
        </w:tc>
        <w:tc>
          <w:tcPr>
            <w:tcW w:w="1226"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1" w:hRule="exact"/>
        </w:trPr>
        <w:tc>
          <w:tcPr>
            <w:tcW w:w="41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286" w:type="dxa"/>
            <w:tcBorders>
              <w:top w:val="single" w:sz="7" w:space="0" w:color="000000"/>
              <w:left w:val="single" w:sz="14" w:space="0" w:color="D2D2D2"/>
              <w:bottom w:val="single" w:sz="6" w:space="0" w:color="000000"/>
              <w:right w:val="single" w:sz="6" w:space="0" w:color="000000"/>
            </w:tcBorders>
          </w:tcPr>
          <w:p>
            <w:pPr/>
          </w:p>
        </w:tc>
        <w:tc>
          <w:tcPr>
            <w:tcW w:w="709" w:type="dxa"/>
            <w:tcBorders>
              <w:top w:val="single" w:sz="7" w:space="0" w:color="000000"/>
              <w:left w:val="single" w:sz="6" w:space="0" w:color="000000"/>
              <w:bottom w:val="single" w:sz="6" w:space="0" w:color="000000"/>
              <w:right w:val="single" w:sz="6" w:space="0" w:color="000000"/>
            </w:tcBorders>
          </w:tcPr>
          <w:p>
            <w:pPr/>
          </w:p>
        </w:tc>
        <w:tc>
          <w:tcPr>
            <w:tcW w:w="1418" w:type="dxa"/>
            <w:tcBorders>
              <w:top w:val="single" w:sz="7" w:space="0" w:color="000000"/>
              <w:left w:val="single" w:sz="6" w:space="0" w:color="000000"/>
              <w:bottom w:val="single" w:sz="6" w:space="0" w:color="000000"/>
              <w:right w:val="single" w:sz="6" w:space="0" w:color="000000"/>
            </w:tcBorders>
          </w:tcPr>
          <w:p>
            <w:pPr/>
          </w:p>
        </w:tc>
        <w:tc>
          <w:tcPr>
            <w:tcW w:w="851" w:type="dxa"/>
            <w:tcBorders>
              <w:top w:val="single" w:sz="7"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26,513,514.05</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18"/>
                <w:szCs w:val="18"/>
              </w:rPr>
            </w:pPr>
            <w:r>
              <w:rPr>
                <w:rFonts w:ascii="宋体"/>
                <w:sz w:val="18"/>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1,693,450.35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6.39%</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7" w:right="0"/>
              <w:jc w:val="center"/>
              <w:rPr>
                <w:rFonts w:ascii="宋体" w:hAnsi="宋体" w:cs="宋体" w:eastAsia="宋体" w:hint="default"/>
                <w:sz w:val="18"/>
                <w:szCs w:val="18"/>
              </w:rPr>
            </w:pPr>
            <w:r>
              <w:rPr>
                <w:rFonts w:ascii="宋体"/>
                <w:sz w:val="18"/>
              </w:rPr>
              <w:t>24,820,063.70</w:t>
            </w:r>
          </w:p>
        </w:tc>
      </w:tr>
      <w:tr>
        <w:trPr>
          <w:trHeight w:val="412" w:hRule="exact"/>
        </w:trPr>
        <w:tc>
          <w:tcPr>
            <w:tcW w:w="41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410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26,513,514.05</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24" w:right="0"/>
              <w:jc w:val="center"/>
              <w:rPr>
                <w:rFonts w:ascii="宋体" w:hAnsi="宋体" w:cs="宋体" w:eastAsia="宋体" w:hint="default"/>
                <w:sz w:val="18"/>
                <w:szCs w:val="18"/>
              </w:rPr>
            </w:pPr>
            <w:r>
              <w:rPr>
                <w:rFonts w:ascii="宋体"/>
                <w:sz w:val="18"/>
              </w:rPr>
              <w:t>100.00%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1,693,450.35</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6.39%</w:t>
            </w:r>
          </w:p>
        </w:tc>
        <w:tc>
          <w:tcPr>
            <w:tcW w:w="12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sz w:val="18"/>
              </w:rPr>
              <w:t>24,820,063.70</w:t>
            </w:r>
          </w:p>
        </w:tc>
      </w:tr>
    </w:tbl>
    <w:p>
      <w:pPr>
        <w:pStyle w:val="BodyText"/>
        <w:spacing w:line="240" w:lineRule="auto" w:before="63"/>
        <w:ind w:right="1122"/>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408" w:lineRule="auto" w:before="0"/>
        <w:ind w:right="5922"/>
        <w:jc w:val="left"/>
      </w:pPr>
      <w:r>
        <w:rPr/>
        <w:t>□ 适用 √</w:t>
      </w:r>
      <w:r>
        <w:rPr>
          <w:spacing w:val="-1"/>
        </w:rPr>
        <w:t> </w:t>
      </w:r>
      <w:r>
        <w:rPr/>
        <w:t>不适用</w:t>
      </w:r>
      <w:r>
        <w:rPr/>
        <w:t> 组合中，按账龄分析法计提坏账准备的其他应收款：</w:t>
      </w:r>
    </w:p>
    <w:p>
      <w:pPr>
        <w:pStyle w:val="BodyText"/>
        <w:spacing w:line="240" w:lineRule="auto"/>
        <w:ind w:right="1122"/>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495"/>
        <w:gridCol w:w="2295"/>
        <w:gridCol w:w="2391"/>
        <w:gridCol w:w="2389"/>
      </w:tblGrid>
      <w:tr>
        <w:trPr>
          <w:trHeight w:val="412" w:hRule="exact"/>
        </w:trPr>
        <w:tc>
          <w:tcPr>
            <w:tcW w:w="2495"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5" w:type="dxa"/>
            <w:vMerge/>
            <w:tcBorders>
              <w:left w:val="single" w:sz="12"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12" w:hRule="exact"/>
        </w:trPr>
        <w:tc>
          <w:tcPr>
            <w:tcW w:w="249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181" w:right="0"/>
              <w:jc w:val="left"/>
              <w:rPr>
                <w:rFonts w:ascii="宋体" w:hAnsi="宋体" w:cs="宋体" w:eastAsia="宋体" w:hint="default"/>
                <w:sz w:val="18"/>
                <w:szCs w:val="18"/>
              </w:rPr>
            </w:pPr>
            <w:r>
              <w:rPr>
                <w:rFonts w:ascii="宋体"/>
                <w:sz w:val="18"/>
              </w:rPr>
              <w:t>7,164,649.34</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456" w:right="0"/>
              <w:jc w:val="left"/>
              <w:rPr>
                <w:rFonts w:ascii="宋体" w:hAnsi="宋体" w:cs="宋体" w:eastAsia="宋体" w:hint="default"/>
                <w:sz w:val="18"/>
                <w:szCs w:val="18"/>
              </w:rPr>
            </w:pPr>
            <w:r>
              <w:rPr>
                <w:rFonts w:ascii="宋体"/>
                <w:sz w:val="18"/>
              </w:rPr>
              <w:t>214,939.48</w:t>
            </w:r>
          </w:p>
        </w:tc>
        <w:tc>
          <w:tcPr>
            <w:tcW w:w="23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bl>
    <w:p>
      <w:pPr>
        <w:spacing w:after="0" w:line="240" w:lineRule="auto"/>
        <w:jc w:val="right"/>
        <w:rPr>
          <w:rFonts w:ascii="宋体" w:hAnsi="宋体" w:cs="宋体" w:eastAsia="宋体" w:hint="default"/>
          <w:sz w:val="18"/>
          <w:szCs w:val="18"/>
        </w:rPr>
        <w:sectPr>
          <w:pgSz w:w="11910" w:h="16840"/>
          <w:pgMar w:header="877" w:footer="1000" w:top="1040" w:bottom="1180" w:left="980" w:right="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483"/>
        <w:gridCol w:w="2307"/>
        <w:gridCol w:w="2391"/>
        <w:gridCol w:w="2389"/>
      </w:tblGrid>
      <w:tr>
        <w:trPr>
          <w:trHeight w:val="412" w:hRule="exact"/>
        </w:trPr>
        <w:tc>
          <w:tcPr>
            <w:tcW w:w="24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07" w:type="dxa"/>
            <w:tcBorders>
              <w:top w:val="single" w:sz="12"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7,164,649.34</w:t>
            </w:r>
          </w:p>
        </w:tc>
        <w:tc>
          <w:tcPr>
            <w:tcW w:w="23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214,939.48</w:t>
            </w:r>
          </w:p>
        </w:tc>
        <w:tc>
          <w:tcPr>
            <w:tcW w:w="238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2" w:hRule="exact"/>
        </w:trPr>
        <w:tc>
          <w:tcPr>
            <w:tcW w:w="24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89,868.19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8,986.82</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02" w:hRule="exact"/>
        </w:trPr>
        <w:tc>
          <w:tcPr>
            <w:tcW w:w="24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72,373.50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21,712.05</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w:t>
            </w:r>
          </w:p>
        </w:tc>
      </w:tr>
      <w:tr>
        <w:trPr>
          <w:trHeight w:val="402" w:hRule="exact"/>
        </w:trPr>
        <w:tc>
          <w:tcPr>
            <w:tcW w:w="24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2,045,847.00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1,565,477.57</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76.52%</w:t>
            </w:r>
          </w:p>
        </w:tc>
      </w:tr>
      <w:tr>
        <w:trPr>
          <w:trHeight w:val="402" w:hRule="exact"/>
        </w:trPr>
        <w:tc>
          <w:tcPr>
            <w:tcW w:w="24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736,400.00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368,200.00</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w:t>
            </w:r>
          </w:p>
        </w:tc>
      </w:tr>
      <w:tr>
        <w:trPr>
          <w:trHeight w:val="402" w:hRule="exact"/>
        </w:trPr>
        <w:tc>
          <w:tcPr>
            <w:tcW w:w="24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373,898.10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261,728.67</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70.00%</w:t>
            </w:r>
          </w:p>
        </w:tc>
      </w:tr>
      <w:tr>
        <w:trPr>
          <w:trHeight w:val="402" w:hRule="exact"/>
        </w:trPr>
        <w:tc>
          <w:tcPr>
            <w:tcW w:w="24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935,548.90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935,548.90</w:t>
            </w:r>
          </w:p>
        </w:tc>
        <w:tc>
          <w:tcPr>
            <w:tcW w:w="23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12" w:hRule="exact"/>
        </w:trPr>
        <w:tc>
          <w:tcPr>
            <w:tcW w:w="248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9,372,738.03</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1,811,115.92</w:t>
            </w:r>
          </w:p>
        </w:tc>
        <w:tc>
          <w:tcPr>
            <w:tcW w:w="23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19.32%</w:t>
            </w:r>
          </w:p>
        </w:tc>
      </w:tr>
    </w:tbl>
    <w:p>
      <w:pPr>
        <w:pStyle w:val="BodyText"/>
        <w:spacing w:line="408" w:lineRule="auto" w:before="63"/>
        <w:ind w:right="1122"/>
        <w:jc w:val="left"/>
      </w:pPr>
      <w:r>
        <w:rPr/>
        <w:t>确定该组合依据的说明： </w:t>
      </w:r>
      <w:r>
        <w:rPr>
          <w:spacing w:val="-1"/>
        </w:rPr>
        <w:t>本公司报告期内母公司单户报表中不对合并范围内的关联方计提坏账准备，将剩余的往来款项按账龄分析</w:t>
      </w:r>
      <w:r>
        <w:rPr>
          <w:spacing w:val="-81"/>
        </w:rPr>
        <w:t> </w:t>
      </w:r>
      <w:r>
        <w:rPr>
          <w:spacing w:val="-81"/>
        </w:rPr>
      </w:r>
      <w:r>
        <w:rPr/>
        <w:t>法计提坏账准备。</w:t>
      </w:r>
    </w:p>
    <w:p>
      <w:pPr>
        <w:pStyle w:val="BodyText"/>
        <w:spacing w:line="240" w:lineRule="auto"/>
        <w:ind w:right="1122"/>
        <w:jc w:val="left"/>
      </w:pPr>
      <w:r>
        <w:rPr/>
        <w:t>组合中，采用余额百分比法计提坏账准备的其他应收款：</w:t>
      </w:r>
    </w:p>
    <w:p>
      <w:pPr>
        <w:spacing w:line="240" w:lineRule="auto" w:before="10"/>
        <w:rPr>
          <w:rFonts w:ascii="宋体" w:hAnsi="宋体" w:cs="宋体" w:eastAsia="宋体" w:hint="default"/>
          <w:sz w:val="14"/>
          <w:szCs w:val="14"/>
        </w:rPr>
      </w:pPr>
    </w:p>
    <w:p>
      <w:pPr>
        <w:pStyle w:val="BodyText"/>
        <w:spacing w:line="408" w:lineRule="auto" w:before="0"/>
        <w:ind w:right="5922"/>
        <w:jc w:val="left"/>
      </w:pPr>
      <w:r>
        <w:rPr/>
        <w:t>□ 适用 √</w:t>
      </w:r>
      <w:r>
        <w:rPr>
          <w:spacing w:val="-1"/>
        </w:rPr>
        <w:t> </w:t>
      </w:r>
      <w:r>
        <w:rPr/>
        <w:t>不适用</w:t>
      </w:r>
      <w:r>
        <w:rPr/>
        <w:t> 组合中，采用其他方法计提坏账准备的其他应收款：</w:t>
      </w:r>
    </w:p>
    <w:p>
      <w:pPr>
        <w:pStyle w:val="BodyText"/>
        <w:spacing w:line="408" w:lineRule="auto"/>
        <w:ind w:right="6972"/>
        <w:jc w:val="left"/>
      </w:pPr>
      <w:r>
        <w:rPr/>
        <w:t>□ 适用 √</w:t>
      </w:r>
      <w:r>
        <w:rPr>
          <w:spacing w:val="-1"/>
        </w:rPr>
        <w:t> </w:t>
      </w:r>
      <w:r>
        <w:rPr/>
        <w:t>不适用</w:t>
      </w:r>
      <w:r>
        <w:rPr/>
        <w:t> </w:t>
      </w:r>
      <w:r>
        <w:rPr>
          <w:rFonts w:ascii="宋体" w:hAnsi="宋体" w:cs="宋体" w:eastAsia="宋体" w:hint="default"/>
        </w:rPr>
        <w:t>2)</w:t>
      </w:r>
      <w:r>
        <w:rPr/>
        <w:t>本期计提、收回或转回的坏账准备情况</w:t>
      </w:r>
    </w:p>
    <w:p>
      <w:pPr>
        <w:pStyle w:val="BodyText"/>
        <w:spacing w:line="240" w:lineRule="auto"/>
        <w:ind w:right="1122"/>
        <w:jc w:val="left"/>
      </w:pPr>
      <w:r>
        <w:rPr/>
        <w:t>本期计提坏账准备金额</w:t>
      </w:r>
      <w:r>
        <w:rPr>
          <w:spacing w:val="-53"/>
        </w:rPr>
        <w:t> </w:t>
      </w:r>
      <w:r>
        <w:rPr>
          <w:rFonts w:ascii="宋体" w:hAnsi="宋体" w:cs="宋体" w:eastAsia="宋体" w:hint="default"/>
        </w:rPr>
        <w:t>117,665.57</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before="0"/>
        <w:ind w:right="1122"/>
        <w:jc w:val="left"/>
      </w:pPr>
      <w:r>
        <w:rPr>
          <w:rFonts w:ascii="宋体" w:hAnsi="宋体" w:cs="宋体" w:eastAsia="宋体" w:hint="default"/>
        </w:rPr>
        <w:t>3)</w:t>
      </w:r>
      <w:r>
        <w:rPr>
          <w:rFonts w:ascii="宋体" w:hAnsi="宋体" w:cs="宋体" w:eastAsia="宋体" w:hint="default"/>
          <w:spacing w:val="-4"/>
        </w:rPr>
        <w:t> </w:t>
      </w:r>
      <w:r>
        <w:rPr/>
        <w:t>本期实际核销的其他应收款情况</w:t>
      </w:r>
    </w:p>
    <w:p>
      <w:pPr>
        <w:spacing w:line="240" w:lineRule="auto" w:before="10"/>
        <w:rPr>
          <w:rFonts w:ascii="宋体" w:hAnsi="宋体" w:cs="宋体" w:eastAsia="宋体" w:hint="default"/>
          <w:sz w:val="14"/>
          <w:szCs w:val="14"/>
        </w:rPr>
      </w:pPr>
    </w:p>
    <w:p>
      <w:pPr>
        <w:pStyle w:val="BodyText"/>
        <w:spacing w:line="408" w:lineRule="auto" w:before="0"/>
        <w:ind w:right="7602"/>
        <w:jc w:val="left"/>
      </w:pPr>
      <w:r>
        <w:rPr/>
        <w:t>□ 适用 √</w:t>
      </w:r>
      <w:r>
        <w:rPr>
          <w:spacing w:val="-1"/>
        </w:rPr>
        <w:t> </w:t>
      </w:r>
      <w:r>
        <w:rPr/>
        <w:t>不适用</w:t>
      </w:r>
      <w:r>
        <w:rPr/>
        <w:t> </w:t>
      </w:r>
      <w:r>
        <w:rPr>
          <w:rFonts w:ascii="宋体" w:hAnsi="宋体" w:cs="宋体" w:eastAsia="宋体" w:hint="default"/>
        </w:rPr>
        <w:t>4)</w:t>
      </w:r>
      <w:r>
        <w:rPr/>
        <w:t>其他应收款按款项性质分类情况</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545"/>
        <w:gridCol w:w="2925"/>
        <w:gridCol w:w="3099"/>
      </w:tblGrid>
      <w:tr>
        <w:trPr>
          <w:trHeight w:val="415" w:hRule="exact"/>
        </w:trPr>
        <w:tc>
          <w:tcPr>
            <w:tcW w:w="354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9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35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3,315,399.46</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4,658,500.00</w:t>
            </w:r>
          </w:p>
        </w:tc>
      </w:tr>
      <w:tr>
        <w:trPr>
          <w:trHeight w:val="407" w:hRule="exact"/>
        </w:trPr>
        <w:tc>
          <w:tcPr>
            <w:tcW w:w="35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应收租金及保证金</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892,500.00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892,500.00</w:t>
            </w:r>
          </w:p>
        </w:tc>
      </w:tr>
      <w:tr>
        <w:trPr>
          <w:trHeight w:val="407" w:hRule="exact"/>
        </w:trPr>
        <w:tc>
          <w:tcPr>
            <w:tcW w:w="35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1,935,149.50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2,979,029.79</w:t>
            </w:r>
          </w:p>
        </w:tc>
      </w:tr>
      <w:tr>
        <w:trPr>
          <w:trHeight w:val="408" w:hRule="exact"/>
        </w:trPr>
        <w:tc>
          <w:tcPr>
            <w:tcW w:w="35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3,379,731.43</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15,500,100.00</w:t>
            </w:r>
          </w:p>
        </w:tc>
      </w:tr>
      <w:tr>
        <w:trPr>
          <w:trHeight w:val="407" w:hRule="exact"/>
        </w:trPr>
        <w:tc>
          <w:tcPr>
            <w:tcW w:w="35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3,229,689.07</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2,483,384.26</w:t>
            </w:r>
          </w:p>
        </w:tc>
      </w:tr>
      <w:tr>
        <w:trPr>
          <w:trHeight w:val="415" w:hRule="exact"/>
        </w:trPr>
        <w:tc>
          <w:tcPr>
            <w:tcW w:w="35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12,752,469.46</w:t>
            </w:r>
          </w:p>
        </w:tc>
        <w:tc>
          <w:tcPr>
            <w:tcW w:w="30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26,513,514.05</w:t>
            </w:r>
          </w:p>
        </w:tc>
      </w:tr>
    </w:tbl>
    <w:p>
      <w:pPr>
        <w:pStyle w:val="BodyText"/>
        <w:spacing w:line="240" w:lineRule="auto" w:before="63"/>
        <w:ind w:right="1122"/>
        <w:jc w:val="left"/>
      </w:pPr>
      <w:r>
        <w:rPr>
          <w:rFonts w:ascii="宋体" w:hAnsi="宋体" w:cs="宋体" w:eastAsia="宋体" w:hint="default"/>
        </w:rPr>
        <w:t>5)</w:t>
      </w:r>
      <w:r>
        <w:rPr/>
        <w:t>按欠款方归集的期末余额前五名的其他应收款情况</w:t>
      </w:r>
    </w:p>
    <w:p>
      <w:pPr>
        <w:spacing w:line="240" w:lineRule="auto" w:before="7"/>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1000" w:top="1040" w:bottom="1180" w:left="980" w:right="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986"/>
        <w:gridCol w:w="1559"/>
        <w:gridCol w:w="1244"/>
        <w:gridCol w:w="1553"/>
        <w:gridCol w:w="1614"/>
        <w:gridCol w:w="1615"/>
      </w:tblGrid>
      <w:tr>
        <w:trPr>
          <w:trHeight w:val="724" w:hRule="exact"/>
        </w:trPr>
        <w:tc>
          <w:tcPr>
            <w:tcW w:w="198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150"/>
              <w:jc w:val="left"/>
              <w:rPr>
                <w:rFonts w:ascii="宋体" w:hAnsi="宋体" w:cs="宋体" w:eastAsia="宋体" w:hint="default"/>
                <w:sz w:val="18"/>
                <w:szCs w:val="18"/>
              </w:rPr>
            </w:pPr>
            <w:r>
              <w:rPr>
                <w:rFonts w:ascii="宋体" w:hAnsi="宋体" w:cs="宋体" w:eastAsia="宋体" w:hint="default"/>
                <w:sz w:val="18"/>
                <w:szCs w:val="18"/>
              </w:rPr>
              <w:t>江苏德能电力设计咨询 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19.60%</w:t>
            </w:r>
          </w:p>
        </w:tc>
        <w:tc>
          <w:tcPr>
            <w:tcW w:w="1615"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15.68%</w:t>
            </w: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60,000.00</w:t>
            </w:r>
          </w:p>
        </w:tc>
      </w:tr>
      <w:tr>
        <w:trPr>
          <w:trHeight w:val="714"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150"/>
              <w:jc w:val="left"/>
              <w:rPr>
                <w:rFonts w:ascii="宋体" w:hAnsi="宋体" w:cs="宋体" w:eastAsia="宋体" w:hint="default"/>
                <w:sz w:val="18"/>
                <w:szCs w:val="18"/>
              </w:rPr>
            </w:pPr>
            <w:r>
              <w:rPr>
                <w:rFonts w:ascii="宋体" w:hAnsi="宋体" w:cs="宋体" w:eastAsia="宋体" w:hint="default"/>
                <w:sz w:val="18"/>
                <w:szCs w:val="18"/>
              </w:rPr>
              <w:t>江苏凯斯奇能源科技有 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应收租金及保证金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892,500.00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630,000</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240" w:lineRule="auto" w:before="76"/>
              <w:ind w:left="7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262,500</w:t>
            </w:r>
            <w:r>
              <w:rPr>
                <w:rFonts w:ascii="宋体" w:hAnsi="宋体" w:cs="宋体" w:eastAsia="宋体" w:hint="default"/>
                <w:spacing w:val="-45"/>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7.00%</w:t>
            </w: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498,750.00</w:t>
            </w:r>
          </w:p>
        </w:tc>
      </w:tr>
      <w:tr>
        <w:trPr>
          <w:trHeight w:val="714"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150"/>
              <w:jc w:val="left"/>
              <w:rPr>
                <w:rFonts w:ascii="宋体" w:hAnsi="宋体" w:cs="宋体" w:eastAsia="宋体" w:hint="default"/>
                <w:sz w:val="18"/>
                <w:szCs w:val="18"/>
              </w:rPr>
            </w:pPr>
            <w:r>
              <w:rPr>
                <w:rFonts w:ascii="宋体" w:hAnsi="宋体" w:cs="宋体" w:eastAsia="宋体" w:hint="default"/>
                <w:sz w:val="18"/>
                <w:szCs w:val="18"/>
              </w:rPr>
              <w:t>南京智友尚云信息技术 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599,085.86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4.70%</w:t>
            </w:r>
          </w:p>
        </w:tc>
        <w:tc>
          <w:tcPr>
            <w:tcW w:w="1615"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国网福建招标有限公司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549,940.46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4.31%</w:t>
            </w: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16,498.21</w:t>
            </w:r>
          </w:p>
        </w:tc>
      </w:tr>
      <w:tr>
        <w:trPr>
          <w:trHeight w:val="412" w:hRule="exact"/>
        </w:trPr>
        <w:tc>
          <w:tcPr>
            <w:tcW w:w="198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6,541,526.32</w:t>
            </w:r>
          </w:p>
        </w:tc>
        <w:tc>
          <w:tcPr>
            <w:tcW w:w="1553"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51.30%</w:t>
            </w:r>
          </w:p>
        </w:tc>
        <w:tc>
          <w:tcPr>
            <w:tcW w:w="16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575,248.21</w:t>
            </w:r>
          </w:p>
        </w:tc>
      </w:tr>
    </w:tbl>
    <w:p>
      <w:pPr>
        <w:pStyle w:val="BodyText"/>
        <w:spacing w:line="240" w:lineRule="auto" w:before="63"/>
        <w:ind w:right="1122"/>
        <w:jc w:val="left"/>
      </w:pPr>
      <w:r>
        <w:rPr>
          <w:rFonts w:ascii="宋体" w:hAnsi="宋体" w:cs="宋体" w:eastAsia="宋体" w:hint="default"/>
        </w:rPr>
        <w:t>6)</w:t>
      </w:r>
      <w:r>
        <w:rPr/>
        <w:t>涉及政府补助的应收款项</w:t>
      </w:r>
    </w:p>
    <w:p>
      <w:pPr>
        <w:spacing w:line="240" w:lineRule="auto" w:before="10"/>
        <w:rPr>
          <w:rFonts w:ascii="宋体" w:hAnsi="宋体" w:cs="宋体" w:eastAsia="宋体" w:hint="default"/>
          <w:sz w:val="14"/>
          <w:szCs w:val="14"/>
        </w:rPr>
      </w:pPr>
    </w:p>
    <w:p>
      <w:pPr>
        <w:pStyle w:val="BodyText"/>
        <w:spacing w:line="408" w:lineRule="auto" w:before="0"/>
        <w:ind w:right="6762"/>
        <w:jc w:val="left"/>
      </w:pPr>
      <w:r>
        <w:rPr/>
        <w:t>□ 适用 √</w:t>
      </w:r>
      <w:r>
        <w:rPr>
          <w:spacing w:val="-1"/>
        </w:rPr>
        <w:t> </w:t>
      </w:r>
      <w:r>
        <w:rPr/>
        <w:t>不适用</w:t>
      </w:r>
      <w:r>
        <w:rPr/>
        <w:t> </w:t>
      </w:r>
      <w:r>
        <w:rPr>
          <w:rFonts w:ascii="宋体" w:hAnsi="宋体" w:cs="宋体" w:eastAsia="宋体" w:hint="default"/>
        </w:rPr>
        <w:t>7)</w:t>
      </w:r>
      <w:r>
        <w:rPr/>
        <w:t>因金融资产转移而终止确认的其他应收款</w:t>
      </w:r>
    </w:p>
    <w:p>
      <w:pPr>
        <w:pStyle w:val="BodyText"/>
        <w:spacing w:line="408" w:lineRule="auto"/>
        <w:ind w:right="5922"/>
        <w:jc w:val="left"/>
      </w:pPr>
      <w:r>
        <w:rPr/>
        <w:t>□ 适用 √</w:t>
      </w:r>
      <w:r>
        <w:rPr>
          <w:spacing w:val="-1"/>
        </w:rPr>
        <w:t> </w:t>
      </w:r>
      <w:r>
        <w:rPr/>
        <w:t>不适用</w:t>
      </w:r>
      <w:r>
        <w:rPr/>
        <w:t> </w:t>
      </w:r>
      <w:r>
        <w:rPr>
          <w:rFonts w:ascii="宋体" w:hAnsi="宋体" w:cs="宋体" w:eastAsia="宋体" w:hint="default"/>
        </w:rPr>
        <w:t>8)</w:t>
      </w:r>
      <w:r>
        <w:rPr/>
        <w:t>转移其他应收款且继续涉入形成的资产、负债金额</w:t>
      </w:r>
    </w:p>
    <w:p>
      <w:pPr>
        <w:spacing w:line="408" w:lineRule="auto" w:before="46"/>
        <w:ind w:left="15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长期股权投资" w:id="493"/>
      <w:bookmarkEnd w:id="493"/>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132"/>
        <w:gridCol w:w="1598"/>
        <w:gridCol w:w="1367"/>
        <w:gridCol w:w="1367"/>
        <w:gridCol w:w="1548"/>
        <w:gridCol w:w="1320"/>
        <w:gridCol w:w="1443"/>
      </w:tblGrid>
      <w:tr>
        <w:trPr>
          <w:trHeight w:val="217" w:hRule="exact"/>
        </w:trPr>
        <w:tc>
          <w:tcPr>
            <w:tcW w:w="1132" w:type="dxa"/>
            <w:tcBorders>
              <w:top w:val="single" w:sz="12" w:space="0" w:color="000000"/>
              <w:left w:val="single" w:sz="12" w:space="0" w:color="000000"/>
              <w:bottom w:val="nil" w:sz="6" w:space="0" w:color="auto"/>
              <w:right w:val="single" w:sz="4" w:space="0" w:color="000000"/>
            </w:tcBorders>
            <w:shd w:val="clear" w:color="auto" w:fill="D2D2D2"/>
          </w:tcPr>
          <w:p>
            <w:pPr/>
          </w:p>
        </w:tc>
        <w:tc>
          <w:tcPr>
            <w:tcW w:w="4332" w:type="dxa"/>
            <w:gridSpan w:val="3"/>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11" w:type="dxa"/>
            <w:gridSpan w:val="3"/>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132"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4332" w:type="dxa"/>
            <w:gridSpan w:val="3"/>
            <w:vMerge/>
            <w:tcBorders>
              <w:left w:val="single" w:sz="4" w:space="0" w:color="000000"/>
              <w:bottom w:val="single" w:sz="4" w:space="0" w:color="000000"/>
              <w:right w:val="single" w:sz="4" w:space="0" w:color="000000"/>
            </w:tcBorders>
            <w:shd w:val="clear" w:color="auto" w:fill="D2D2D2"/>
          </w:tcPr>
          <w:p>
            <w:pPr/>
          </w:p>
        </w:tc>
        <w:tc>
          <w:tcPr>
            <w:tcW w:w="4311" w:type="dxa"/>
            <w:gridSpan w:val="3"/>
            <w:vMerge/>
            <w:tcBorders>
              <w:left w:val="single" w:sz="4" w:space="0" w:color="000000"/>
              <w:bottom w:val="single" w:sz="4" w:space="0" w:color="000000"/>
              <w:right w:val="single" w:sz="12" w:space="0" w:color="000000"/>
            </w:tcBorders>
            <w:shd w:val="clear" w:color="auto" w:fill="D2D2D2"/>
          </w:tcPr>
          <w:p>
            <w:pPr/>
          </w:p>
        </w:tc>
      </w:tr>
      <w:tr>
        <w:trPr>
          <w:trHeight w:val="200" w:hRule="exact"/>
        </w:trPr>
        <w:tc>
          <w:tcPr>
            <w:tcW w:w="1132" w:type="dxa"/>
            <w:vMerge/>
            <w:tcBorders>
              <w:left w:val="single" w:sz="12"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9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43"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6"/>
              <w:ind w:left="35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132" w:type="dxa"/>
            <w:tcBorders>
              <w:top w:val="nil" w:sz="6" w:space="0" w:color="auto"/>
              <w:left w:val="single" w:sz="12"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548" w:type="dxa"/>
            <w:vMerge/>
            <w:tcBorders>
              <w:left w:val="single" w:sz="4" w:space="0" w:color="000000"/>
              <w:bottom w:val="single" w:sz="4" w:space="0" w:color="000000"/>
              <w:right w:val="single" w:sz="4" w:space="0" w:color="000000"/>
            </w:tcBorders>
            <w:shd w:val="clear" w:color="auto" w:fill="D2D2D2"/>
          </w:tcPr>
          <w:p>
            <w:pPr/>
          </w:p>
        </w:tc>
        <w:tc>
          <w:tcPr>
            <w:tcW w:w="1320" w:type="dxa"/>
            <w:vMerge/>
            <w:tcBorders>
              <w:left w:val="single" w:sz="4" w:space="0" w:color="000000"/>
              <w:bottom w:val="single" w:sz="4" w:space="0" w:color="000000"/>
              <w:right w:val="single" w:sz="4" w:space="0" w:color="000000"/>
            </w:tcBorders>
            <w:shd w:val="clear" w:color="auto" w:fill="D2D2D2"/>
          </w:tcPr>
          <w:p>
            <w:pPr/>
          </w:p>
        </w:tc>
        <w:tc>
          <w:tcPr>
            <w:tcW w:w="1443" w:type="dxa"/>
            <w:vMerge/>
            <w:tcBorders>
              <w:left w:val="single" w:sz="4" w:space="0" w:color="000000"/>
              <w:bottom w:val="single" w:sz="4" w:space="0" w:color="000000"/>
              <w:right w:val="single" w:sz="12" w:space="0" w:color="000000"/>
            </w:tcBorders>
            <w:shd w:val="clear" w:color="auto" w:fill="D2D2D2"/>
          </w:tcPr>
          <w:p>
            <w:pPr/>
          </w:p>
        </w:tc>
      </w:tr>
      <w:tr>
        <w:trPr>
          <w:trHeight w:val="402" w:hRule="exact"/>
        </w:trPr>
        <w:tc>
          <w:tcPr>
            <w:tcW w:w="113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933,659,415.22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264,636,565.55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669,022,849.67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934,381,753.97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264,636,565.55</w:t>
            </w:r>
          </w:p>
        </w:tc>
        <w:tc>
          <w:tcPr>
            <w:tcW w:w="14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669,745,188.42</w:t>
            </w:r>
          </w:p>
        </w:tc>
      </w:tr>
      <w:tr>
        <w:trPr>
          <w:trHeight w:val="714" w:hRule="exact"/>
        </w:trPr>
        <w:tc>
          <w:tcPr>
            <w:tcW w:w="113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6" w:right="2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136,441,172.68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136,441,172.68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133,108,525.69</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133,108,525.69</w:t>
            </w:r>
          </w:p>
        </w:tc>
      </w:tr>
      <w:tr>
        <w:trPr>
          <w:trHeight w:val="412" w:hRule="exact"/>
        </w:trPr>
        <w:tc>
          <w:tcPr>
            <w:tcW w:w="113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1,070,100,587.90</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264,636,565.55</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805,464,022.35</w:t>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1,067,490,279.66</w:t>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264,636,565.55</w:t>
            </w:r>
          </w:p>
        </w:tc>
        <w:tc>
          <w:tcPr>
            <w:tcW w:w="14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802,853,714.11</w:t>
            </w:r>
          </w:p>
        </w:tc>
      </w:tr>
    </w:tbl>
    <w:p>
      <w:pPr>
        <w:pStyle w:val="Heading4"/>
        <w:spacing w:line="240" w:lineRule="auto" w:before="63"/>
        <w:ind w:right="1122"/>
        <w:jc w:val="left"/>
        <w:rPr>
          <w:b w:val="0"/>
          <w:bCs w:val="0"/>
        </w:rPr>
      </w:pPr>
      <w:bookmarkStart w:name="（1）对子公司投资" w:id="494"/>
      <w:bookmarkEnd w:id="494"/>
      <w:r>
        <w:rPr>
          <w:b w:val="0"/>
          <w:bCs w:val="0"/>
        </w:rPr>
      </w:r>
      <w:r>
        <w:rPr/>
        <w:t>（</w:t>
      </w:r>
      <w:r>
        <w:rPr>
          <w:rFonts w:ascii="宋体" w:hAnsi="宋体" w:cs="宋体" w:eastAsia="宋体" w:hint="default"/>
        </w:rPr>
        <w:t>1</w:t>
      </w:r>
      <w:r>
        <w:rPr/>
        <w:t>）对子公司投资</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695"/>
        <w:gridCol w:w="1418"/>
        <w:gridCol w:w="992"/>
        <w:gridCol w:w="992"/>
        <w:gridCol w:w="1418"/>
        <w:gridCol w:w="851"/>
        <w:gridCol w:w="1417"/>
      </w:tblGrid>
      <w:tr>
        <w:trPr>
          <w:trHeight w:val="766"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70"/>
              <w:ind w:left="57" w:right="56"/>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41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57" w:lineRule="auto" w:before="51"/>
              <w:ind w:left="340" w:right="3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30,070,840.27</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125,110.88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29,945,729.39</w:t>
            </w: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855,465,958.80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529,798.44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854,936,160.36</w:t>
            </w: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244,155,158.80</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11,584,213.42</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41,703.62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11,542,509.80</w:t>
            </w: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3,828,073.75</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3,000,000.00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3,000,000.00</w:t>
            </w: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6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1"/>
              <w:ind w:left="13" w:right="0"/>
              <w:jc w:val="left"/>
              <w:rPr>
                <w:rFonts w:ascii="宋体" w:hAnsi="宋体" w:cs="宋体" w:eastAsia="宋体" w:hint="default"/>
                <w:sz w:val="18"/>
                <w:szCs w:val="18"/>
              </w:rPr>
            </w:pPr>
            <w:r>
              <w:rPr>
                <w:rFonts w:ascii="宋体" w:hAnsi="宋体" w:cs="宋体" w:eastAsia="宋体" w:hint="default"/>
                <w:sz w:val="18"/>
                <w:szCs w:val="18"/>
              </w:rPr>
              <w:t>江苏光一贵仁股权投资基金管理</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4,000,000.00</w:t>
            </w:r>
          </w:p>
        </w:tc>
        <w:tc>
          <w:tcPr>
            <w:tcW w:w="992"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4,000,000.00</w:t>
            </w:r>
          </w:p>
        </w:tc>
        <w:tc>
          <w:tcPr>
            <w:tcW w:w="851"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1000" w:top="1040" w:bottom="1180" w:left="980" w:right="0"/>
        </w:sectPr>
      </w:pPr>
    </w:p>
    <w:p>
      <w:pPr>
        <w:spacing w:line="240" w:lineRule="auto" w:before="3"/>
        <w:rPr>
          <w:rFonts w:ascii="宋体" w:hAnsi="宋体" w:cs="宋体" w:eastAsia="宋体" w:hint="default"/>
          <w:sz w:val="29"/>
          <w:szCs w:val="29"/>
        </w:rPr>
      </w:pPr>
    </w:p>
    <w:tbl>
      <w:tblPr>
        <w:tblW w:w="0" w:type="auto"/>
        <w:jc w:val="left"/>
        <w:tblInd w:w="898" w:type="dxa"/>
        <w:tblLayout w:type="fixed"/>
        <w:tblCellMar>
          <w:top w:w="0" w:type="dxa"/>
          <w:left w:w="0" w:type="dxa"/>
          <w:bottom w:w="0" w:type="dxa"/>
          <w:right w:w="0" w:type="dxa"/>
        </w:tblCellMar>
        <w:tblLook w:val="01E0"/>
      </w:tblPr>
      <w:tblGrid>
        <w:gridCol w:w="2695"/>
        <w:gridCol w:w="1418"/>
        <w:gridCol w:w="992"/>
        <w:gridCol w:w="992"/>
        <w:gridCol w:w="1418"/>
        <w:gridCol w:w="851"/>
        <w:gridCol w:w="1417"/>
      </w:tblGrid>
      <w:tr>
        <w:trPr>
          <w:trHeight w:val="374" w:hRule="exact"/>
        </w:trPr>
        <w:tc>
          <w:tcPr>
            <w:tcW w:w="269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12" w:space="0" w:color="000000"/>
              <w:left w:val="single" w:sz="6" w:space="0" w:color="000000"/>
              <w:bottom w:val="single" w:sz="6" w:space="0" w:color="000000"/>
              <w:right w:val="single" w:sz="6" w:space="0" w:color="000000"/>
            </w:tcBorders>
          </w:tcPr>
          <w:p>
            <w:pPr/>
          </w:p>
        </w:tc>
        <w:tc>
          <w:tcPr>
            <w:tcW w:w="992" w:type="dxa"/>
            <w:tcBorders>
              <w:top w:val="single" w:sz="12" w:space="0" w:color="000000"/>
              <w:left w:val="single" w:sz="6" w:space="0" w:color="000000"/>
              <w:bottom w:val="single" w:sz="6" w:space="0" w:color="000000"/>
              <w:right w:val="single" w:sz="6" w:space="0" w:color="000000"/>
            </w:tcBorders>
          </w:tcPr>
          <w:p>
            <w:pPr/>
          </w:p>
        </w:tc>
        <w:tc>
          <w:tcPr>
            <w:tcW w:w="992"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851"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江苏光一德能电气工程有限公司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12,000,000.00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12,000,000.00</w:t>
            </w: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4,952,135.98</w:t>
            </w:r>
          </w:p>
        </w:tc>
      </w:tr>
      <w:tr>
        <w:trPr>
          <w:trHeight w:val="408"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17,630,741.48</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66,725.81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17,564,015.67</w:t>
            </w: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11,701,197.02</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光一数道（北京）科技有限公司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630,000.00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41,000.00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671,000.00</w:t>
            </w:r>
          </w:p>
        </w:tc>
        <w:tc>
          <w:tcPr>
            <w:tcW w:w="8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6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934,381,753.97</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41,000.00</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763,338.75</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933,659,415.22</w:t>
            </w:r>
          </w:p>
        </w:tc>
        <w:tc>
          <w:tcPr>
            <w:tcW w:w="851"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264,636,565.55</w:t>
            </w:r>
          </w:p>
        </w:tc>
      </w:tr>
    </w:tbl>
    <w:p>
      <w:pPr>
        <w:pStyle w:val="Heading4"/>
        <w:spacing w:line="240" w:lineRule="auto" w:before="63"/>
        <w:ind w:left="914" w:right="0"/>
        <w:jc w:val="left"/>
        <w:rPr>
          <w:b w:val="0"/>
          <w:bCs w:val="0"/>
        </w:rPr>
      </w:pPr>
      <w:bookmarkStart w:name="（2）对联营、合营企业投资" w:id="495"/>
      <w:bookmarkEnd w:id="495"/>
      <w:r>
        <w:rPr>
          <w:b w:val="0"/>
          <w:bCs w:val="0"/>
        </w:rPr>
      </w:r>
      <w:r>
        <w:rPr/>
        <w:t>（</w:t>
      </w:r>
      <w:r>
        <w:rPr>
          <w:rFonts w:ascii="宋体" w:hAnsi="宋体" w:cs="宋体" w:eastAsia="宋体" w:hint="default"/>
        </w:rPr>
        <w:t>2</w:t>
      </w:r>
      <w:r>
        <w:rPr/>
        <w:t>）对联营、合营企业投资</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362"/>
        <w:gridCol w:w="1334"/>
        <w:gridCol w:w="1003"/>
        <w:gridCol w:w="415"/>
        <w:gridCol w:w="1211"/>
        <w:gridCol w:w="611"/>
        <w:gridCol w:w="1288"/>
        <w:gridCol w:w="851"/>
        <w:gridCol w:w="502"/>
        <w:gridCol w:w="436"/>
        <w:gridCol w:w="1375"/>
        <w:gridCol w:w="829"/>
      </w:tblGrid>
      <w:tr>
        <w:trPr>
          <w:trHeight w:val="413" w:hRule="exact"/>
        </w:trPr>
        <w:tc>
          <w:tcPr>
            <w:tcW w:w="1362"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334"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16" w:type="dxa"/>
            <w:gridSpan w:val="8"/>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75"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29"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9" w:lineRule="auto"/>
              <w:ind w:left="47" w:right="36"/>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343" w:hRule="exact"/>
        </w:trPr>
        <w:tc>
          <w:tcPr>
            <w:tcW w:w="1362" w:type="dxa"/>
            <w:vMerge/>
            <w:tcBorders>
              <w:left w:val="single" w:sz="12" w:space="0" w:color="000000"/>
              <w:bottom w:val="single" w:sz="6" w:space="0" w:color="000000"/>
              <w:right w:val="single" w:sz="6" w:space="0" w:color="000000"/>
            </w:tcBorders>
            <w:shd w:val="clear" w:color="auto" w:fill="D2D2D2"/>
          </w:tcPr>
          <w:p>
            <w:pPr/>
          </w:p>
        </w:tc>
        <w:tc>
          <w:tcPr>
            <w:tcW w:w="1334" w:type="dxa"/>
            <w:vMerge/>
            <w:tcBorders>
              <w:left w:val="single" w:sz="6" w:space="0" w:color="000000"/>
              <w:bottom w:val="single" w:sz="6" w:space="0" w:color="000000"/>
              <w:right w:val="single" w:sz="6" w:space="0" w:color="000000"/>
            </w:tcBorders>
            <w:shd w:val="clear" w:color="auto" w:fill="D2D2D2"/>
          </w:tcPr>
          <w:p>
            <w:pPr/>
          </w:p>
        </w:tc>
        <w:tc>
          <w:tcPr>
            <w:tcW w:w="10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2"/>
              <w:ind w:left="109" w:right="109"/>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2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47" w:right="57"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6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 w:right="26"/>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12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7" w:right="57"/>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3" w:right="61"/>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5" w:type="dxa"/>
            <w:vMerge/>
            <w:tcBorders>
              <w:left w:val="single" w:sz="6" w:space="0" w:color="000000"/>
              <w:bottom w:val="single" w:sz="6" w:space="0" w:color="000000"/>
              <w:right w:val="single" w:sz="6" w:space="0" w:color="000000"/>
            </w:tcBorders>
            <w:shd w:val="clear" w:color="auto" w:fill="D2D2D2"/>
          </w:tcPr>
          <w:p>
            <w:pPr/>
          </w:p>
        </w:tc>
        <w:tc>
          <w:tcPr>
            <w:tcW w:w="829" w:type="dxa"/>
            <w:vMerge/>
            <w:tcBorders>
              <w:left w:val="single" w:sz="6" w:space="0" w:color="000000"/>
              <w:bottom w:val="single" w:sz="6" w:space="0" w:color="000000"/>
              <w:right w:val="single" w:sz="12" w:space="0" w:color="000000"/>
            </w:tcBorders>
            <w:shd w:val="clear" w:color="auto" w:fill="D2D2D2"/>
          </w:tcPr>
          <w:p>
            <w:pPr/>
          </w:p>
        </w:tc>
      </w:tr>
      <w:tr>
        <w:trPr>
          <w:trHeight w:val="409" w:hRule="exact"/>
        </w:trPr>
        <w:tc>
          <w:tcPr>
            <w:tcW w:w="11217"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6" w:hRule="exact"/>
        </w:trPr>
        <w:tc>
          <w:tcPr>
            <w:tcW w:w="11217"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9" w:hRule="exact"/>
        </w:trPr>
        <w:tc>
          <w:tcPr>
            <w:tcW w:w="1362"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64"/>
              <w:jc w:val="left"/>
              <w:rPr>
                <w:rFonts w:ascii="宋体" w:hAnsi="宋体" w:cs="宋体" w:eastAsia="宋体" w:hint="default"/>
                <w:sz w:val="18"/>
                <w:szCs w:val="18"/>
              </w:rPr>
            </w:pPr>
            <w:r>
              <w:rPr>
                <w:rFonts w:ascii="宋体" w:hAnsi="宋体" w:cs="宋体" w:eastAsia="宋体" w:hint="default"/>
                <w:sz w:val="18"/>
                <w:szCs w:val="18"/>
              </w:rPr>
              <w:t>中云文化大数据 科技有限公司</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80,646,971.61</w:t>
            </w:r>
          </w:p>
        </w:tc>
        <w:tc>
          <w:tcPr>
            <w:tcW w:w="1003"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25,155.57</w:t>
            </w:r>
          </w:p>
        </w:tc>
        <w:tc>
          <w:tcPr>
            <w:tcW w:w="611"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-1,007,905.13</w:t>
            </w:r>
          </w:p>
        </w:tc>
        <w:tc>
          <w:tcPr>
            <w:tcW w:w="85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79,664,222.05</w:t>
            </w:r>
          </w:p>
        </w:tc>
        <w:tc>
          <w:tcPr>
            <w:tcW w:w="82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362"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64"/>
              <w:jc w:val="left"/>
              <w:rPr>
                <w:rFonts w:ascii="宋体" w:hAnsi="宋体" w:cs="宋体" w:eastAsia="宋体" w:hint="default"/>
                <w:sz w:val="18"/>
                <w:szCs w:val="18"/>
              </w:rPr>
            </w:pPr>
            <w:r>
              <w:rPr>
                <w:rFonts w:ascii="宋体" w:hAnsi="宋体" w:cs="宋体" w:eastAsia="宋体" w:hint="default"/>
                <w:sz w:val="18"/>
                <w:szCs w:val="18"/>
              </w:rPr>
              <w:t>北京中广格兰信 息科技有限公司</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11,397,816.32</w:t>
            </w:r>
          </w:p>
        </w:tc>
        <w:tc>
          <w:tcPr>
            <w:tcW w:w="1003"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-321,969.14</w:t>
            </w:r>
          </w:p>
        </w:tc>
        <w:tc>
          <w:tcPr>
            <w:tcW w:w="611"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11,075,847.18</w:t>
            </w:r>
          </w:p>
        </w:tc>
        <w:tc>
          <w:tcPr>
            <w:tcW w:w="82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36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3"/>
              <w:ind w:left="13" w:right="64"/>
              <w:jc w:val="left"/>
              <w:rPr>
                <w:rFonts w:ascii="宋体" w:hAnsi="宋体" w:cs="宋体" w:eastAsia="宋体" w:hint="default"/>
                <w:sz w:val="18"/>
                <w:szCs w:val="18"/>
              </w:rPr>
            </w:pPr>
            <w:r>
              <w:rPr>
                <w:rFonts w:ascii="宋体" w:hAnsi="宋体" w:cs="宋体" w:eastAsia="宋体" w:hint="default"/>
                <w:sz w:val="18"/>
                <w:szCs w:val="18"/>
              </w:rPr>
              <w:t>广东今程光一电 力科技有限公司</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3,030,221.39</w:t>
            </w:r>
          </w:p>
        </w:tc>
        <w:tc>
          <w:tcPr>
            <w:tcW w:w="1003"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89,834.17</w:t>
            </w:r>
          </w:p>
        </w:tc>
        <w:tc>
          <w:tcPr>
            <w:tcW w:w="611"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3,120,055.56</w:t>
            </w:r>
          </w:p>
        </w:tc>
        <w:tc>
          <w:tcPr>
            <w:tcW w:w="82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36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64"/>
              <w:jc w:val="left"/>
              <w:rPr>
                <w:rFonts w:ascii="宋体" w:hAnsi="宋体" w:cs="宋体" w:eastAsia="宋体" w:hint="default"/>
                <w:sz w:val="18"/>
                <w:szCs w:val="18"/>
              </w:rPr>
            </w:pPr>
            <w:r>
              <w:rPr>
                <w:rFonts w:ascii="宋体" w:hAnsi="宋体" w:cs="宋体" w:eastAsia="宋体" w:hint="default"/>
                <w:sz w:val="18"/>
                <w:szCs w:val="18"/>
              </w:rPr>
              <w:t>江苏其厚智能电 气设备有限公司</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33,163,184.31</w:t>
            </w:r>
          </w:p>
        </w:tc>
        <w:tc>
          <w:tcPr>
            <w:tcW w:w="1003"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5,059,277.92</w:t>
            </w:r>
          </w:p>
        </w:tc>
        <w:tc>
          <w:tcPr>
            <w:tcW w:w="611"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38,222,462.23</w:t>
            </w:r>
          </w:p>
        </w:tc>
        <w:tc>
          <w:tcPr>
            <w:tcW w:w="829"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36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64"/>
              <w:jc w:val="left"/>
              <w:rPr>
                <w:rFonts w:ascii="宋体" w:hAnsi="宋体" w:cs="宋体" w:eastAsia="宋体" w:hint="default"/>
                <w:sz w:val="18"/>
                <w:szCs w:val="18"/>
              </w:rPr>
            </w:pPr>
            <w:r>
              <w:rPr>
                <w:rFonts w:ascii="宋体" w:hAnsi="宋体" w:cs="宋体" w:eastAsia="宋体" w:hint="default"/>
                <w:sz w:val="18"/>
                <w:szCs w:val="18"/>
              </w:rPr>
              <w:t>北京大数有容科 技有限公司</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4,870,332.06</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18"/>
                <w:szCs w:val="18"/>
              </w:rPr>
            </w:pPr>
            <w:r>
              <w:rPr>
                <w:rFonts w:ascii="宋体"/>
                <w:sz w:val="18"/>
              </w:rPr>
              <w:t>300,000.00</w:t>
            </w:r>
          </w:p>
        </w:tc>
        <w:tc>
          <w:tcPr>
            <w:tcW w:w="415"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-811,746.40</w:t>
            </w:r>
          </w:p>
        </w:tc>
        <w:tc>
          <w:tcPr>
            <w:tcW w:w="611"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4,358,585.66</w:t>
            </w:r>
          </w:p>
        </w:tc>
        <w:tc>
          <w:tcPr>
            <w:tcW w:w="82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6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133,108,525.69</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5" w:right="0"/>
              <w:jc w:val="center"/>
              <w:rPr>
                <w:rFonts w:ascii="宋体" w:hAnsi="宋体" w:cs="宋体" w:eastAsia="宋体" w:hint="default"/>
                <w:sz w:val="18"/>
                <w:szCs w:val="18"/>
              </w:rPr>
            </w:pPr>
            <w:r>
              <w:rPr>
                <w:rFonts w:ascii="宋体"/>
                <w:sz w:val="18"/>
              </w:rPr>
              <w:t>300,000.00</w:t>
            </w:r>
          </w:p>
        </w:tc>
        <w:tc>
          <w:tcPr>
            <w:tcW w:w="415"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4,040,552.12</w:t>
            </w:r>
          </w:p>
        </w:tc>
        <w:tc>
          <w:tcPr>
            <w:tcW w:w="611"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1" w:right="0"/>
              <w:jc w:val="left"/>
              <w:rPr>
                <w:rFonts w:ascii="宋体" w:hAnsi="宋体" w:cs="宋体" w:eastAsia="宋体" w:hint="default"/>
                <w:sz w:val="18"/>
                <w:szCs w:val="18"/>
              </w:rPr>
            </w:pPr>
            <w:r>
              <w:rPr>
                <w:rFonts w:ascii="宋体"/>
                <w:sz w:val="18"/>
              </w:rPr>
              <w:t>-1,007,905.13</w:t>
            </w:r>
          </w:p>
        </w:tc>
        <w:tc>
          <w:tcPr>
            <w:tcW w:w="85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136,441,172.68</w:t>
            </w:r>
          </w:p>
        </w:tc>
        <w:tc>
          <w:tcPr>
            <w:tcW w:w="829"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36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133,108,525.69</w:t>
            </w:r>
          </w:p>
        </w:tc>
        <w:tc>
          <w:tcPr>
            <w:tcW w:w="10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45" w:right="0"/>
              <w:jc w:val="center"/>
              <w:rPr>
                <w:rFonts w:ascii="宋体" w:hAnsi="宋体" w:cs="宋体" w:eastAsia="宋体" w:hint="default"/>
                <w:sz w:val="18"/>
                <w:szCs w:val="18"/>
              </w:rPr>
            </w:pPr>
            <w:r>
              <w:rPr>
                <w:rFonts w:ascii="宋体"/>
                <w:sz w:val="18"/>
              </w:rPr>
              <w:t>300,000.00</w:t>
            </w:r>
          </w:p>
        </w:tc>
        <w:tc>
          <w:tcPr>
            <w:tcW w:w="415" w:type="dxa"/>
            <w:tcBorders>
              <w:top w:val="single" w:sz="6" w:space="0" w:color="000000"/>
              <w:left w:val="single" w:sz="6" w:space="0" w:color="000000"/>
              <w:bottom w:val="single" w:sz="12" w:space="0" w:color="000000"/>
              <w:right w:val="single" w:sz="6" w:space="0" w:color="000000"/>
            </w:tcBorders>
          </w:tcPr>
          <w:p>
            <w:pPr/>
          </w:p>
        </w:tc>
        <w:tc>
          <w:tcPr>
            <w:tcW w:w="12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4,040,552.12</w:t>
            </w:r>
          </w:p>
        </w:tc>
        <w:tc>
          <w:tcPr>
            <w:tcW w:w="611" w:type="dxa"/>
            <w:tcBorders>
              <w:top w:val="single" w:sz="6" w:space="0" w:color="000000"/>
              <w:left w:val="single" w:sz="6" w:space="0" w:color="000000"/>
              <w:bottom w:val="single" w:sz="12" w:space="0" w:color="000000"/>
              <w:right w:val="single" w:sz="6" w:space="0" w:color="000000"/>
            </w:tcBorders>
          </w:tcPr>
          <w:p>
            <w:pPr/>
          </w:p>
        </w:tc>
        <w:tc>
          <w:tcPr>
            <w:tcW w:w="12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81" w:right="0"/>
              <w:jc w:val="left"/>
              <w:rPr>
                <w:rFonts w:ascii="宋体" w:hAnsi="宋体" w:cs="宋体" w:eastAsia="宋体" w:hint="default"/>
                <w:sz w:val="18"/>
                <w:szCs w:val="18"/>
              </w:rPr>
            </w:pPr>
            <w:r>
              <w:rPr>
                <w:rFonts w:ascii="宋体"/>
                <w:sz w:val="18"/>
              </w:rPr>
              <w:t>-1,007,905.13</w:t>
            </w:r>
          </w:p>
        </w:tc>
        <w:tc>
          <w:tcPr>
            <w:tcW w:w="851" w:type="dxa"/>
            <w:tcBorders>
              <w:top w:val="single" w:sz="6" w:space="0" w:color="000000"/>
              <w:left w:val="single" w:sz="6" w:space="0" w:color="000000"/>
              <w:bottom w:val="single" w:sz="12" w:space="0" w:color="000000"/>
              <w:right w:val="single" w:sz="6" w:space="0" w:color="000000"/>
            </w:tcBorders>
          </w:tcPr>
          <w:p>
            <w:pPr/>
          </w:p>
        </w:tc>
        <w:tc>
          <w:tcPr>
            <w:tcW w:w="502" w:type="dxa"/>
            <w:tcBorders>
              <w:top w:val="single" w:sz="6" w:space="0" w:color="000000"/>
              <w:left w:val="single" w:sz="6" w:space="0" w:color="000000"/>
              <w:bottom w:val="single" w:sz="12" w:space="0" w:color="000000"/>
              <w:right w:val="single" w:sz="6" w:space="0" w:color="000000"/>
            </w:tcBorders>
          </w:tcPr>
          <w:p>
            <w:pPr/>
          </w:p>
        </w:tc>
        <w:tc>
          <w:tcPr>
            <w:tcW w:w="436" w:type="dxa"/>
            <w:tcBorders>
              <w:top w:val="single" w:sz="6" w:space="0" w:color="000000"/>
              <w:left w:val="single" w:sz="6" w:space="0" w:color="000000"/>
              <w:bottom w:val="single" w:sz="12" w:space="0" w:color="000000"/>
              <w:right w:val="single" w:sz="6" w:space="0" w:color="000000"/>
            </w:tcBorders>
          </w:tcPr>
          <w:p>
            <w:pPr/>
          </w:p>
        </w:tc>
        <w:tc>
          <w:tcPr>
            <w:tcW w:w="1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136,441,172.68</w:t>
            </w:r>
          </w:p>
        </w:tc>
        <w:tc>
          <w:tcPr>
            <w:tcW w:w="829"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left="914" w:right="0"/>
        <w:jc w:val="left"/>
        <w:rPr>
          <w:b w:val="0"/>
          <w:bCs w:val="0"/>
        </w:rPr>
      </w:pPr>
      <w:bookmarkStart w:name="（3）其他说明" w:id="496"/>
      <w:bookmarkEnd w:id="496"/>
      <w:r>
        <w:rPr>
          <w:b w:val="0"/>
          <w:bCs w:val="0"/>
        </w:rPr>
      </w:r>
      <w:r>
        <w:rPr/>
        <w:t>（</w:t>
      </w:r>
      <w:r>
        <w:rPr>
          <w:rFonts w:ascii="宋体" w:hAnsi="宋体" w:cs="宋体" w:eastAsia="宋体" w:hint="default"/>
        </w:rPr>
        <w:t>3</w:t>
      </w:r>
      <w:r>
        <w:rPr/>
        <w:t>）其他说明</w:t>
      </w:r>
      <w:r>
        <w:rPr>
          <w:b w:val="0"/>
          <w:bCs w:val="0"/>
        </w:rPr>
      </w:r>
    </w:p>
    <w:p>
      <w:pPr>
        <w:spacing w:line="240" w:lineRule="auto" w:before="10"/>
        <w:rPr>
          <w:rFonts w:ascii="宋体" w:hAnsi="宋体" w:cs="宋体" w:eastAsia="宋体" w:hint="default"/>
          <w:b/>
          <w:bCs/>
          <w:sz w:val="14"/>
          <w:szCs w:val="14"/>
        </w:rPr>
      </w:pPr>
    </w:p>
    <w:p>
      <w:pPr>
        <w:spacing w:line="408" w:lineRule="auto" w:before="0"/>
        <w:ind w:left="914" w:right="853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营业收入和营业成本" w:id="497"/>
      <w:bookmarkEnd w:id="497"/>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898" w:type="dxa"/>
        <w:tblLayout w:type="fixed"/>
        <w:tblCellMar>
          <w:top w:w="0" w:type="dxa"/>
          <w:left w:w="0" w:type="dxa"/>
          <w:bottom w:w="0" w:type="dxa"/>
          <w:right w:w="0" w:type="dxa"/>
        </w:tblCellMar>
        <w:tblLook w:val="01E0"/>
      </w:tblPr>
      <w:tblGrid>
        <w:gridCol w:w="1995"/>
        <w:gridCol w:w="1838"/>
        <w:gridCol w:w="1913"/>
        <w:gridCol w:w="1913"/>
        <w:gridCol w:w="1912"/>
      </w:tblGrid>
      <w:tr>
        <w:trPr>
          <w:trHeight w:val="218" w:hRule="exact"/>
        </w:trPr>
        <w:tc>
          <w:tcPr>
            <w:tcW w:w="199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750"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5"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6" w:space="0" w:color="000000"/>
              <w:bottom w:val="single" w:sz="6" w:space="0" w:color="000000"/>
              <w:right w:val="single" w:sz="6" w:space="0" w:color="000000"/>
            </w:tcBorders>
            <w:shd w:val="clear" w:color="auto" w:fill="D2D2D2"/>
          </w:tcPr>
          <w:p>
            <w:pPr/>
          </w:p>
        </w:tc>
        <w:tc>
          <w:tcPr>
            <w:tcW w:w="3825" w:type="dxa"/>
            <w:gridSpan w:val="2"/>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995" w:type="dxa"/>
            <w:vMerge/>
            <w:tcBorders>
              <w:left w:val="single" w:sz="12" w:space="0" w:color="000000"/>
              <w:bottom w:val="nil" w:sz="6" w:space="0" w:color="auto"/>
              <w:right w:val="single" w:sz="6" w:space="0" w:color="000000"/>
            </w:tcBorders>
            <w:shd w:val="clear" w:color="auto" w:fill="D2D2D2"/>
          </w:tcPr>
          <w:p>
            <w:pPr/>
          </w:p>
        </w:tc>
        <w:tc>
          <w:tcPr>
            <w:tcW w:w="183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0" w:hRule="exact"/>
        </w:trPr>
        <w:tc>
          <w:tcPr>
            <w:tcW w:w="199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838"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2"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19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174,964,945.83</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127,419,140.07</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161,652,795.68</w:t>
            </w:r>
          </w:p>
        </w:tc>
        <w:tc>
          <w:tcPr>
            <w:tcW w:w="1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134,672,108.44</w:t>
            </w:r>
          </w:p>
        </w:tc>
      </w:tr>
      <w:tr>
        <w:trPr>
          <w:trHeight w:val="407" w:hRule="exact"/>
        </w:trPr>
        <w:tc>
          <w:tcPr>
            <w:tcW w:w="19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2,919,374.91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121,042.71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11,453,759.00</w:t>
            </w:r>
          </w:p>
        </w:tc>
        <w:tc>
          <w:tcPr>
            <w:tcW w:w="1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6,132,177.54</w:t>
            </w:r>
          </w:p>
        </w:tc>
      </w:tr>
      <w:tr>
        <w:trPr>
          <w:trHeight w:val="415" w:hRule="exact"/>
        </w:trPr>
        <w:tc>
          <w:tcPr>
            <w:tcW w:w="19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177,884,320.74</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127,540,182.78</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173,106,554.68</w:t>
            </w:r>
          </w:p>
        </w:tc>
        <w:tc>
          <w:tcPr>
            <w:tcW w:w="19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140,804,285.98</w:t>
            </w:r>
          </w:p>
        </w:tc>
      </w:tr>
    </w:tbl>
    <w:p>
      <w:pPr>
        <w:spacing w:after="0" w:line="240" w:lineRule="auto"/>
        <w:jc w:val="right"/>
        <w:rPr>
          <w:rFonts w:ascii="宋体" w:hAnsi="宋体" w:cs="宋体" w:eastAsia="宋体" w:hint="default"/>
          <w:sz w:val="18"/>
          <w:szCs w:val="18"/>
        </w:rPr>
        <w:sectPr>
          <w:pgSz w:w="11910" w:h="16840"/>
          <w:pgMar w:header="877" w:footer="1000" w:top="1040" w:bottom="1180" w:left="22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right="1122"/>
        <w:jc w:val="left"/>
        <w:rPr>
          <w:b w:val="0"/>
          <w:bCs w:val="0"/>
        </w:rPr>
      </w:pPr>
      <w:bookmarkStart w:name="5、投资收益" w:id="498"/>
      <w:bookmarkEnd w:id="498"/>
      <w:r>
        <w:rPr>
          <w:b w:val="0"/>
          <w:bCs w:val="0"/>
        </w:rPr>
      </w:r>
      <w:r>
        <w:rPr>
          <w:rFonts w:ascii="宋体" w:hAnsi="宋体" w:cs="宋体" w:eastAsia="宋体" w:hint="default"/>
        </w:rPr>
        <w:t>5</w:t>
      </w:r>
      <w:r>
        <w:rPr/>
        <w:t>、投资收益</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307"/>
        <w:gridCol w:w="3071"/>
        <w:gridCol w:w="3186"/>
      </w:tblGrid>
      <w:tr>
        <w:trPr>
          <w:trHeight w:val="412" w:hRule="exact"/>
        </w:trPr>
        <w:tc>
          <w:tcPr>
            <w:tcW w:w="330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10,764,100.00</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13,577,391.86</w:t>
            </w:r>
          </w:p>
        </w:tc>
      </w:tr>
      <w:tr>
        <w:trPr>
          <w:trHeight w:val="402" w:hRule="exact"/>
        </w:trPr>
        <w:tc>
          <w:tcPr>
            <w:tcW w:w="33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4,040,552.12</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-3,009,764.86</w:t>
            </w:r>
          </w:p>
        </w:tc>
      </w:tr>
      <w:tr>
        <w:trPr>
          <w:trHeight w:val="412" w:hRule="exact"/>
        </w:trPr>
        <w:tc>
          <w:tcPr>
            <w:tcW w:w="330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14,804,652.12</w:t>
            </w:r>
          </w:p>
        </w:tc>
        <w:tc>
          <w:tcPr>
            <w:tcW w:w="31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10,567,627.00</w:t>
            </w:r>
          </w:p>
        </w:tc>
      </w:tr>
    </w:tbl>
    <w:p>
      <w:pPr>
        <w:pStyle w:val="Heading4"/>
        <w:spacing w:line="240" w:lineRule="auto" w:before="63"/>
        <w:ind w:right="1122"/>
        <w:jc w:val="left"/>
        <w:rPr>
          <w:b w:val="0"/>
          <w:bCs w:val="0"/>
        </w:rPr>
      </w:pPr>
      <w:bookmarkStart w:name="6、其他" w:id="499"/>
      <w:bookmarkEnd w:id="499"/>
      <w:r>
        <w:rPr>
          <w:b w:val="0"/>
          <w:bCs w:val="0"/>
        </w:rPr>
      </w:r>
      <w:r>
        <w:rPr>
          <w:rFonts w:ascii="宋体" w:hAnsi="宋体" w:cs="宋体" w:eastAsia="宋体" w:hint="default"/>
        </w:rPr>
        <w:t>6</w:t>
      </w:r>
      <w:r>
        <w:rPr/>
        <w:t>、其他</w:t>
      </w:r>
      <w:r>
        <w:rPr>
          <w:b w:val="0"/>
          <w:bCs w:val="0"/>
        </w:rPr>
      </w:r>
    </w:p>
    <w:p>
      <w:pPr>
        <w:spacing w:line="240" w:lineRule="auto" w:before="10"/>
        <w:rPr>
          <w:rFonts w:ascii="宋体" w:hAnsi="宋体" w:cs="宋体" w:eastAsia="宋体" w:hint="default"/>
          <w:b/>
          <w:bCs/>
          <w:sz w:val="14"/>
          <w:szCs w:val="14"/>
        </w:rPr>
      </w:pPr>
    </w:p>
    <w:p>
      <w:pPr>
        <w:spacing w:line="381" w:lineRule="auto" w:before="0"/>
        <w:ind w:left="154" w:right="8116"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十八、补充资料" w:id="500"/>
      <w:bookmarkEnd w:id="500"/>
      <w:r>
        <w:rPr>
          <w:rFonts w:ascii="宋体" w:hAnsi="宋体" w:cs="宋体" w:eastAsia="宋体" w:hint="default"/>
          <w:sz w:val="21"/>
          <w:szCs w:val="21"/>
        </w:rPr>
      </w:r>
      <w:r>
        <w:rPr>
          <w:rFonts w:ascii="宋体" w:hAnsi="宋体" w:cs="宋体" w:eastAsia="宋体" w:hint="default"/>
          <w:b/>
          <w:bCs/>
          <w:sz w:val="24"/>
          <w:szCs w:val="24"/>
        </w:rPr>
        <w:t>十八、补充资料</w:t>
      </w:r>
      <w:r>
        <w:rPr>
          <w:rFonts w:ascii="宋体" w:hAnsi="宋体" w:cs="宋体" w:eastAsia="宋体" w:hint="default"/>
          <w:b/>
          <w:bCs/>
          <w:w w:val="99"/>
          <w:sz w:val="24"/>
          <w:szCs w:val="24"/>
        </w:rPr>
        <w:t> </w:t>
      </w:r>
      <w:bookmarkStart w:name="1、当期非经常性损益明细表" w:id="501"/>
      <w:bookmarkEnd w:id="501"/>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pStyle w:val="BodyText"/>
        <w:spacing w:line="240" w:lineRule="auto" w:before="69"/>
        <w:ind w:right="1122"/>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4804"/>
        <w:gridCol w:w="2704"/>
        <w:gridCol w:w="2055"/>
      </w:tblGrid>
      <w:tr>
        <w:trPr>
          <w:trHeight w:val="415" w:hRule="exact"/>
        </w:trPr>
        <w:tc>
          <w:tcPr>
            <w:tcW w:w="480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5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7" w:hRule="exact"/>
        </w:trPr>
        <w:tc>
          <w:tcPr>
            <w:tcW w:w="480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70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33,522,824.24</w:t>
            </w:r>
          </w:p>
        </w:tc>
        <w:tc>
          <w:tcPr>
            <w:tcW w:w="2055"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480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9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270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8,205,180.57</w:t>
            </w:r>
          </w:p>
        </w:tc>
        <w:tc>
          <w:tcPr>
            <w:tcW w:w="205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80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70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87,843.03</w:t>
            </w:r>
          </w:p>
        </w:tc>
        <w:tc>
          <w:tcPr>
            <w:tcW w:w="205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80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70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5,283,536.75</w:t>
            </w:r>
          </w:p>
        </w:tc>
        <w:tc>
          <w:tcPr>
            <w:tcW w:w="205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80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70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115,629.25</w:t>
            </w:r>
          </w:p>
        </w:tc>
        <w:tc>
          <w:tcPr>
            <w:tcW w:w="2055"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480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4" w:type="dxa"/>
            <w:tcBorders>
              <w:top w:val="single" w:sz="6" w:space="0" w:color="000000"/>
              <w:left w:val="single" w:sz="14" w:space="0" w:color="D2D2D2"/>
              <w:bottom w:val="single" w:sz="12" w:space="0" w:color="000000"/>
              <w:right w:val="single" w:sz="8" w:space="0" w:color="D2D2D2"/>
            </w:tcBorders>
          </w:tcPr>
          <w:p>
            <w:pPr>
              <w:pStyle w:val="TableParagraph"/>
              <w:spacing w:line="240" w:lineRule="auto" w:before="50"/>
              <w:ind w:right="15"/>
              <w:jc w:val="right"/>
              <w:rPr>
                <w:rFonts w:ascii="宋体" w:hAnsi="宋体" w:cs="宋体" w:eastAsia="宋体" w:hint="default"/>
                <w:sz w:val="18"/>
                <w:szCs w:val="18"/>
              </w:rPr>
            </w:pPr>
            <w:r>
              <w:rPr>
                <w:rFonts w:ascii="宋体"/>
                <w:sz w:val="18"/>
              </w:rPr>
              <w:t>36,416,681.84</w:t>
            </w:r>
          </w:p>
        </w:tc>
        <w:tc>
          <w:tcPr>
            <w:tcW w:w="2055"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90"/>
              <w:ind w:left="7"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3"/>
        <w:ind w:right="0"/>
        <w:jc w:val="left"/>
      </w:pPr>
      <w:r>
        <w:rPr/>
        <w:t>对公司根据《公开发行证券的公司信息披露解释性公告第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号——非经常性损益》定义界定的非经常性损</w:t>
      </w:r>
    </w:p>
    <w:p>
      <w:pPr>
        <w:spacing w:line="240" w:lineRule="auto" w:before="10"/>
        <w:rPr>
          <w:rFonts w:ascii="宋体" w:hAnsi="宋体" w:cs="宋体" w:eastAsia="宋体" w:hint="default"/>
          <w:sz w:val="14"/>
          <w:szCs w:val="14"/>
        </w:rPr>
      </w:pPr>
    </w:p>
    <w:p>
      <w:pPr>
        <w:pStyle w:val="BodyText"/>
        <w:spacing w:line="408" w:lineRule="auto" w:before="0"/>
        <w:ind w:right="1115"/>
        <w:jc w:val="left"/>
      </w:pPr>
      <w:r>
        <w:rPr/>
        <w:t>益项目，以及把《公开发行证券的公司信息披露解释性公告第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号——非经常性损益》中列举的非经常性 损益项目界定为经常性损益的项目，应说明原因。</w:t>
      </w:r>
    </w:p>
    <w:p>
      <w:pPr>
        <w:spacing w:line="408" w:lineRule="auto" w:before="46"/>
        <w:ind w:left="154" w:right="8116"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净资产收益率及每股收益" w:id="502"/>
      <w:bookmarkEnd w:id="502"/>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tbl>
      <w:tblPr>
        <w:tblW w:w="0" w:type="auto"/>
        <w:jc w:val="left"/>
        <w:tblInd w:w="145" w:type="dxa"/>
        <w:tblLayout w:type="fixed"/>
        <w:tblCellMar>
          <w:top w:w="0" w:type="dxa"/>
          <w:left w:w="0" w:type="dxa"/>
          <w:bottom w:w="0" w:type="dxa"/>
          <w:right w:w="0" w:type="dxa"/>
        </w:tblCellMar>
        <w:tblLook w:val="01E0"/>
      </w:tblPr>
      <w:tblGrid>
        <w:gridCol w:w="4236"/>
        <w:gridCol w:w="1501"/>
        <w:gridCol w:w="1913"/>
        <w:gridCol w:w="1912"/>
      </w:tblGrid>
      <w:tr>
        <w:trPr>
          <w:trHeight w:val="215" w:hRule="exact"/>
        </w:trPr>
        <w:tc>
          <w:tcPr>
            <w:tcW w:w="4236"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501" w:type="dxa"/>
            <w:vMerge w:val="restart"/>
            <w:tcBorders>
              <w:top w:val="single" w:sz="12" w:space="0" w:color="000000"/>
              <w:left w:val="single" w:sz="4" w:space="0" w:color="000000"/>
              <w:right w:val="single" w:sz="4" w:space="0" w:color="000000"/>
            </w:tcBorders>
            <w:shd w:val="clear" w:color="auto" w:fill="D2D2D2"/>
          </w:tcPr>
          <w:p>
            <w:pPr>
              <w:pStyle w:val="TableParagraph"/>
              <w:spacing w:line="357" w:lineRule="auto" w:before="59"/>
              <w:ind w:left="210" w:right="198" w:firstLine="180"/>
              <w:jc w:val="left"/>
              <w:rPr>
                <w:rFonts w:ascii="宋体" w:hAnsi="宋体" w:cs="宋体" w:eastAsia="宋体" w:hint="default"/>
                <w:sz w:val="18"/>
                <w:szCs w:val="18"/>
              </w:rPr>
            </w:pPr>
            <w:r>
              <w:rPr>
                <w:rFonts w:ascii="宋体" w:hAnsi="宋体" w:cs="宋体" w:eastAsia="宋体" w:hint="default"/>
                <w:sz w:val="18"/>
                <w:szCs w:val="18"/>
              </w:rPr>
              <w:t>加权平均 净资产收益率</w:t>
            </w:r>
          </w:p>
        </w:tc>
        <w:tc>
          <w:tcPr>
            <w:tcW w:w="3825"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34"/>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4236"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501" w:type="dxa"/>
            <w:vMerge/>
            <w:tcBorders>
              <w:left w:val="single" w:sz="4" w:space="0" w:color="000000"/>
              <w:right w:val="single" w:sz="4" w:space="0" w:color="000000"/>
            </w:tcBorders>
            <w:shd w:val="clear" w:color="auto" w:fill="D2D2D2"/>
          </w:tcPr>
          <w:p>
            <w:pPr/>
          </w:p>
        </w:tc>
        <w:tc>
          <w:tcPr>
            <w:tcW w:w="3825" w:type="dxa"/>
            <w:gridSpan w:val="2"/>
            <w:vMerge/>
            <w:tcBorders>
              <w:left w:val="single" w:sz="4" w:space="0" w:color="000000"/>
              <w:bottom w:val="single" w:sz="4" w:space="0" w:color="000000"/>
              <w:right w:val="single" w:sz="12" w:space="0" w:color="000000"/>
            </w:tcBorders>
            <w:shd w:val="clear" w:color="auto" w:fill="D2D2D2"/>
          </w:tcPr>
          <w:p>
            <w:pPr/>
          </w:p>
        </w:tc>
      </w:tr>
      <w:tr>
        <w:trPr>
          <w:trHeight w:val="196" w:hRule="exact"/>
        </w:trPr>
        <w:tc>
          <w:tcPr>
            <w:tcW w:w="4236" w:type="dxa"/>
            <w:vMerge/>
            <w:tcBorders>
              <w:left w:val="single" w:sz="12" w:space="0" w:color="000000"/>
              <w:bottom w:val="nil" w:sz="6" w:space="0" w:color="auto"/>
              <w:right w:val="single" w:sz="4" w:space="0" w:color="000000"/>
            </w:tcBorders>
            <w:shd w:val="clear" w:color="auto" w:fill="D2D2D2"/>
          </w:tcPr>
          <w:p>
            <w:pPr/>
          </w:p>
        </w:tc>
        <w:tc>
          <w:tcPr>
            <w:tcW w:w="1501"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4"/>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2"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34"/>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236" w:type="dxa"/>
            <w:tcBorders>
              <w:top w:val="nil" w:sz="6" w:space="0" w:color="auto"/>
              <w:left w:val="single" w:sz="12" w:space="0" w:color="000000"/>
              <w:bottom w:val="single" w:sz="4" w:space="0" w:color="000000"/>
              <w:right w:val="single" w:sz="4" w:space="0" w:color="000000"/>
            </w:tcBorders>
            <w:shd w:val="clear" w:color="auto" w:fill="D2D2D2"/>
          </w:tcPr>
          <w:p>
            <w:pPr/>
          </w:p>
        </w:tc>
        <w:tc>
          <w:tcPr>
            <w:tcW w:w="1501"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12" w:space="0" w:color="000000"/>
            </w:tcBorders>
            <w:shd w:val="clear" w:color="auto" w:fill="D2D2D2"/>
          </w:tcPr>
          <w:p>
            <w:pPr/>
          </w:p>
        </w:tc>
      </w:tr>
      <w:tr>
        <w:trPr>
          <w:trHeight w:val="402" w:hRule="exact"/>
        </w:trPr>
        <w:tc>
          <w:tcPr>
            <w:tcW w:w="42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01" w:type="dxa"/>
            <w:tcBorders>
              <w:top w:val="single" w:sz="14" w:space="0" w:color="D2D2D2"/>
              <w:left w:val="single" w:sz="13" w:space="0" w:color="D2D2D2"/>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宋体" w:hAnsi="宋体" w:cs="宋体" w:eastAsia="宋体" w:hint="default"/>
                <w:sz w:val="18"/>
                <w:szCs w:val="18"/>
              </w:rPr>
            </w:pPr>
            <w:r>
              <w:rPr>
                <w:rFonts w:ascii="宋体"/>
                <w:sz w:val="18"/>
              </w:rPr>
              <w:t>0.0574</w:t>
            </w:r>
          </w:p>
        </w:tc>
        <w:tc>
          <w:tcPr>
            <w:tcW w:w="191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0.0574</w:t>
            </w:r>
          </w:p>
        </w:tc>
      </w:tr>
      <w:tr>
        <w:trPr>
          <w:trHeight w:val="412" w:hRule="exact"/>
        </w:trPr>
        <w:tc>
          <w:tcPr>
            <w:tcW w:w="423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34"/>
              <w:ind w:left="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501"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34"/>
              <w:ind w:right="23"/>
              <w:jc w:val="right"/>
              <w:rPr>
                <w:rFonts w:ascii="宋体" w:hAnsi="宋体" w:cs="宋体" w:eastAsia="宋体" w:hint="default"/>
                <w:sz w:val="18"/>
                <w:szCs w:val="18"/>
              </w:rPr>
            </w:pPr>
            <w:r>
              <w:rPr>
                <w:rFonts w:ascii="宋体"/>
                <w:sz w:val="18"/>
              </w:rPr>
              <w:t>-1.25%</w:t>
            </w: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20"/>
              <w:jc w:val="right"/>
              <w:rPr>
                <w:rFonts w:ascii="宋体" w:hAnsi="宋体" w:cs="宋体" w:eastAsia="宋体" w:hint="default"/>
                <w:sz w:val="18"/>
                <w:szCs w:val="18"/>
              </w:rPr>
            </w:pPr>
            <w:r>
              <w:rPr>
                <w:rFonts w:ascii="宋体"/>
                <w:sz w:val="18"/>
              </w:rPr>
              <w:t>-0.0319</w:t>
            </w:r>
          </w:p>
        </w:tc>
        <w:tc>
          <w:tcPr>
            <w:tcW w:w="191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z w:val="18"/>
              </w:rPr>
              <w:t>-0.0319</w:t>
            </w:r>
          </w:p>
        </w:tc>
      </w:tr>
    </w:tbl>
    <w:p>
      <w:pPr>
        <w:pStyle w:val="Heading4"/>
        <w:spacing w:line="240" w:lineRule="auto" w:before="46"/>
        <w:ind w:right="1122"/>
        <w:jc w:val="left"/>
        <w:rPr>
          <w:b w:val="0"/>
          <w:bCs w:val="0"/>
        </w:rPr>
      </w:pPr>
      <w:bookmarkStart w:name="3、境内外会计准则下会计数据差异" w:id="503"/>
      <w:bookmarkEnd w:id="503"/>
      <w:r>
        <w:rPr>
          <w:b w:val="0"/>
          <w:bCs w:val="0"/>
        </w:rPr>
      </w:r>
      <w:r>
        <w:rPr>
          <w:rFonts w:ascii="宋体" w:hAnsi="宋体" w:cs="宋体" w:eastAsia="宋体" w:hint="default"/>
        </w:rPr>
        <w:t>3</w:t>
      </w:r>
      <w:r>
        <w:rPr/>
        <w:t>、境内外会计准则下会计数据差异</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2"/>
        <w:jc w:val="left"/>
        <w:rPr>
          <w:b w:val="0"/>
          <w:bCs w:val="0"/>
        </w:rPr>
      </w:pPr>
      <w:bookmarkStart w:name="（1）同时按照国际会计准则与按中国会计准则披露的财务报告中净利润和净资产差异情况" w:id="504"/>
      <w:bookmarkEnd w:id="504"/>
      <w:r>
        <w:rPr>
          <w:b w:val="0"/>
          <w:bCs w:val="0"/>
        </w:rPr>
      </w: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after="0" w:line="240" w:lineRule="auto"/>
        <w:jc w:val="left"/>
        <w:sectPr>
          <w:pgSz w:w="11910" w:h="16840"/>
          <w:pgMar w:header="877" w:footer="1000" w:top="1040" w:bottom="118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right="1122"/>
        <w:jc w:val="left"/>
        <w:rPr>
          <w:b w:val="0"/>
          <w:bCs w:val="0"/>
        </w:rPr>
      </w:pPr>
      <w:bookmarkStart w:name="（2）同时按照境外会计准则与按中国会计准则披露的财务报告中净利润和净资产差异情况" w:id="505"/>
      <w:bookmarkEnd w:id="505"/>
      <w:r>
        <w:rPr>
          <w:b w:val="0"/>
          <w:bCs w:val="0"/>
        </w:rPr>
      </w: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408" w:lineRule="auto"/>
        <w:ind w:right="1122"/>
        <w:jc w:val="left"/>
        <w:rPr>
          <w:b w:val="0"/>
          <w:bCs w:val="0"/>
        </w:rPr>
      </w:pPr>
      <w:bookmarkStart w:name="（3）境内外会计准则下会计数据差异原因说明，对已经境外审计机构审计的数据进行差异" w:id="506"/>
      <w:bookmarkEnd w:id="506"/>
      <w:r>
        <w:rPr>
          <w:b w:val="0"/>
          <w:bCs w:val="0"/>
        </w:rPr>
      </w:r>
      <w:r>
        <w:rPr/>
        <w:t>（</w:t>
      </w:r>
      <w:r>
        <w:rPr>
          <w:rFonts w:ascii="宋体" w:hAnsi="宋体" w:cs="宋体" w:eastAsia="宋体"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pStyle w:val="Heading4"/>
        <w:spacing w:line="240" w:lineRule="auto" w:before="46"/>
        <w:ind w:right="1122"/>
        <w:jc w:val="left"/>
        <w:rPr>
          <w:b w:val="0"/>
          <w:bCs w:val="0"/>
        </w:rPr>
      </w:pPr>
      <w:bookmarkStart w:name="4、其他" w:id="507"/>
      <w:bookmarkEnd w:id="507"/>
      <w:r>
        <w:rPr>
          <w:b w:val="0"/>
          <w:bCs w:val="0"/>
        </w:rPr>
      </w:r>
      <w:r>
        <w:rPr>
          <w:rFonts w:ascii="宋体" w:hAnsi="宋体" w:cs="宋体" w:eastAsia="宋体" w:hint="default"/>
        </w:rPr>
        <w:t>4</w:t>
      </w:r>
      <w:r>
        <w:rPr/>
        <w:t>、其他</w:t>
      </w:r>
      <w:r>
        <w:rPr>
          <w:b w:val="0"/>
          <w:bCs w:val="0"/>
        </w:rPr>
      </w:r>
    </w:p>
    <w:p>
      <w:pPr>
        <w:spacing w:after="0" w:line="240" w:lineRule="auto"/>
        <w:jc w:val="left"/>
        <w:sectPr>
          <w:pgSz w:w="11910" w:h="16840"/>
          <w:pgMar w:header="877" w:footer="1000" w:top="104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4"/>
          <w:szCs w:val="24"/>
        </w:rPr>
      </w:pPr>
    </w:p>
    <w:p>
      <w:pPr>
        <w:pStyle w:val="Heading1"/>
        <w:spacing w:line="240" w:lineRule="auto"/>
        <w:ind w:left="3286" w:right="1122"/>
        <w:jc w:val="left"/>
        <w:rPr>
          <w:b w:val="0"/>
          <w:bCs w:val="0"/>
        </w:rPr>
      </w:pPr>
      <w:bookmarkStart w:name="第十二节 备查文件目录" w:id="508"/>
      <w:bookmarkEnd w:id="508"/>
      <w:r>
        <w:rPr>
          <w:b w:val="0"/>
          <w:bCs w:val="0"/>
        </w:rPr>
      </w:r>
      <w:bookmarkStart w:name="_bookmark10" w:id="509"/>
      <w:bookmarkEnd w:id="509"/>
      <w:r>
        <w:rPr>
          <w:b w:val="0"/>
          <w:bCs w:val="0"/>
        </w:rPr>
      </w:r>
      <w:r>
        <w:rPr/>
        <w:t>第十二节</w:t>
      </w:r>
      <w:r>
        <w:rPr>
          <w:spacing w:val="-8"/>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Heading3"/>
        <w:spacing w:line="357" w:lineRule="auto"/>
        <w:ind w:left="578" w:right="1132"/>
        <w:jc w:val="left"/>
      </w:pPr>
      <w:r>
        <w:rPr/>
        <w:t>一、载有公司负责人、主管会计工作负责人、会计机构负责人签名并盖章的财务报表。 二、载有会计师事务所盖章、注册会计师签名并盖章的审计报告原件。 </w:t>
      </w:r>
      <w:r>
        <w:rPr>
          <w:spacing w:val="2"/>
        </w:rPr>
        <w:t>三、报告期内在中国证监会指定信息披露网站上披露的所有公司文件的正本及公告的原</w:t>
      </w:r>
    </w:p>
    <w:p>
      <w:pPr>
        <w:pStyle w:val="Heading3"/>
        <w:spacing w:line="240" w:lineRule="auto" w:before="36"/>
        <w:ind w:right="1122"/>
        <w:jc w:val="left"/>
      </w:pPr>
      <w:r>
        <w:rPr/>
        <w:t>稿。</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Heading3"/>
        <w:spacing w:line="357" w:lineRule="auto"/>
        <w:ind w:left="7240" w:right="977"/>
        <w:jc w:val="center"/>
      </w:pPr>
      <w:r>
        <w:rPr/>
        <w:t>光一科技股份有限公司 董事长：龙昌明 </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20</w:t>
      </w:r>
      <w:r>
        <w:rPr/>
        <w:t>日</w:t>
      </w:r>
    </w:p>
    <w:sectPr>
      <w:pgSz w:w="11910" w:h="16840"/>
      <w:pgMar w:header="877" w:footer="1000" w:top="104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华文隶书">
    <w:altName w:val="华文隶书"/>
    <w:charset w:val="86"/>
    <w:family w:val="auto"/>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4312"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04240" type="#_x0000_t75" stroked="false">
          <v:imagedata r:id="rId1" o:title=""/>
        </v:shape>
      </w:pict>
    </w:r>
    <w:r>
      <w:rPr/>
      <w:pict>
        <v:shape style="position:absolute;margin-left:523.179993pt;margin-top:780.925598pt;width:17.5pt;height:11pt;mso-position-horizontal-relative:page;mso-position-vertical-relative:page;z-index:-9042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group style="position:absolute;margin-left:55.200001pt;margin-top:55.619984pt;width:485pt;height:.1pt;mso-position-horizontal-relative:page;mso-position-vertical-relative:page;z-index:-90428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2.160004pt;margin-top:42.865608pt;width:177.55pt;height:11pt;mso-position-horizontal-relative:page;mso-position-vertical-relative:page;z-index:-904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光一科技股份有限公司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4"/>
      <w:ind w:left="154"/>
    </w:pPr>
    <w:rPr>
      <w:rFonts w:ascii="宋体" w:hAnsi="宋体" w:eastAsia="宋体"/>
      <w:sz w:val="24"/>
      <w:szCs w:val="24"/>
    </w:rPr>
  </w:style>
  <w:style w:styleId="BodyText" w:type="paragraph">
    <w:name w:val="Body Text"/>
    <w:basedOn w:val="Normal"/>
    <w:uiPriority w:val="1"/>
    <w:qFormat/>
    <w:pPr>
      <w:spacing w:before="46"/>
      <w:ind w:left="154"/>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spacing w:before="26"/>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elefirst.com/" TargetMode="External"/><Relationship Id="rId10" Type="http://schemas.openxmlformats.org/officeDocument/2006/relationships/hyperlink" Target="mailto:gykj300356@163.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yperlink" Target="http://w/" TargetMode="External"/><Relationship Id="rId16" Type="http://schemas.openxmlformats.org/officeDocument/2006/relationships/image" Target="media/image6.png"/><Relationship Id="rId17" Type="http://schemas.openxmlformats.org/officeDocument/2006/relationships/hyperlink" Target="http://www.cninf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光一科技股份有限公司</dc:creator>
  <dc:title>光一科技股份有限公司2018年年度报告全文</dc:title>
  <dcterms:created xsi:type="dcterms:W3CDTF">2020-05-05T00:46:31Z</dcterms:created>
  <dcterms:modified xsi:type="dcterms:W3CDTF">2020-05-05T00:46:31Z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Microsoft® Office Word 2007</vt:lpwstr>
  </property>
  <property fmtid="{D5CDD505-2E9C-101B-9397-08002B2CF9AE}" pid="4" name="LastSaved">
    <vt:filetime>2020-05-04T00:00:00Z</vt:filetime>
  </property>
</Properties>
</file>